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C93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80" w:lineRule="auto"/>
        <w:rPr>
          <w:rFonts w:hint="default" w:ascii="Times New Roman" w:hAnsi="Times New Roman" w:cs="Times New Roman"/>
          <w:b/>
          <w:i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>Supplementary results</w:t>
      </w:r>
    </w:p>
    <w:p w14:paraId="3ED834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80" w:lineRule="auto"/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/>
          <w:b/>
          <w:i/>
          <w:sz w:val="24"/>
          <w:szCs w:val="24"/>
        </w:rPr>
        <w:t xml:space="preserve">Differential expression of ferroptosis-related genes and their molecular </w:t>
      </w:r>
      <w:r>
        <w:rPr>
          <w:rFonts w:hint="default" w:ascii="Times New Roman" w:hAnsi="Times New Roman" w:cs="Times New Roman"/>
          <w:b/>
          <w:i/>
          <w:sz w:val="24"/>
          <w:szCs w:val="24"/>
          <w:lang w:val="en-US" w:eastAsia="zh-CN"/>
        </w:rPr>
        <w:t>sub</w:t>
      </w:r>
      <w:r>
        <w:rPr>
          <w:rFonts w:hint="default" w:ascii="Times New Roman" w:hAnsi="Times New Roman" w:cs="Times New Roman"/>
          <w:b/>
          <w:i/>
          <w:sz w:val="24"/>
          <w:szCs w:val="24"/>
        </w:rPr>
        <w:t>typing analysis</w:t>
      </w:r>
    </w:p>
    <w:p w14:paraId="1AAB58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baseline"/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To characterize ferroptosis-related molecular features in gastric cancer, transcriptomic data from TCGA and ferroptosis-related genes from FerrDB were analyzed. Twenty-eight differentially expressed ferroptosis-related genes were identified, and consensus clustering based on these genes classified gastric cancer samples into two molecular subtypes, C1 and C2, with optimal clustering observed at k = 2 (Figure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A–C). Survival analysis showed that patients in the C1 subtype had significantly better overall survival than those in the C2 subtype (Figure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D). Comparison of clinicopathological features between the two subtypes revealed significant differences in T stage and tumor grade (Figure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E).To further identify ferroptosis-related genes associated with tumor progression, WGCNA was performed. After excluding outlier samples and constructing a scale-free co-expression network, 13 gene modules were identified, among which the brown module showed the strongest association with tumor traits and was selected for further analysis (Figure 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F–J). The brown module contained 171 genes, and univariate Cox regression identified 26 prognosis-related genes (Figure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K). These genes were then subjected to multiple machine learning algorithms to establish a ferroptosis-related risk prognostic model. The combination of CoxBoost and random survival forest achieved the highest C-index and identified seven key ferroptosis-related risk genes: SAC3D1, KIF24, CHAF1A, GAD1, RNF43, VSNL1, and ASCL2 (Figure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L). Based on the corresponding model coefficients, a ferroptosis-related risk score (FRRS) was calculated for each patient, and patients in both the TCGA discovery cohort and the external GSE84437 validation cohort were stratified into high- and low-FRRS groups.The prognostic performance of the FRRS was subsequently evaluated. PCA and t-SNE analyses showed clear separation between the high- and low-FRRS groups, indicating distinct molecular characteristics (Figure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M–P). Univariate and multivariate Cox regression analyses confirmed that the FRRS was an independent prognostic factor in both the TCGA and validation cohorts (Figure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Q–T). Kaplan–Meier survival analysis further demonstrated that patients with high FRRS had significantly worse overall survival than those with low FRRS in both cohorts (Figure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U,V). Time-dependent ROC analysis showed favorable predictive accuracy of the model for 1-, 3-, and 5-year overall survival (Figure</w:t>
      </w:r>
      <w:r>
        <w:rPr>
          <w:rFonts w:hint="eastAsia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S</w:t>
      </w:r>
      <w:r>
        <w:rPr>
          <w:rFonts w:hint="default" w:ascii="Times New Roman" w:hAnsi="Times New Roman" w:eastAsia="PingFangSC-Regular" w:cs="Times New Roman"/>
          <w:i w:val="0"/>
          <w:iCs w:val="0"/>
          <w:caps w:val="0"/>
          <w:color w:val="2A2B2E"/>
          <w:spacing w:val="0"/>
          <w:kern w:val="0"/>
          <w:sz w:val="24"/>
          <w:szCs w:val="24"/>
          <w:shd w:val="clear" w:fill="FFFFFF"/>
          <w:lang w:val="en-US" w:eastAsia="zh-CN" w:bidi="ar"/>
        </w:rPr>
        <w:t>1W,X).</w:t>
      </w:r>
    </w:p>
    <w:p w14:paraId="0F175032">
      <w:pPr>
        <w:rPr>
          <w:rFonts w:hint="default"/>
          <w:sz w:val="21"/>
          <w:szCs w:val="21"/>
          <w:lang w:val="en-US" w:eastAsia="zh-CN"/>
        </w:rPr>
      </w:pPr>
    </w:p>
    <w:p w14:paraId="7EEDD1B8">
      <w:pPr>
        <w:rPr>
          <w:rFonts w:hint="default"/>
          <w:sz w:val="21"/>
          <w:szCs w:val="21"/>
          <w:lang w:val="en-US" w:eastAsia="zh-CN"/>
        </w:rPr>
      </w:pPr>
    </w:p>
    <w:p w14:paraId="2263EA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272405" cy="6077585"/>
            <wp:effectExtent l="0" t="0" r="4445" b="889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7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C242">
      <w:pPr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Figure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S1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宋体" w:cs="Times New Roman"/>
          <w:b/>
          <w:bCs w:val="0"/>
          <w:sz w:val="21"/>
          <w:szCs w:val="21"/>
        </w:rPr>
        <w:t>Development and Validation of a Prognostic Model for</w:t>
      </w:r>
      <w:r>
        <w:rPr>
          <w:rStyle w:val="8"/>
          <w:rFonts w:hint="eastAsia" w:ascii="Times New Roman" w:hAnsi="Times New Roman" w:eastAsia="宋体" w:cs="Times New Roman"/>
          <w:b/>
          <w:bCs w:val="0"/>
          <w:sz w:val="21"/>
          <w:szCs w:val="21"/>
          <w:lang w:val="en-US" w:eastAsia="zh-CN"/>
        </w:rPr>
        <w:t xml:space="preserve"> GC</w:t>
      </w:r>
    </w:p>
    <w:p w14:paraId="7E549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(A)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Cumulative distribution function (CDF) for k=2 to k=9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.(B)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Relative change in area under the CDF curve according to different k values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.(C)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Consensus clustering matrix of samples from TCGA dataset for k=2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(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)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Survival analysis of patients in the C1 group and C2 group in TCGA cohort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(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)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Heatmap of two clusters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.(F) sample clustering to detect outliers.(G) t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he correlation coefficient R</w:t>
      </w:r>
      <w:r>
        <w:rPr>
          <w:rFonts w:ascii="Times New Roman" w:hAnsi="Times New Roman" w:cs="Times New Roman"/>
          <w:b w:val="0"/>
          <w:bCs w:val="0"/>
          <w:sz w:val="21"/>
          <w:szCs w:val="21"/>
          <w:vertAlign w:val="superscript"/>
        </w:rPr>
        <w:t xml:space="preserve">2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and mean connectivity in the scale-free network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(H)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Calculate similarity between modules and merge modules with high similarity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.(I)</w:t>
      </w:r>
      <w:r>
        <w:rPr>
          <w:b w:val="0"/>
          <w:bCs w:val="0"/>
          <w:sz w:val="21"/>
          <w:szCs w:val="21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Hierarchical clustering of gene modules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(J)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Heatmap of the correlationship between gene modules and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</w:rPr>
        <w:t>normal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</w:rPr>
        <w:t>or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cancer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</w:rPr>
        <w:t>tissue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. </w:t>
      </w:r>
      <w:r>
        <w:rPr>
          <w:rFonts w:hint="eastAsia" w:ascii="Times New Roman" w:hAnsi="Times New Roman" w:eastAsia="等线" w:cs="Arial"/>
          <w:b w:val="0"/>
          <w:bCs w:val="0"/>
          <w:sz w:val="21"/>
          <w:szCs w:val="21"/>
          <w:lang w:val="en-US" w:eastAsia="zh-CN"/>
        </w:rPr>
        <w:t>(K)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Univariate Cox analysis of </w:t>
      </w:r>
      <w:bookmarkStart w:id="0" w:name="_GoBack"/>
      <w:r>
        <w:rPr>
          <w:rFonts w:ascii="Times New Roman" w:hAnsi="Times New Roman" w:cs="Times New Roman"/>
          <w:b w:val="0"/>
          <w:bCs w:val="0"/>
          <w:sz w:val="21"/>
          <w:szCs w:val="21"/>
        </w:rPr>
        <w:t>the prognostic</w:t>
      </w:r>
      <w:bookmarkEnd w:id="0"/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value of gene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</w:rPr>
        <w:t>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suitable for model construction.(L) M</w:t>
      </w:r>
      <w:r>
        <w:rPr>
          <w:rFonts w:hint="default" w:ascii="Times New Roman" w:hAnsi="Times New Roman" w:eastAsia="宋体" w:cs="Times New Roman"/>
          <w:sz w:val="21"/>
          <w:szCs w:val="21"/>
        </w:rPr>
        <w:t>ultiple machine learning algorithms to develop the FRRPM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.(M)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PCA assessed the ability of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to differentiate between high and low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groups of patients in the TCGA cohorts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(N)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PCA assessed the ability of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to differentiate between high and low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groups of patients in the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GEO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cohorts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.(O) tSNE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assessed the ability of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to differentiate between high and low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groups of patients in the TCGA cohorts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.(P) tSNE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assessed the ability of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to differentiate between high and low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groups of patients in the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GEO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cohorts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eastAsia="等线" w:cs="Arial"/>
          <w:b w:val="0"/>
          <w:bCs w:val="0"/>
          <w:sz w:val="21"/>
          <w:szCs w:val="21"/>
          <w:lang w:val="en-US" w:eastAsia="zh-CN"/>
        </w:rPr>
        <w:t>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Q and R) 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Univariate and Multivariate Cox analysis of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and clinical </w:t>
      </w:r>
      <w:r>
        <w:rPr>
          <w:rFonts w:ascii="Times New Roman" w:hAnsi="Times New Roman" w:eastAsia="等线" w:cs="Arial"/>
          <w:b w:val="0"/>
          <w:bCs w:val="0"/>
          <w:sz w:val="21"/>
          <w:szCs w:val="21"/>
        </w:rPr>
        <w:t>characteristics in TCGA</w:t>
      </w:r>
      <w:r>
        <w:rPr>
          <w:rFonts w:hint="eastAsia" w:ascii="Times New Roman" w:hAnsi="Times New Roman" w:eastAsia="等线" w:cs="Arial"/>
          <w:b w:val="0"/>
          <w:bCs w:val="0"/>
          <w:sz w:val="21"/>
          <w:szCs w:val="21"/>
          <w:lang w:val="en-US" w:eastAsia="zh-CN"/>
        </w:rPr>
        <w:t>.(S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and T)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Univariate and Multivariate Cox analysis of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and clinical </w:t>
      </w:r>
      <w:r>
        <w:rPr>
          <w:rFonts w:ascii="Times New Roman" w:hAnsi="Times New Roman" w:eastAsia="等线" w:cs="Arial"/>
          <w:b w:val="0"/>
          <w:bCs w:val="0"/>
          <w:sz w:val="21"/>
          <w:szCs w:val="21"/>
        </w:rPr>
        <w:t xml:space="preserve">characteristics in </w:t>
      </w:r>
      <w:r>
        <w:rPr>
          <w:rFonts w:hint="eastAsia" w:ascii="Times New Roman" w:hAnsi="Times New Roman" w:eastAsia="等线" w:cs="Arial"/>
          <w:b w:val="0"/>
          <w:bCs w:val="0"/>
          <w:sz w:val="21"/>
          <w:szCs w:val="21"/>
          <w:lang w:val="en-US" w:eastAsia="zh-CN"/>
        </w:rPr>
        <w:t>GEO.(U)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The patient samples from TCGA were divided into high and low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FRRS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groups based and the OS of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</w:rPr>
        <w:t>the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 groups were analyzed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.(V)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OS analysis of high and low risk groups from the GEO samples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.(W)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ROC curve analysis in TCGA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.(X) 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ROC curve analysis in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GEO.</w:t>
      </w:r>
    </w:p>
    <w:p w14:paraId="7563E8B7">
      <w:pPr>
        <w:rPr>
          <w:rFonts w:hint="default"/>
          <w:sz w:val="21"/>
          <w:szCs w:val="21"/>
          <w:lang w:val="en-US" w:eastAsia="zh-CN"/>
        </w:rPr>
      </w:pPr>
    </w:p>
    <w:p w14:paraId="00424BEE">
      <w:pPr>
        <w:rPr>
          <w:rFonts w:hint="default"/>
          <w:sz w:val="21"/>
          <w:szCs w:val="21"/>
          <w:lang w:val="en-US" w:eastAsia="zh-CN"/>
        </w:rPr>
      </w:pPr>
    </w:p>
    <w:p w14:paraId="0257A9AF">
      <w:pPr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272405" cy="3367405"/>
            <wp:effectExtent l="0" t="0" r="4445" b="4445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9E255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1"/>
          <w:szCs w:val="21"/>
        </w:rPr>
      </w:pPr>
      <w:r>
        <w:rPr>
          <w:rStyle w:val="8"/>
          <w:rFonts w:hint="default" w:ascii="Times New Roman" w:hAnsi="Times New Roman" w:cs="Times New Roman"/>
          <w:b/>
          <w:sz w:val="21"/>
          <w:szCs w:val="21"/>
        </w:rPr>
        <w:t>Figure S</w:t>
      </w:r>
      <w:r>
        <w:rPr>
          <w:rStyle w:val="8"/>
          <w:rFonts w:hint="default" w:ascii="Times New Roman" w:hAnsi="Times New Roman" w:cs="Times New Roman"/>
          <w:b/>
          <w:sz w:val="21"/>
          <w:szCs w:val="21"/>
          <w:lang w:val="en-US" w:eastAsia="zh-CN"/>
        </w:rPr>
        <w:t>2</w:t>
      </w:r>
      <w:r>
        <w:rPr>
          <w:rStyle w:val="8"/>
          <w:rFonts w:hint="default" w:ascii="Times New Roman" w:hAnsi="Times New Roman" w:cs="Times New Roman"/>
          <w:b/>
          <w:sz w:val="21"/>
          <w:szCs w:val="21"/>
        </w:rPr>
        <w:t>. mechanistic analyses of KIF24 in ferroptosis regulation.</w:t>
      </w:r>
    </w:p>
    <w:p w14:paraId="1342C4E7">
      <w:pPr>
        <w:pStyle w:val="4"/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(A) Correlation analysis between KIF24 and ferroptosis-related genes.(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) GSEA based on KIF24 expression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in TCGA cohort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.(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)We validated the GSEA analysis results using RNA‑seq data from our independently collected cohort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) Merging of similar gene modules in the co-expression network.(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) Hierarchical clustering dendrogram of gene modules identified by WGCNA.(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) Heatmap comparing gene expression patterns between high-KIF24 (Q1, top 25%) and low-KIF24 (Q4, bottom 25%) groups.(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G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) Heatmap of the weighted gene co-expression network.(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) Correlation analysis between module membership (MM) and gene significance (GS) within the green module.(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I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) Functional enrichment analysis of genes in the green module associated with KIF24 expression and ferroptosis regulation.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(J)Validation of the correlation between KIF24 expression and the ferroptosis pathway in our own cohort.</w:t>
      </w:r>
    </w:p>
    <w:p w14:paraId="3164D265">
      <w:pPr>
        <w:pStyle w:val="4"/>
        <w:keepNext w:val="0"/>
        <w:keepLines w:val="0"/>
        <w:widowControl/>
        <w:suppressLineNumbers w:val="0"/>
        <w:jc w:val="both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272405" cy="2909570"/>
            <wp:effectExtent l="0" t="0" r="4445" b="5080"/>
            <wp:docPr id="4" name="图片 4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4AD1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S3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KIF24 expression is associated with ferroptosis-defense and Fe–S-dependent mitochondrial function-related genes in gastric cancer.</w:t>
      </w:r>
    </w:p>
    <w:p w14:paraId="3C907B2C">
      <w:pPr>
        <w:pStyle w:val="4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5272405" cy="4070350"/>
            <wp:effectExtent l="0" t="0" r="4445" b="6350"/>
            <wp:docPr id="3" name="图片 3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27B0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 xml:space="preserve">S4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KIF24 modulates gastric cancer progression via AMPK signaling</w:t>
      </w:r>
    </w:p>
    <w:p w14:paraId="4F358A6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(A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,B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) Scatter plot depicting the correlation between the ssGSEA enrichment score of the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AMPK/P53 pathway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and the expression level of KIF24 (log₂‑transformed TPM) in our independently collected cohort.(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) Western blot analysis to detect the activation of the AMPK pathway in cells with different treatments.(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E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) CCK-8 assays measuring cell viability in different groups.(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F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G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) Cell growth curves comparing cell proliferation in different experimental groups.(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H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) Colony formation assays evaluating the clonogenic ability of cells in different groups.(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I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) Xenograft tumor models comparing tumor formation between different experimental groups.(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J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) Comparison of tumor sizes in different experimental groups.(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K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) Comparison of tumor volumes over time in different groups.(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L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) Intratumoral MDA levels in different experimental groups.Data are presented as the mean ± SD (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-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G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n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=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3;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J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-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L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  <w:t>n=4). Statistical significance was determined by one-way ANOVA followed by Tukey’s post hoc test. *P &lt; 0.05, **P &lt; 0.01, ***P &lt; 0.001; ns, not significant.</w:t>
      </w:r>
    </w:p>
    <w:p w14:paraId="25DF5D6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054A96F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21B5C78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DA8B4D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34D5C1F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/>
          <w:bCs/>
          <w:i/>
          <w:i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i/>
          <w:iCs/>
          <w:kern w:val="2"/>
          <w:sz w:val="28"/>
          <w:szCs w:val="28"/>
          <w:lang w:val="en-US" w:eastAsia="zh-CN" w:bidi="ar-SA"/>
        </w:rPr>
        <w:t>Table S1</w:t>
      </w:r>
    </w:p>
    <w:tbl>
      <w:tblPr>
        <w:tblStyle w:val="5"/>
        <w:tblpPr w:leftFromText="180" w:rightFromText="180" w:vertAnchor="text" w:horzAnchor="page" w:tblpXSpec="center" w:tblpY="147"/>
        <w:tblOverlap w:val="never"/>
        <w:tblW w:w="83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4433"/>
        <w:gridCol w:w="2028"/>
      </w:tblGrid>
      <w:tr w14:paraId="4141F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89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0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Name</w:t>
            </w:r>
          </w:p>
        </w:tc>
        <w:tc>
          <w:tcPr>
            <w:tcW w:w="44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C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Sequence (5' to 3')</w:t>
            </w:r>
          </w:p>
        </w:tc>
        <w:tc>
          <w:tcPr>
            <w:tcW w:w="202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5D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Application</w:t>
            </w:r>
          </w:p>
        </w:tc>
      </w:tr>
      <w:tr w14:paraId="1E5FD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1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qRT-PCR Primers</w:t>
            </w:r>
          </w:p>
        </w:tc>
        <w:tc>
          <w:tcPr>
            <w:tcW w:w="44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CECE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513A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08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6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SLC7A11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FF2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186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441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D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Forward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A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ATGGTCAGAAAGCCAGTTGTG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6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Target Gene (qRT-PCR)</w:t>
            </w:r>
          </w:p>
        </w:tc>
      </w:tr>
      <w:tr w14:paraId="798FD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A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Reverse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8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GCTCCAGGGCGTATTACGAG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35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Target Gene (qRT-PCR)</w:t>
            </w:r>
          </w:p>
        </w:tc>
      </w:tr>
      <w:tr w14:paraId="1FDE5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CF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siRNA Sequences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DFA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F36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D4C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A7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si-P53 (TP53)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A95B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4F8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96E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C5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Target Sequence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56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GACTCCAGTGGTAATCTAC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792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439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F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Sense Strand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3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GACUCCAGUGGUAAUCUACdTdT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1EE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CE2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9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Antisense Strand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2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GUAGAUUACCACUGGAGUCdTdT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58E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A30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D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si-NC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C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UUCUCCGAACGUGUCACGU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B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Negative Control</w:t>
            </w:r>
          </w:p>
        </w:tc>
      </w:tr>
      <w:tr w14:paraId="1D2F2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13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shRNA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35F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D4D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F1A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10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sh-KIF24#1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CC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GCAAGATCTTCGACGTGAA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F2B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KIF24 Knockdown</w:t>
            </w:r>
          </w:p>
        </w:tc>
      </w:tr>
      <w:tr w14:paraId="16D58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7F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sh-KIF24#2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4E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GCAGATCTTCGAGCTGTAT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AC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KIF24 Knockdown</w:t>
            </w:r>
          </w:p>
        </w:tc>
      </w:tr>
      <w:tr w14:paraId="6904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C9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sh-KIF24#3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EB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GCTGCAGATCAAGCTCAAT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D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KIF24 Knockdown</w:t>
            </w:r>
          </w:p>
        </w:tc>
      </w:tr>
      <w:tr w14:paraId="50796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B6E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sh-NC</w:t>
            </w:r>
          </w:p>
        </w:tc>
        <w:tc>
          <w:tcPr>
            <w:tcW w:w="44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C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TTCTCCGAACGTGTCACGT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14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Negative Control</w:t>
            </w:r>
          </w:p>
        </w:tc>
      </w:tr>
    </w:tbl>
    <w:p w14:paraId="4F76D11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5C0E854E">
      <w:pPr>
        <w:pStyle w:val="3"/>
        <w:keepNext w:val="0"/>
        <w:keepLines w:val="0"/>
        <w:widowControl/>
        <w:suppressLineNumbers w:val="0"/>
        <w:jc w:val="both"/>
      </w:pPr>
    </w:p>
    <w:p w14:paraId="543DAA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15A01"/>
    <w:rsid w:val="2D122870"/>
    <w:rsid w:val="453F585B"/>
    <w:rsid w:val="48995E22"/>
    <w:rsid w:val="698C54B4"/>
    <w:rsid w:val="75CA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984</Words>
  <Characters>6172</Characters>
  <Lines>0</Lines>
  <Paragraphs>0</Paragraphs>
  <TotalTime>6</TotalTime>
  <ScaleCrop>false</ScaleCrop>
  <LinksUpToDate>false</LinksUpToDate>
  <CharactersWithSpaces>7111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2026-01-08T07:05:00Z</dcterms:created>
  <dc:creator>wustc</dc:creator>
  <cp:lastModifiedBy>于琪英</cp:lastModifiedBy>
  <dcterms:modified xsi:type="dcterms:W3CDTF">2026-06-11T12:42:17Z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32B6A66412D2424E9E027D41EE204320_12</vt:lpwstr>
  </property>
  <property fmtid="{D5CDD505-2E9C-101B-9397-08002B2CF9AE}" pid="4" name="KSOTemplateDocerSaveRecord">
    <vt:lpwstr>eyJoZGlkIjoiZmJhM2YwZjQ5YjhhZmJmYmFkNDU0NzRkOWZlNzZkZjYiLCJ1c2VySWQiOiIyNzEyNzk2NzcifQ==</vt:lpwstr>
  </property>
</Properties>
</file>