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1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Figure 1. Sample flow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160" w:line="360" w:lineRule="auto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903950" cy="752204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8725" y="493800"/>
                          <a:ext cx="4903950" cy="7522048"/>
                          <a:chOff x="2258725" y="493800"/>
                          <a:chExt cx="3292775" cy="50477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446375" y="497400"/>
                            <a:ext cx="1815300" cy="6942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Participantes MHAS 2018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Ola 2018, cohorte nacional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  <w:t xml:space="preserve">N= 37,945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446375" y="1477701"/>
                            <a:ext cx="1815300" cy="6942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Sub-estudio de metales pesados en cabello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Muestras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analizadas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 por ICP-MS (EPA 6020B)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  <w:t xml:space="preserve">N= 2,671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4025" y="1191600"/>
                            <a:ext cx="0" cy="28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446375" y="2458002"/>
                            <a:ext cx="1815300" cy="6942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Índice de fragilidad (FI-60) válido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&lt;20% items faltantes, rango FI:0.05-0.68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  <w:t xml:space="preserve">N= 2,590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4025" y="2171901"/>
                            <a:ext cx="0" cy="28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513621" y="2059401"/>
                            <a:ext cx="991500" cy="5109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Sin FI v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álido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n = 81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46321" y="2304951"/>
                            <a:ext cx="1167300" cy="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2446375" y="3438303"/>
                            <a:ext cx="1815300" cy="6942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3.525199890136719"/>
                                  <w:vertAlign w:val="baseline"/>
                                </w:rPr>
                                <w:t xml:space="preserve">Muestra analítica final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3.525199890136719"/>
                                  <w:vertAlign w:val="baseline"/>
                                </w:rPr>
                                <w:t xml:space="preserve">FI + covariables completas (sexo, edad, pareja, escolaridad, ejercicio, riesgo, tabaco, SVI)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15.027999877929688"/>
                                  <w:vertAlign w:val="baseline"/>
                                </w:rPr>
                                <w:t xml:space="preserve">N= 2,541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4025" y="3152202"/>
                            <a:ext cx="0" cy="28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2262325" y="4418600"/>
                            <a:ext cx="2183400" cy="1119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Muestra por metal según disponibilidad de medición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Metal (n)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Hg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 (2,194), Ti (2,516), V (2,014), Cr (2,377), Mn (2,456), Co (1,426), Ni (2,433), Cu (2,515), As (629), Mo (1,477), Ag (1,736), Cd (1,126), Pb (2,496)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1155cc"/>
                                  <w:sz w:val="15.02799987792968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4025" y="4132503"/>
                            <a:ext cx="0" cy="28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354027" y="4257710"/>
                            <a:ext cx="1202400" cy="12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71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4556421" y="3974651"/>
                            <a:ext cx="991500" cy="5109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7150">
                            <a:solidFill>
                              <a:srgbClr val="000000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Covariables incompletas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3.525199890136719"/>
                                  <w:vertAlign w:val="baseline"/>
                                </w:rPr>
                                <w:t xml:space="preserve">n = 49</w:t>
                              </w:r>
                            </w:p>
                          </w:txbxContent>
                        </wps:txbx>
                        <wps:bodyPr anchorCtr="0" anchor="ctr" bIns="68700" lIns="68700" spcFirstLastPara="1" rIns="68700" wrap="square" tIns="687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903950" cy="752204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3950" cy="75220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before="160" w:line="360" w:lineRule="auto"/>
        <w:rPr>
          <w:sz w:val="22"/>
          <w:szCs w:val="22"/>
        </w:rPr>
      </w:pPr>
      <w:bookmarkStart w:colFirst="0" w:colLast="0" w:name="_unuqhqa2yvah" w:id="0"/>
      <w:bookmarkEnd w:id="0"/>
      <w:r w:rsidDel="00000000" w:rsidR="00000000" w:rsidRPr="00000000">
        <w:rPr>
          <w:sz w:val="22"/>
          <w:szCs w:val="22"/>
          <w:rtl w:val="0"/>
        </w:rPr>
        <w:t xml:space="preserve">Table 1. Distribution of log-transformed heavy-metal concentrations in hair.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4.058146577832"/>
        <w:gridCol w:w="1258.364627498486"/>
        <w:gridCol w:w="2806.0084797092672"/>
        <w:gridCol w:w="2777.0805572380377"/>
        <w:tblGridChange w:id="0">
          <w:tblGrid>
            <w:gridCol w:w="2184.058146577832"/>
            <w:gridCol w:w="1258.364627498486"/>
            <w:gridCol w:w="2806.0084797092672"/>
            <w:gridCol w:w="2777.080557238037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d9e1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Metal (log-transformed)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d9e1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d9e1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Mean (SD), log-μg/g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d9e1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Range (log-μg/g)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Mercury (Hg)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2237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-1.89 (1.29)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-5.12 to 6.47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Titanium (Ti)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2565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 1.21 (0.82)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-3.52 to 5.95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Vanadium (V)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2056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-2.03 (0.92)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-4.59 to 2.93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Chromium (Cr)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2426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-1.51 (0.93)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-3.56 to 3.12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Manganese (Mn)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-0.12 (1.14)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-3.52 to 4.26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Cobalt (Co)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1455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-3.54 (1.07)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-5.71 to 2.17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Nickel (Ni)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-0.47 (1.01)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-3.17 to 4.13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Copper (Cu)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2564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 2.12 (0.78)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-4.12 to 6.06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Arsenic (As)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642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-2.97 (0.88)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-4.34 to 1.61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Molybdenum (Mo)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1509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-2.86 (0.88)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-5.10 to 2.17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Silver (Ag)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1771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-2.46 (1.52)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-5.81 to 5.45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Cadmium (Cd)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1154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-3.15 (1.14)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-5.12 to 2.54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Lead (Pb)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2545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unuqhqa2yvah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-0.36 (1.18)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spacing w:after="0" w:before="0" w:line="360" w:lineRule="auto"/>
              <w:rPr>
                <w:sz w:val="18"/>
                <w:szCs w:val="18"/>
              </w:rPr>
            </w:pPr>
            <w:bookmarkStart w:colFirst="0" w:colLast="0" w:name="_k7xw0nnsb0q1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-4.26 to 8.36</w:t>
            </w:r>
          </w:p>
        </w:tc>
      </w:tr>
    </w:tbl>
    <w:p w:rsidR="00000000" w:rsidDel="00000000" w:rsidP="00000000" w:rsidRDefault="00000000" w:rsidRPr="00000000" w14:paraId="0000003E">
      <w:pPr>
        <w:pStyle w:val="Heading2"/>
        <w:keepNext w:val="0"/>
        <w:keepLines w:val="0"/>
        <w:spacing w:before="220" w:line="360" w:lineRule="auto"/>
        <w:rPr/>
      </w:pPr>
      <w:bookmarkStart w:colFirst="0" w:colLast="0" w:name="_unuqhqa2yvah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