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pPr w:leftFromText="180" w:rightFromText="180" w:tblpY="69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424D7F" w14:paraId="56DB3813" w14:textId="77777777" w:rsidTr="003E6207">
        <w:tc>
          <w:tcPr>
            <w:tcW w:w="2840" w:type="dxa"/>
            <w:tcBorders>
              <w:top w:val="single" w:sz="12" w:space="0" w:color="auto"/>
              <w:bottom w:val="single" w:sz="12" w:space="0" w:color="auto"/>
            </w:tcBorders>
          </w:tcPr>
          <w:p w14:paraId="3EF00CC7" w14:textId="0412E5DB" w:rsidR="00424D7F" w:rsidRPr="003E6207" w:rsidRDefault="00424D7F" w:rsidP="00424D7F">
            <w:pPr>
              <w:rPr>
                <w:rFonts w:ascii="Times New Roman" w:hAnsi="Times New Roman" w:cs="Times New Roman"/>
                <w:b/>
                <w:bCs/>
              </w:rPr>
            </w:pPr>
            <w:r w:rsidRPr="003E6207">
              <w:rPr>
                <w:rFonts w:ascii="Times New Roman" w:hAnsi="Times New Roman" w:cs="Times New Roman"/>
                <w:b/>
                <w:bCs/>
              </w:rPr>
              <w:t>Variable</w:t>
            </w:r>
          </w:p>
        </w:tc>
        <w:tc>
          <w:tcPr>
            <w:tcW w:w="2841" w:type="dxa"/>
            <w:tcBorders>
              <w:top w:val="single" w:sz="12" w:space="0" w:color="auto"/>
              <w:bottom w:val="single" w:sz="12" w:space="0" w:color="auto"/>
            </w:tcBorders>
          </w:tcPr>
          <w:p w14:paraId="1A271420" w14:textId="6E7770E0" w:rsidR="00424D7F" w:rsidRPr="003E6207" w:rsidRDefault="00424D7F" w:rsidP="00424D7F">
            <w:pPr>
              <w:rPr>
                <w:rFonts w:ascii="Times New Roman" w:hAnsi="Times New Roman" w:cs="Times New Roman"/>
                <w:b/>
                <w:bCs/>
              </w:rPr>
            </w:pPr>
            <w:r w:rsidRPr="003E6207">
              <w:rPr>
                <w:rFonts w:ascii="Times New Roman" w:hAnsi="Times New Roman" w:cs="Times New Roman"/>
                <w:b/>
                <w:bCs/>
              </w:rPr>
              <w:t>Mankin score</w:t>
            </w:r>
          </w:p>
        </w:tc>
        <w:tc>
          <w:tcPr>
            <w:tcW w:w="2841" w:type="dxa"/>
            <w:tcBorders>
              <w:top w:val="single" w:sz="12" w:space="0" w:color="auto"/>
              <w:bottom w:val="single" w:sz="12" w:space="0" w:color="auto"/>
            </w:tcBorders>
          </w:tcPr>
          <w:p w14:paraId="683BBD54" w14:textId="5A9DD606" w:rsidR="00424D7F" w:rsidRPr="003E6207" w:rsidRDefault="00424D7F" w:rsidP="00424D7F">
            <w:pPr>
              <w:rPr>
                <w:rFonts w:ascii="Times New Roman" w:hAnsi="Times New Roman" w:cs="Times New Roman"/>
                <w:b/>
                <w:bCs/>
              </w:rPr>
            </w:pPr>
            <w:r w:rsidRPr="003E6207">
              <w:rPr>
                <w:rFonts w:ascii="Times New Roman" w:hAnsi="Times New Roman" w:cs="Times New Roman"/>
                <w:b/>
                <w:bCs/>
              </w:rPr>
              <w:t>HA staining index*</w:t>
            </w:r>
          </w:p>
        </w:tc>
      </w:tr>
      <w:tr w:rsidR="00424D7F" w14:paraId="2EE08C48" w14:textId="77777777" w:rsidTr="003E6207">
        <w:tc>
          <w:tcPr>
            <w:tcW w:w="2840" w:type="dxa"/>
            <w:tcBorders>
              <w:top w:val="single" w:sz="12" w:space="0" w:color="auto"/>
            </w:tcBorders>
          </w:tcPr>
          <w:p w14:paraId="330314B5" w14:textId="5FDCE5D7" w:rsidR="00424D7F" w:rsidRPr="003E6207" w:rsidRDefault="004A729E" w:rsidP="00424D7F">
            <w:pPr>
              <w:rPr>
                <w:rFonts w:ascii="Times New Roman" w:hAnsi="Times New Roman" w:cs="Times New Roman"/>
                <w:b/>
                <w:bCs/>
              </w:rPr>
            </w:pPr>
            <w:r w:rsidRPr="003E620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Intact</w:t>
            </w:r>
          </w:p>
        </w:tc>
        <w:tc>
          <w:tcPr>
            <w:tcW w:w="2841" w:type="dxa"/>
            <w:tcBorders>
              <w:top w:val="single" w:sz="12" w:space="0" w:color="auto"/>
            </w:tcBorders>
          </w:tcPr>
          <w:p w14:paraId="183E3B7F" w14:textId="0A84F6DC" w:rsidR="00424D7F" w:rsidRPr="003E6207" w:rsidRDefault="004A729E" w:rsidP="00424D7F">
            <w:pPr>
              <w:rPr>
                <w:rFonts w:ascii="Times New Roman" w:hAnsi="Times New Roman" w:cs="Times New Roman"/>
                <w:b/>
                <w:bCs/>
              </w:rPr>
            </w:pPr>
            <w:r w:rsidRPr="003E6207"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  <w:tc>
          <w:tcPr>
            <w:tcW w:w="2841" w:type="dxa"/>
            <w:tcBorders>
              <w:top w:val="single" w:sz="12" w:space="0" w:color="auto"/>
            </w:tcBorders>
          </w:tcPr>
          <w:p w14:paraId="267D4583" w14:textId="36ABFFCF" w:rsidR="00424D7F" w:rsidRPr="003E6207" w:rsidRDefault="004A729E" w:rsidP="00424D7F">
            <w:pPr>
              <w:rPr>
                <w:rFonts w:ascii="Times New Roman" w:hAnsi="Times New Roman" w:cs="Times New Roman"/>
                <w:b/>
                <w:bCs/>
              </w:rPr>
            </w:pPr>
            <w:r w:rsidRPr="003E6207">
              <w:rPr>
                <w:rFonts w:ascii="Times New Roman" w:hAnsi="Times New Roman" w:cs="Times New Roman"/>
                <w:b/>
                <w:bCs/>
              </w:rPr>
              <w:t>6.5</w:t>
            </w:r>
          </w:p>
        </w:tc>
      </w:tr>
      <w:tr w:rsidR="00424D7F" w14:paraId="45A867B6" w14:textId="77777777" w:rsidTr="003E6207">
        <w:tc>
          <w:tcPr>
            <w:tcW w:w="2840" w:type="dxa"/>
          </w:tcPr>
          <w:p w14:paraId="777269E3" w14:textId="67110E52" w:rsidR="00424D7F" w:rsidRPr="003E6207" w:rsidRDefault="004A729E" w:rsidP="004A729E">
            <w:pPr>
              <w:widowControl/>
              <w:rPr>
                <w:rFonts w:ascii="Times New Roman" w:hAnsi="Times New Roman" w:cs="Times New Roman"/>
                <w:b/>
                <w:bCs/>
              </w:rPr>
            </w:pPr>
            <w:r w:rsidRPr="003E6207">
              <w:rPr>
                <w:rStyle w:val="fontstyle01"/>
                <w:rFonts w:ascii="Times New Roman" w:hAnsi="Times New Roman" w:cs="Times New Roman"/>
              </w:rPr>
              <w:t>Damaged</w:t>
            </w:r>
          </w:p>
        </w:tc>
        <w:tc>
          <w:tcPr>
            <w:tcW w:w="2841" w:type="dxa"/>
          </w:tcPr>
          <w:p w14:paraId="7B553175" w14:textId="29FEF997" w:rsidR="00424D7F" w:rsidRPr="003E6207" w:rsidRDefault="004A729E" w:rsidP="00424D7F">
            <w:pPr>
              <w:rPr>
                <w:rFonts w:ascii="Times New Roman" w:hAnsi="Times New Roman" w:cs="Times New Roman"/>
                <w:b/>
                <w:bCs/>
              </w:rPr>
            </w:pPr>
            <w:r w:rsidRPr="003E6207">
              <w:rPr>
                <w:rFonts w:ascii="Times New Roman" w:hAnsi="Times New Roman" w:cs="Times New Roman"/>
                <w:b/>
                <w:bCs/>
              </w:rPr>
              <w:t>9</w:t>
            </w:r>
          </w:p>
        </w:tc>
        <w:tc>
          <w:tcPr>
            <w:tcW w:w="2841" w:type="dxa"/>
          </w:tcPr>
          <w:p w14:paraId="0E57496C" w14:textId="354172B1" w:rsidR="00424D7F" w:rsidRPr="003E6207" w:rsidRDefault="004A729E" w:rsidP="00424D7F">
            <w:pPr>
              <w:rPr>
                <w:rFonts w:ascii="Times New Roman" w:hAnsi="Times New Roman" w:cs="Times New Roman"/>
                <w:b/>
                <w:bCs/>
              </w:rPr>
            </w:pPr>
            <w:r w:rsidRPr="003E6207">
              <w:rPr>
                <w:rFonts w:ascii="Times New Roman" w:hAnsi="Times New Roman" w:cs="Times New Roman"/>
                <w:b/>
                <w:bCs/>
              </w:rPr>
              <w:t>3.4</w:t>
            </w:r>
          </w:p>
        </w:tc>
      </w:tr>
      <w:tr w:rsidR="004A729E" w14:paraId="171AE494" w14:textId="77777777" w:rsidTr="003E6207">
        <w:tc>
          <w:tcPr>
            <w:tcW w:w="2840" w:type="dxa"/>
            <w:tcBorders>
              <w:bottom w:val="single" w:sz="12" w:space="0" w:color="auto"/>
            </w:tcBorders>
          </w:tcPr>
          <w:p w14:paraId="5D3738D8" w14:textId="28CE399D" w:rsidR="004A729E" w:rsidRPr="003E6207" w:rsidRDefault="004A729E" w:rsidP="004A729E">
            <w:pPr>
              <w:widowControl/>
              <w:rPr>
                <w:rFonts w:ascii="Times New Roman" w:hAnsi="Times New Roman" w:cs="Times New Roman"/>
              </w:rPr>
            </w:pPr>
            <w:r w:rsidRPr="003E6207">
              <w:rPr>
                <w:rStyle w:val="fontstyle01"/>
                <w:rFonts w:ascii="Times New Roman" w:hAnsi="Times New Roman" w:cs="Times New Roman"/>
              </w:rPr>
              <w:t>P-value</w:t>
            </w:r>
            <w:r w:rsidRPr="003E6207">
              <w:rPr>
                <w:rStyle w:val="fontstyle01"/>
                <w:rFonts w:ascii="Times New Roman" w:hAnsi="Times New Roman" w:cs="Times New Roman"/>
                <w:vertAlign w:val="superscript"/>
              </w:rPr>
              <w:t>#</w:t>
            </w:r>
          </w:p>
        </w:tc>
        <w:tc>
          <w:tcPr>
            <w:tcW w:w="2841" w:type="dxa"/>
            <w:tcBorders>
              <w:bottom w:val="single" w:sz="12" w:space="0" w:color="auto"/>
            </w:tcBorders>
          </w:tcPr>
          <w:p w14:paraId="2A8C9554" w14:textId="5DC6644F" w:rsidR="004A729E" w:rsidRPr="003E6207" w:rsidRDefault="003E6207" w:rsidP="003E6207">
            <w:pPr>
              <w:widowControl/>
              <w:rPr>
                <w:rFonts w:ascii="Times New Roman" w:hAnsi="Times New Roman" w:cs="Times New Roman"/>
              </w:rPr>
            </w:pPr>
            <w:r w:rsidRPr="003E6207">
              <w:rPr>
                <w:rStyle w:val="fontstyle01"/>
                <w:rFonts w:ascii="Times New Roman" w:hAnsi="Times New Roman" w:cs="Times New Roman"/>
              </w:rPr>
              <w:t>&lt;0.0001</w:t>
            </w:r>
          </w:p>
        </w:tc>
        <w:tc>
          <w:tcPr>
            <w:tcW w:w="2841" w:type="dxa"/>
            <w:tcBorders>
              <w:bottom w:val="single" w:sz="12" w:space="0" w:color="auto"/>
            </w:tcBorders>
          </w:tcPr>
          <w:p w14:paraId="6E498FB4" w14:textId="6A955BBC" w:rsidR="004A729E" w:rsidRPr="003E6207" w:rsidRDefault="003E6207" w:rsidP="003E6207">
            <w:pPr>
              <w:widowControl/>
              <w:rPr>
                <w:rFonts w:ascii="Times New Roman" w:hAnsi="Times New Roman" w:cs="Times New Roman"/>
              </w:rPr>
            </w:pPr>
            <w:r w:rsidRPr="003E6207">
              <w:rPr>
                <w:rStyle w:val="fontstyle01"/>
                <w:rFonts w:ascii="Times New Roman" w:hAnsi="Times New Roman" w:cs="Times New Roman"/>
              </w:rPr>
              <w:t>&lt;0.0001</w:t>
            </w:r>
          </w:p>
        </w:tc>
      </w:tr>
    </w:tbl>
    <w:p w14:paraId="68E797A6" w14:textId="48FBF7F5" w:rsidR="00BF6220" w:rsidRPr="004A729E" w:rsidRDefault="00424D7F">
      <w:pPr>
        <w:rPr>
          <w:rStyle w:val="fontstyle01"/>
          <w:rFonts w:ascii="Times New Roman" w:hAnsi="Times New Roman" w:cs="Times New Roman"/>
        </w:rPr>
      </w:pPr>
      <w:r w:rsidRPr="004A729E">
        <w:rPr>
          <w:rFonts w:ascii="Times New Roman" w:hAnsi="Times New Roman" w:cs="Times New Roman"/>
          <w:b/>
          <w:bCs/>
        </w:rPr>
        <w:t xml:space="preserve">Supplemental </w:t>
      </w:r>
      <w:r w:rsidR="004A729E" w:rsidRPr="004A729E">
        <w:rPr>
          <w:rFonts w:ascii="Times New Roman" w:hAnsi="Times New Roman" w:cs="Times New Roman"/>
          <w:b/>
          <w:bCs/>
        </w:rPr>
        <w:t>table 5</w:t>
      </w:r>
      <w:r w:rsidR="004A729E" w:rsidRPr="004A729E">
        <w:rPr>
          <w:rFonts w:ascii="Times New Roman" w:hAnsi="Times New Roman" w:cs="Times New Roman"/>
        </w:rPr>
        <w:t xml:space="preserve"> </w:t>
      </w:r>
      <w:r w:rsidR="004A729E" w:rsidRPr="004A729E">
        <w:rPr>
          <w:rStyle w:val="fontstyle01"/>
          <w:rFonts w:ascii="Times New Roman" w:hAnsi="Times New Roman" w:cs="Times New Roman"/>
        </w:rPr>
        <w:t>Mankin score and hyaluronan (HA) staining index of intact and damaged</w:t>
      </w:r>
      <w:r w:rsidR="004A729E" w:rsidRPr="004A729E">
        <w:rPr>
          <w:rStyle w:val="fontstyle01"/>
          <w:rFonts w:ascii="Times New Roman" w:hAnsi="Times New Roman" w:cs="Times New Roman"/>
        </w:rPr>
        <w:t xml:space="preserve"> cartilage</w:t>
      </w:r>
      <w:r w:rsidR="004A729E" w:rsidRPr="004A729E">
        <w:rPr>
          <w:rFonts w:ascii="Times New Roman" w:hAnsi="Times New Roman" w:cs="Times New Roman"/>
          <w:color w:val="000000"/>
        </w:rPr>
        <w:br/>
      </w:r>
    </w:p>
    <w:p w14:paraId="056441BC" w14:textId="0CF64567" w:rsidR="004A729E" w:rsidRDefault="003E6207">
      <w:pPr>
        <w:rPr>
          <w:rFonts w:hint="eastAsia"/>
        </w:rPr>
      </w:pPr>
      <w:r>
        <w:rPr>
          <w:rFonts w:ascii="TimesNewRomanPSMT" w:hAnsi="TimesNewRomanPSMT"/>
          <w:color w:val="000000"/>
          <w:sz w:val="24"/>
          <w:szCs w:val="24"/>
        </w:rPr>
        <w:t>*</w:t>
      </w:r>
      <w:r w:rsidRPr="003E6207">
        <w:rPr>
          <w:rFonts w:ascii="TimesNewRomanPSMT" w:hAnsi="TimesNewRomanPSMT"/>
          <w:color w:val="000000"/>
          <w:sz w:val="24"/>
          <w:szCs w:val="24"/>
        </w:rPr>
        <w:t>The staining index (ranging from 0 to 12) was calculated as the intensity of HA staining</w:t>
      </w:r>
      <w:r>
        <w:rPr>
          <w:rFonts w:ascii="TimesNewRomanPSMT" w:hAnsi="TimesNewRomanPSMT"/>
          <w:color w:val="000000"/>
        </w:rPr>
        <w:t xml:space="preserve"> </w:t>
      </w:r>
      <w:r w:rsidRPr="003E6207">
        <w:rPr>
          <w:rFonts w:ascii="TimesNewRomanPSMT" w:hAnsi="TimesNewRomanPSMT"/>
          <w:color w:val="000000"/>
          <w:sz w:val="24"/>
          <w:szCs w:val="24"/>
        </w:rPr>
        <w:t>(0, negative; 1, weakly positive; 2, positive; 3, strongly positive)</w:t>
      </w:r>
      <w:r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3E6207">
        <w:rPr>
          <w:rFonts w:ascii="TimesNewRomanPSMT" w:hAnsi="TimesNewRomanPSMT"/>
          <w:color w:val="000000"/>
          <w:sz w:val="24"/>
          <w:szCs w:val="24"/>
        </w:rPr>
        <w:t>multiplied by the</w:t>
      </w:r>
      <w:r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Pr="003E6207">
        <w:rPr>
          <w:rFonts w:ascii="TimesNewRomanPSMT" w:hAnsi="TimesNewRomanPSMT"/>
          <w:color w:val="000000"/>
          <w:sz w:val="24"/>
          <w:szCs w:val="24"/>
        </w:rPr>
        <w:t>proportion of immunopositive cells (0, 0%; 1, &lt;10%; 2, 10–49.9%; 3, 50–74.9%; 4,</w:t>
      </w:r>
      <w:r w:rsidR="00CB7DC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="00CB7DC8" w:rsidRPr="00CB7DC8">
        <w:rPr>
          <w:rFonts w:ascii="TimesNewRomanPSMT" w:hAnsi="TimesNewRomanPSMT"/>
          <w:color w:val="000000"/>
          <w:sz w:val="24"/>
          <w:szCs w:val="24"/>
        </w:rPr>
        <w:t>≥75).</w:t>
      </w:r>
      <w:r w:rsidR="00CB7DC8">
        <w:rPr>
          <w:rFonts w:ascii="TimesNewRomanPSMT" w:hAnsi="TimesNewRomanPSMT"/>
          <w:color w:val="000000"/>
          <w:sz w:val="24"/>
          <w:szCs w:val="24"/>
        </w:rPr>
        <w:t xml:space="preserve"> </w:t>
      </w:r>
      <w:r w:rsidR="004356E4" w:rsidRPr="004A160E">
        <w:rPr>
          <w:rFonts w:ascii="TimesNewRomanPSMT" w:hAnsi="TimesNewRomanPSMT"/>
          <w:color w:val="000000"/>
          <w:sz w:val="24"/>
          <w:szCs w:val="24"/>
          <w:vertAlign w:val="superscript"/>
        </w:rPr>
        <w:t>#</w:t>
      </w:r>
      <w:r w:rsidR="004356E4">
        <w:rPr>
          <w:rFonts w:ascii="TimesNewRomanPSMT" w:hAnsi="TimesNewRomanPSMT"/>
          <w:color w:val="000000"/>
          <w:sz w:val="24"/>
          <w:szCs w:val="24"/>
        </w:rPr>
        <w:t xml:space="preserve">Wilcoxon’s </w:t>
      </w:r>
      <w:r w:rsidR="004A160E">
        <w:rPr>
          <w:rFonts w:ascii="TimesNewRomanPSMT" w:hAnsi="TimesNewRomanPSMT"/>
          <w:color w:val="000000"/>
          <w:sz w:val="24"/>
          <w:szCs w:val="24"/>
        </w:rPr>
        <w:t xml:space="preserve">signed rank </w:t>
      </w:r>
      <w:r w:rsidR="004356E4">
        <w:rPr>
          <w:rFonts w:ascii="TimesNewRomanPSMT" w:hAnsi="TimesNewRomanPSMT"/>
          <w:color w:val="000000"/>
          <w:sz w:val="24"/>
          <w:szCs w:val="24"/>
        </w:rPr>
        <w:t>test</w:t>
      </w:r>
      <w:r w:rsidR="004A160E">
        <w:rPr>
          <w:rFonts w:ascii="TimesNewRomanPSMT" w:hAnsi="TimesNewRomanPSMT"/>
          <w:color w:val="000000"/>
          <w:sz w:val="24"/>
          <w:szCs w:val="24"/>
        </w:rPr>
        <w:t>, p &lt; 0.0001.</w:t>
      </w:r>
      <w:bookmarkStart w:id="0" w:name="_GoBack"/>
      <w:bookmarkEnd w:id="0"/>
    </w:p>
    <w:sectPr w:rsidR="004A72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B11568"/>
    <w:rsid w:val="003E6207"/>
    <w:rsid w:val="00424D7F"/>
    <w:rsid w:val="004356E4"/>
    <w:rsid w:val="004A160E"/>
    <w:rsid w:val="004A729E"/>
    <w:rsid w:val="00B11568"/>
    <w:rsid w:val="00BF6220"/>
    <w:rsid w:val="00CB7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F82C9"/>
  <w15:chartTrackingRefBased/>
  <w15:docId w15:val="{CB4DAB61-F399-414F-89CA-1501F1A7B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4D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4A729E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74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84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61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78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75</Words>
  <Characters>430</Characters>
  <Application>Microsoft Office Word</Application>
  <DocSecurity>0</DocSecurity>
  <Lines>3</Lines>
  <Paragraphs>1</Paragraphs>
  <ScaleCrop>false</ScaleCrop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2020-10-14T08:59:00Z</dcterms:created>
  <dcterms:modified xsi:type="dcterms:W3CDTF">2020-10-14T09:10:00Z</dcterms:modified>
</cp:coreProperties>
</file>