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2B6A1" w14:textId="77777777" w:rsidR="00275FF0" w:rsidRPr="00991D5C" w:rsidRDefault="00275FF0" w:rsidP="00275FF0">
      <w:pPr>
        <w:rPr>
          <w:rFonts w:asciiTheme="majorBidi" w:eastAsia="Times New Roman" w:hAnsiTheme="majorBidi" w:cstheme="majorBidi"/>
          <w:sz w:val="22"/>
          <w:szCs w:val="22"/>
        </w:rPr>
      </w:pPr>
      <w:r w:rsidRPr="00991D5C">
        <w:rPr>
          <w:rFonts w:asciiTheme="majorBidi" w:eastAsia="Times New Roman" w:hAnsiTheme="majorBidi" w:cstheme="majorBidi"/>
          <w:sz w:val="22"/>
          <w:szCs w:val="22"/>
        </w:rPr>
        <w:t>Supplementary Table 3. Random-effects meta-regression sensitivity analyses</w:t>
      </w:r>
    </w:p>
    <w:tbl>
      <w:tblPr>
        <w:tblW w:w="13804" w:type="dxa"/>
        <w:tblInd w:w="1" w:type="dxa"/>
        <w:tblLayout w:type="fixed"/>
        <w:tblLook w:val="0400" w:firstRow="0" w:lastRow="0" w:firstColumn="0" w:lastColumn="0" w:noHBand="0" w:noVBand="1"/>
      </w:tblPr>
      <w:tblGrid>
        <w:gridCol w:w="1249"/>
        <w:gridCol w:w="4723"/>
        <w:gridCol w:w="436"/>
        <w:gridCol w:w="616"/>
        <w:gridCol w:w="616"/>
        <w:gridCol w:w="1430"/>
        <w:gridCol w:w="952"/>
        <w:gridCol w:w="500"/>
        <w:gridCol w:w="1264"/>
        <w:gridCol w:w="2018"/>
      </w:tblGrid>
      <w:tr w:rsidR="00275FF0" w:rsidRPr="00991D5C" w14:paraId="2C61E7AD" w14:textId="77777777" w:rsidTr="003C3548">
        <w:trPr>
          <w:trHeight w:val="770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4FFE6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Sensitivity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A0A58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Moderator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BD279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k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63337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β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794DA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SE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66128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95% CI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A465F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A9AAE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R²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CDBE7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Residual I²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D0CD3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Q_E (df), p</w:t>
            </w:r>
          </w:p>
        </w:tc>
      </w:tr>
      <w:tr w:rsidR="00275FF0" w:rsidRPr="00991D5C" w14:paraId="23C457D8" w14:textId="77777777" w:rsidTr="003C3548">
        <w:trPr>
          <w:trHeight w:val="770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19657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M1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14DD1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Per-session dose (per 100,000 IU)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305F7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17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8DA06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0.05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11DC7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0.25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03009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15"/>
                <w:id w:val="-1040223947"/>
              </w:sdtPr>
              <w:sdtContent>
                <w:r w:rsidRPr="00991D5C">
                  <w:rPr>
                    <w:rFonts w:asciiTheme="majorBidi" w:eastAsia="Gungsuh" w:hAnsiTheme="majorBidi" w:cstheme="majorBidi"/>
                    <w:sz w:val="22"/>
                    <w:szCs w:val="22"/>
                  </w:rPr>
                  <w:t>−0.44 to 0.54</w:t>
                </w:r>
              </w:sdtContent>
            </w:sdt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FB3D2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0.84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23E01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0%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18779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79.1%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7285E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59.57 (15), &lt;0.0001</w:t>
            </w:r>
          </w:p>
        </w:tc>
      </w:tr>
      <w:tr w:rsidR="00275FF0" w:rsidRPr="00991D5C" w14:paraId="5D4BDFB7" w14:textId="77777777" w:rsidTr="003C3548">
        <w:trPr>
          <w:trHeight w:val="770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ACE10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M2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0186D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Cumulative dose (per 100,000 IU)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5D48E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17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825F2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0.02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4B75D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0.06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B4DC3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16"/>
                <w:id w:val="1026977839"/>
              </w:sdtPr>
              <w:sdtContent>
                <w:r w:rsidRPr="00991D5C">
                  <w:rPr>
                    <w:rFonts w:asciiTheme="majorBidi" w:eastAsia="Gungsuh" w:hAnsiTheme="majorBidi" w:cstheme="majorBidi"/>
                    <w:sz w:val="22"/>
                    <w:szCs w:val="22"/>
                  </w:rPr>
                  <w:t>−0.09 to 0.14</w:t>
                </w:r>
              </w:sdtContent>
            </w:sdt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33005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0.67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60529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0%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0CB77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78.8%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A5856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58.61 (15), &lt;0.0001</w:t>
            </w:r>
          </w:p>
        </w:tc>
      </w:tr>
      <w:tr w:rsidR="00275FF0" w:rsidRPr="00991D5C" w14:paraId="0D9D3BEA" w14:textId="77777777" w:rsidTr="003C3548">
        <w:trPr>
          <w:trHeight w:val="1040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24EB7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M3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29727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Vitamin D3 arm assessment duration (per week)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D7062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17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D48CE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0.03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EBB36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0.03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0DF2F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17"/>
                <w:id w:val="822581603"/>
              </w:sdtPr>
              <w:sdtContent>
                <w:r w:rsidRPr="00991D5C">
                  <w:rPr>
                    <w:rFonts w:asciiTheme="majorBidi" w:eastAsia="Gungsuh" w:hAnsiTheme="majorBidi" w:cstheme="majorBidi"/>
                    <w:sz w:val="22"/>
                    <w:szCs w:val="22"/>
                  </w:rPr>
                  <w:t>−0.04 to 0.10</w:t>
                </w:r>
              </w:sdtContent>
            </w:sdt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EDC60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0.40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92199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0%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AB271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78.3%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C53F2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57.75 (15), &lt;0.0001</w:t>
            </w:r>
          </w:p>
        </w:tc>
      </w:tr>
      <w:tr w:rsidR="00275FF0" w:rsidRPr="00991D5C" w14:paraId="35150ACF" w14:textId="77777777" w:rsidTr="003C3548">
        <w:trPr>
          <w:trHeight w:val="770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0410B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M4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C364F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Saline arm assessment duration (per week)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C6372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FD1BA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0.12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D80B8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0.38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FFCDF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18"/>
                <w:id w:val="-1344901311"/>
              </w:sdtPr>
              <w:sdtContent>
                <w:r w:rsidRPr="00991D5C">
                  <w:rPr>
                    <w:rFonts w:asciiTheme="majorBidi" w:eastAsia="Gungsuh" w:hAnsiTheme="majorBidi" w:cstheme="majorBidi"/>
                    <w:sz w:val="22"/>
                    <w:szCs w:val="22"/>
                  </w:rPr>
                  <w:t>−0.63 to 0.86</w:t>
                </w:r>
              </w:sdtContent>
            </w:sdt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4AB50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0.76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CEDA9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0%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63ED1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87.3%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4AA45" w14:textId="77777777" w:rsidR="00275FF0" w:rsidRPr="00991D5C" w:rsidRDefault="00275FF0" w:rsidP="003C3548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91D5C">
              <w:rPr>
                <w:rFonts w:asciiTheme="majorBidi" w:eastAsia="Times New Roman" w:hAnsiTheme="majorBidi" w:cstheme="majorBidi"/>
                <w:sz w:val="22"/>
                <w:szCs w:val="22"/>
              </w:rPr>
              <w:t>34.46 (5), &lt;0.0001</w:t>
            </w:r>
          </w:p>
        </w:tc>
      </w:tr>
    </w:tbl>
    <w:p w14:paraId="034C76DA" w14:textId="77777777" w:rsidR="00275FF0" w:rsidRPr="00991D5C" w:rsidRDefault="00275FF0" w:rsidP="00275FF0">
      <w:pPr>
        <w:rPr>
          <w:rFonts w:asciiTheme="majorBidi" w:eastAsia="Times New Roman" w:hAnsiTheme="majorBidi" w:cstheme="majorBidi"/>
          <w:sz w:val="16"/>
          <w:szCs w:val="16"/>
        </w:rPr>
      </w:pPr>
      <w:r w:rsidRPr="00991D5C">
        <w:rPr>
          <w:rFonts w:asciiTheme="majorBidi" w:eastAsia="Times New Roman" w:hAnsiTheme="majorBidi" w:cstheme="majorBidi"/>
          <w:b/>
          <w:bCs/>
          <w:sz w:val="22"/>
          <w:szCs w:val="22"/>
        </w:rPr>
        <w:t>Footnote.</w:t>
      </w:r>
      <w:r w:rsidRPr="00991D5C">
        <w:rPr>
          <w:rFonts w:asciiTheme="majorBidi" w:eastAsia="Times New Roman" w:hAnsiTheme="majorBidi" w:cstheme="majorBidi"/>
          <w:sz w:val="22"/>
          <w:szCs w:val="22"/>
        </w:rPr>
        <w:t xml:space="preserve"> </w:t>
      </w:r>
      <w:r w:rsidRPr="00991D5C">
        <w:rPr>
          <w:rFonts w:asciiTheme="majorBidi" w:eastAsia="Times New Roman" w:hAnsiTheme="majorBidi" w:cstheme="majorBidi"/>
          <w:sz w:val="16"/>
          <w:szCs w:val="16"/>
        </w:rPr>
        <w:t>Each row represents a random-effects meta-regression on single-arm clearance proportions (logit-transformed) with the listed continuous moderator. M1–M3 used vitamin D3 arm data from all 17 included studies; M4 used saline arm data from the seven placebo-controlled studies. β is the regression coefficient for the moderator on the logit scale per unit increase. R² represents the proportion of between-study heterogeneity explained by the moderator. Residual I² and Q_E reflect heterogeneity remaining after accounting for the moderator. A sub-sensitivity excluding the two studies with assumed vitamin D3 concentrations (Lahoria 2023,Singh 2022) yielded coefficients consistent with M1 and M2 [16,26]; results are described narratively in the main text. Across all four meta-regressions, no moderator was significantly associated with clearance probability and none explained any of the substantial between-study heterogeneity. CI, confidence interval; Q_E, test for residual heterogeneity; SE, standard error.</w:t>
      </w:r>
    </w:p>
    <w:p w14:paraId="737CD9E9" w14:textId="77777777" w:rsidR="0048679D" w:rsidRDefault="0048679D"/>
    <w:sectPr w:rsidR="0048679D" w:rsidSect="00275FF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FF0"/>
    <w:rsid w:val="00033A59"/>
    <w:rsid w:val="00275FF0"/>
    <w:rsid w:val="0048679D"/>
    <w:rsid w:val="006B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EC8C7"/>
  <w15:chartTrackingRefBased/>
  <w15:docId w15:val="{FB703B98-E371-43A4-B26A-FB43A27F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FF0"/>
    <w:rPr>
      <w:rFonts w:ascii="Aptos" w:eastAsia="Aptos" w:hAnsi="Aptos" w:cs="Aptos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5F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5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5FF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FF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FF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FF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FF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FF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FF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F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5F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5F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F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F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F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F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F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F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F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75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FF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75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FF0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75F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5FF0"/>
    <w:pPr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75F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F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F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F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1343</Characters>
  <Application>Microsoft Office Word</Application>
  <DocSecurity>0</DocSecurity>
  <Lines>103</Lines>
  <Paragraphs>99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yasir muslih</dc:creator>
  <cp:keywords/>
  <dc:description/>
  <cp:lastModifiedBy>yasir muslih</cp:lastModifiedBy>
  <cp:revision>1</cp:revision>
  <dcterms:created xsi:type="dcterms:W3CDTF">2026-05-22T03:16:00Z</dcterms:created>
  <dcterms:modified xsi:type="dcterms:W3CDTF">2026-05-22T03:17:00Z</dcterms:modified>
</cp:coreProperties>
</file>