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CCD2" w14:textId="33381114" w:rsidR="006E384D" w:rsidRPr="00991D5C" w:rsidRDefault="006E384D" w:rsidP="006E384D">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 xml:space="preserve">Supplementary Table </w:t>
      </w:r>
      <w:r w:rsidR="00EB6E1E">
        <w:rPr>
          <w:rFonts w:asciiTheme="majorBidi" w:eastAsia="Times New Roman" w:hAnsiTheme="majorBidi" w:cstheme="majorBidi"/>
          <w:sz w:val="22"/>
          <w:szCs w:val="22"/>
        </w:rPr>
        <w:t>1</w:t>
      </w:r>
      <w:r w:rsidRPr="00991D5C">
        <w:rPr>
          <w:rFonts w:asciiTheme="majorBidi" w:eastAsia="Times New Roman" w:hAnsiTheme="majorBidi" w:cstheme="majorBidi"/>
          <w:sz w:val="22"/>
          <w:szCs w:val="22"/>
        </w:rPr>
        <w:t>. Sensitivity analysis results across network meta-analyses</w:t>
      </w:r>
    </w:p>
    <w:tbl>
      <w:tblPr>
        <w:tblW w:w="14389" w:type="dxa"/>
        <w:tblInd w:w="1" w:type="dxa"/>
        <w:tblLayout w:type="fixed"/>
        <w:tblLook w:val="0400" w:firstRow="0" w:lastRow="0" w:firstColumn="0" w:lastColumn="0" w:noHBand="0" w:noVBand="1"/>
      </w:tblPr>
      <w:tblGrid>
        <w:gridCol w:w="2495"/>
        <w:gridCol w:w="1605"/>
        <w:gridCol w:w="1605"/>
        <w:gridCol w:w="2052"/>
        <w:gridCol w:w="2755"/>
        <w:gridCol w:w="1601"/>
        <w:gridCol w:w="2276"/>
      </w:tblGrid>
      <w:tr w:rsidR="006E384D" w:rsidRPr="00991D5C" w14:paraId="755974A8" w14:textId="77777777" w:rsidTr="003C3548">
        <w:trPr>
          <w:trHeight w:val="131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4D8AF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Statistic</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D967D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Main</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72A1B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S1: No Fathy</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B1C84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S2: No Fathy &amp; Lahoria</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5E63B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S3: No Fathy, Lahoria &amp; El Sayed</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23C48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S4: No Lahoria</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3794E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S5: No Lahoria &amp; El Sayed</w:t>
            </w:r>
          </w:p>
        </w:tc>
      </w:tr>
      <w:tr w:rsidR="006E384D" w:rsidRPr="00991D5C" w14:paraId="589709C1" w14:textId="77777777" w:rsidTr="003C3548">
        <w:trPr>
          <w:trHeight w:val="500"/>
        </w:trPr>
        <w:tc>
          <w:tcPr>
            <w:tcW w:w="14390" w:type="dxa"/>
            <w:gridSpan w:val="7"/>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DD371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Network characteristics</w:t>
            </w:r>
          </w:p>
        </w:tc>
      </w:tr>
      <w:tr w:rsidR="006E384D" w:rsidRPr="00991D5C" w14:paraId="0E12A8A7"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5E04E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k (studies)</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EE2EC9"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17</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85C94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16</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88B1F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15</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1F470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41D79"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16</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1B8D8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15</w:t>
            </w:r>
          </w:p>
        </w:tc>
      </w:tr>
      <w:tr w:rsidR="006E384D" w:rsidRPr="00991D5C" w14:paraId="2414930D"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DCD25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Treatments (n)</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7DBB2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8</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82A57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8</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1259D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0E3D8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5BB13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A9B1B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w:t>
            </w:r>
          </w:p>
        </w:tc>
      </w:tr>
      <w:tr w:rsidR="006E384D" w:rsidRPr="00991D5C" w14:paraId="16AD46FD"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5A291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Designs (d)</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E67F1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11</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A6703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11</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2CE10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C18F9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9</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AEDA6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FDFBA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9</w:t>
            </w:r>
          </w:p>
        </w:tc>
      </w:tr>
      <w:tr w:rsidR="006E384D" w:rsidRPr="00991D5C" w14:paraId="22A89221"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89064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Pairwise comparisons (m)</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C32F6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42</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FF740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39</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137ED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33</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F51A4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30</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FED7E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36</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ADDA9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33</w:t>
            </w:r>
          </w:p>
        </w:tc>
      </w:tr>
      <w:tr w:rsidR="006E384D" w:rsidRPr="00991D5C" w14:paraId="26FF1BD8" w14:textId="77777777" w:rsidTr="003C3548">
        <w:trPr>
          <w:trHeight w:val="770"/>
        </w:trPr>
        <w:tc>
          <w:tcPr>
            <w:tcW w:w="14390" w:type="dxa"/>
            <w:gridSpan w:val="7"/>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FAAE5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Heterogeneity (within-designs)</w:t>
            </w:r>
          </w:p>
        </w:tc>
      </w:tr>
      <w:tr w:rsidR="006E384D" w:rsidRPr="00991D5C" w14:paraId="6430AEA6"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DBF7F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Q</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C3EDE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25.00</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89D15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2.91</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2FDE9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2.91</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7A988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2.91</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3B295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25.00</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AD0F4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25.00</w:t>
            </w:r>
          </w:p>
        </w:tc>
      </w:tr>
      <w:tr w:rsidR="006E384D" w:rsidRPr="00991D5C" w14:paraId="68B29283"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A9008E" w14:textId="77777777" w:rsidR="006E384D" w:rsidRPr="00991D5C" w:rsidRDefault="006E384D" w:rsidP="003C3548">
            <w:pPr>
              <w:rPr>
                <w:rFonts w:asciiTheme="majorBidi" w:eastAsia="Times New Roman" w:hAnsiTheme="majorBidi" w:cstheme="majorBidi"/>
                <w:sz w:val="22"/>
                <w:szCs w:val="22"/>
              </w:rPr>
            </w:pPr>
            <w:proofErr w:type="spellStart"/>
            <w:r w:rsidRPr="00991D5C">
              <w:rPr>
                <w:rFonts w:asciiTheme="majorBidi" w:eastAsia="Times New Roman" w:hAnsiTheme="majorBidi" w:cstheme="majorBidi"/>
                <w:sz w:val="22"/>
                <w:szCs w:val="22"/>
              </w:rPr>
              <w:t>df</w:t>
            </w:r>
            <w:proofErr w:type="spellEnd"/>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8710C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9C00F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DE70B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97892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767C0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8216D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w:t>
            </w:r>
          </w:p>
        </w:tc>
      </w:tr>
      <w:tr w:rsidR="006E384D" w:rsidRPr="00991D5C" w14:paraId="65C7520D"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ABA11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p-value</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4F4EE9"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0.0008</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9327E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0.71</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6E619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0.71</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A1EEA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0.71</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4DB45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0.0008</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0B68F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0.0008</w:t>
            </w:r>
          </w:p>
        </w:tc>
      </w:tr>
      <w:tr w:rsidR="006E384D" w:rsidRPr="00991D5C" w14:paraId="662386D0" w14:textId="77777777" w:rsidTr="003C3548">
        <w:trPr>
          <w:trHeight w:val="770"/>
        </w:trPr>
        <w:tc>
          <w:tcPr>
            <w:tcW w:w="14390" w:type="dxa"/>
            <w:gridSpan w:val="7"/>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A3BA0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Inconsistency: between-designs Q (combined)</w:t>
            </w:r>
          </w:p>
        </w:tc>
      </w:tr>
      <w:tr w:rsidR="006E384D" w:rsidRPr="00991D5C" w14:paraId="1F1768C4"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F7BA3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Q</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AFDC5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53.62</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A417D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59.65</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3496F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38.89</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8F2F4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33.61</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14C80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29.75</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4B62B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22.17</w:t>
            </w:r>
          </w:p>
        </w:tc>
      </w:tr>
      <w:tr w:rsidR="006E384D" w:rsidRPr="00991D5C" w14:paraId="3E74A246"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1AEFF5" w14:textId="77777777" w:rsidR="006E384D" w:rsidRPr="00991D5C" w:rsidRDefault="006E384D" w:rsidP="003C3548">
            <w:pPr>
              <w:rPr>
                <w:rFonts w:asciiTheme="majorBidi" w:eastAsia="Times New Roman" w:hAnsiTheme="majorBidi" w:cstheme="majorBidi"/>
                <w:sz w:val="22"/>
                <w:szCs w:val="22"/>
              </w:rPr>
            </w:pPr>
            <w:proofErr w:type="spellStart"/>
            <w:r w:rsidRPr="00991D5C">
              <w:rPr>
                <w:rFonts w:asciiTheme="majorBidi" w:eastAsia="Times New Roman" w:hAnsiTheme="majorBidi" w:cstheme="majorBidi"/>
                <w:sz w:val="22"/>
                <w:szCs w:val="22"/>
              </w:rPr>
              <w:lastRenderedPageBreak/>
              <w:t>df</w:t>
            </w:r>
            <w:proofErr w:type="spellEnd"/>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74722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4C2E7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9E6A9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12</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6BC58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86808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12</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FD676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w:t>
            </w:r>
          </w:p>
        </w:tc>
      </w:tr>
      <w:tr w:rsidR="006E384D" w:rsidRPr="00991D5C" w14:paraId="7F626273"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8238B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p-value</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C588E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&lt;0.0001</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23203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&lt;0.0001</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981E0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0.0001</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C4948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0.0002</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841D9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0.003</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71374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0.014</w:t>
            </w:r>
          </w:p>
        </w:tc>
      </w:tr>
      <w:tr w:rsidR="006E384D" w:rsidRPr="00991D5C" w14:paraId="48D7C183"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67D6C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I²</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A86E9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73.3%</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A72A8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69.6%</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18A76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59.3%</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DA491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58.9%</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34010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65.3%</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18509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64.0%</w:t>
            </w:r>
          </w:p>
        </w:tc>
      </w:tr>
      <w:tr w:rsidR="006E384D" w:rsidRPr="00991D5C" w14:paraId="346F09AD"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279B9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τ²</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88403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1.05</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13D0A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0.83</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384E4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0.58</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1F580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0.61</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7FE29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0.79</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23B1F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0.79</w:t>
            </w:r>
          </w:p>
        </w:tc>
      </w:tr>
      <w:tr w:rsidR="006E384D" w:rsidRPr="00991D5C" w14:paraId="15B92D82" w14:textId="77777777" w:rsidTr="003C3548">
        <w:trPr>
          <w:trHeight w:val="1040"/>
        </w:trPr>
        <w:tc>
          <w:tcPr>
            <w:tcW w:w="14390" w:type="dxa"/>
            <w:gridSpan w:val="7"/>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D30D7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Inconsistency: design-by-treatment interaction (random-effects)</w:t>
            </w:r>
          </w:p>
        </w:tc>
      </w:tr>
      <w:tr w:rsidR="006E384D" w:rsidRPr="00991D5C" w14:paraId="52B92D52"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13976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Q</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A57AE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18.81</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68DA3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59.65</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894CB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38.89</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50302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33.61</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53A90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11.86</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87404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8.97</w:t>
            </w:r>
          </w:p>
        </w:tc>
      </w:tr>
      <w:tr w:rsidR="006E384D" w:rsidRPr="00991D5C" w14:paraId="7A86876C"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0C7A9B" w14:textId="77777777" w:rsidR="006E384D" w:rsidRPr="00991D5C" w:rsidRDefault="006E384D" w:rsidP="003C3548">
            <w:pPr>
              <w:rPr>
                <w:rFonts w:asciiTheme="majorBidi" w:eastAsia="Times New Roman" w:hAnsiTheme="majorBidi" w:cstheme="majorBidi"/>
                <w:sz w:val="22"/>
                <w:szCs w:val="22"/>
              </w:rPr>
            </w:pPr>
            <w:proofErr w:type="spellStart"/>
            <w:r w:rsidRPr="00991D5C">
              <w:rPr>
                <w:rFonts w:asciiTheme="majorBidi" w:eastAsia="Times New Roman" w:hAnsiTheme="majorBidi" w:cstheme="majorBidi"/>
                <w:sz w:val="22"/>
                <w:szCs w:val="22"/>
              </w:rPr>
              <w:t>df</w:t>
            </w:r>
            <w:proofErr w:type="spellEnd"/>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C861A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57193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6FFD6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12</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59DDE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A3575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12</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5B603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w:t>
            </w:r>
          </w:p>
        </w:tc>
      </w:tr>
      <w:tr w:rsidR="006E384D" w:rsidRPr="00991D5C" w14:paraId="2D2B2744"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0646F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p-value</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DCB6E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0.17</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61F24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&lt;0.0001</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99056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0.0001</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72333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0.0002</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2482A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0.46</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B606A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0.54</w:t>
            </w:r>
          </w:p>
        </w:tc>
      </w:tr>
      <w:tr w:rsidR="006E384D" w:rsidRPr="00991D5C" w14:paraId="32A510A6"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8E1E5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τ within</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2DCF4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0.96</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74FBE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F0C07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1425C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FA95B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0.96</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4D82F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0.96</w:t>
            </w:r>
          </w:p>
        </w:tc>
      </w:tr>
      <w:tr w:rsidR="006E384D" w:rsidRPr="00991D5C" w14:paraId="1E68662C" w14:textId="77777777" w:rsidTr="003C3548">
        <w:trPr>
          <w:trHeight w:val="770"/>
        </w:trPr>
        <w:tc>
          <w:tcPr>
            <w:tcW w:w="14390" w:type="dxa"/>
            <w:gridSpan w:val="7"/>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7C738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OR vs. Vitamin D3 (95% CI)</w:t>
            </w:r>
          </w:p>
        </w:tc>
      </w:tr>
      <w:tr w:rsidR="006E384D" w:rsidRPr="00991D5C" w14:paraId="2BD9CCF8" w14:textId="77777777" w:rsidTr="003C3548">
        <w:trPr>
          <w:trHeight w:val="104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2469F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Saline</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01449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0.16 (0.06–0.42)*</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B1249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0.21 (0.08–0.54)*</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D695C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0.11 (0.04–0.31)*</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3C6E6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0.07 (0.02–0.23)*</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65067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0.09 (0.03–0.24)*</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B6E0C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0.05 (0.02–0.17)*</w:t>
            </w:r>
          </w:p>
        </w:tc>
      </w:tr>
      <w:tr w:rsidR="006E384D" w:rsidRPr="00991D5C" w14:paraId="18525E3E" w14:textId="77777777" w:rsidTr="003C3548">
        <w:trPr>
          <w:trHeight w:val="104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99130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Digoxin/furosemide</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7C7BB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0.38 (0.05–3.08)</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A3ED5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0.47 (0.07–3.23)</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D4B06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0.45 (0.08–2.52)</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7FD65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0.42 (0.07–2.41)</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4F155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0.37 (0.06–2.42)</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F33C0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0.35 (0.05–2.28)</w:t>
            </w:r>
          </w:p>
        </w:tc>
      </w:tr>
      <w:tr w:rsidR="006E384D" w:rsidRPr="00991D5C" w14:paraId="031D9519" w14:textId="77777777" w:rsidTr="003C3548">
        <w:trPr>
          <w:trHeight w:val="104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F61C8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lastRenderedPageBreak/>
              <w:t>MIP</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B0729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0.47 (0.08–2.93)</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2973D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0.53 (0.10–2.79)</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4C9B5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EF91C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B9265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017CC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w:t>
            </w:r>
          </w:p>
        </w:tc>
      </w:tr>
      <w:tr w:rsidR="006E384D" w:rsidRPr="00991D5C" w14:paraId="390EA7E2" w14:textId="77777777" w:rsidTr="003C3548">
        <w:trPr>
          <w:trHeight w:val="104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EDA4A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Zinc</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D2092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0.62 (0.18–2.11)</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B5613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0.72 (0.23–2.25)</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5FBBE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0.59 (0.21–1.65)</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B91C0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0.42 (0.12–1.52)</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74594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0.50 (0.16–1.55)</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930AB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0.36 (0.09–1.43)</w:t>
            </w:r>
          </w:p>
        </w:tc>
      </w:tr>
      <w:tr w:rsidR="006E384D" w:rsidRPr="00991D5C" w14:paraId="31C05C25" w14:textId="77777777" w:rsidTr="003C3548">
        <w:trPr>
          <w:trHeight w:val="104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4B52A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MMR</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AFC54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1.01 (0.44–2.33)</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3066D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1.07 (0.50–2.32)</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E58D4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1.47 (0.69–3.12)</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6AF5A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1.44 (0.67–3.10)</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5FCFD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1.39 (0.60–3.21)</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B5CE8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1.37 (0.60–3.16)</w:t>
            </w:r>
          </w:p>
        </w:tc>
      </w:tr>
      <w:tr w:rsidR="006E384D" w:rsidRPr="00991D5C" w14:paraId="39D527B2" w14:textId="77777777" w:rsidTr="003C3548">
        <w:trPr>
          <w:trHeight w:val="104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9BC82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Candida</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59D89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1.35 (0.51–3.62)</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D78FB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2.02 (0.74–5.48)</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B2594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1.86 (0.76–4.56)</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177F7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1.63 (0.65–4.10)</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81B21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1.23 (0.50–3.04)</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99657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1.09 (0.44–2.71)</w:t>
            </w:r>
          </w:p>
        </w:tc>
      </w:tr>
      <w:tr w:rsidR="006E384D" w:rsidRPr="00991D5C" w14:paraId="01C4A460" w14:textId="77777777" w:rsidTr="003C3548">
        <w:trPr>
          <w:trHeight w:val="104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60AAD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PPD</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880F0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1.42 (0.46–4.33)</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B4FCC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1.51 (0.54–4.25)</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51F61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1.52 (0.60–3.82)</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5BD3F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1.46 (0.57–3.71)</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DF4FE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1.42 (0.51–3.92)</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08E1A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1.36 (0.49–3.76)</w:t>
            </w:r>
          </w:p>
        </w:tc>
      </w:tr>
      <w:tr w:rsidR="006E384D" w:rsidRPr="00991D5C" w14:paraId="64B6DB7D" w14:textId="77777777" w:rsidTr="003C3548">
        <w:trPr>
          <w:trHeight w:val="500"/>
        </w:trPr>
        <w:tc>
          <w:tcPr>
            <w:tcW w:w="14390" w:type="dxa"/>
            <w:gridSpan w:val="7"/>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E2A3E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P-score</w:t>
            </w:r>
          </w:p>
        </w:tc>
      </w:tr>
      <w:tr w:rsidR="006E384D" w:rsidRPr="00991D5C" w14:paraId="47544E20"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0F440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PPD</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B1461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0.79</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DAA4C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0.77</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EFC6D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0.75</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AB5B6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0.76</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DE549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0.78</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5FD3F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0.78</w:t>
            </w:r>
          </w:p>
        </w:tc>
      </w:tr>
      <w:tr w:rsidR="006E384D" w:rsidRPr="00991D5C" w14:paraId="7AD92EA6"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460AD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Candida</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1A1B6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0.78</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99A3E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0.89</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31567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0.85</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D0098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0.82</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09324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0.72</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DB22F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0.68</w:t>
            </w:r>
          </w:p>
        </w:tc>
      </w:tr>
      <w:tr w:rsidR="006E384D" w:rsidRPr="00991D5C" w14:paraId="6798185D"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DF9D19"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MMR</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9ABF9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0.64</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B4F946"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0.61</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CB97BF"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0.74</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893F6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0.76</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51EAB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0.78</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A582D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0.80</w:t>
            </w:r>
          </w:p>
        </w:tc>
      </w:tr>
      <w:tr w:rsidR="006E384D" w:rsidRPr="00991D5C" w14:paraId="7FAC96D8"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EB877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Vitamin D3</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B8DEB5"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0.63</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44B6F9"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0.57</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2C339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0.52</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C500F9"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0.55</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C342B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0.59</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E38D3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0.62</w:t>
            </w:r>
          </w:p>
        </w:tc>
      </w:tr>
      <w:tr w:rsidR="006E384D" w:rsidRPr="00991D5C" w14:paraId="4891D26F"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23DAF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Zinc</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93672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0.43</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E8487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0.44</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2FB64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0.33</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7151A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0.29</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558D6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0.33</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1E117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0.29</w:t>
            </w:r>
          </w:p>
        </w:tc>
      </w:tr>
      <w:tr w:rsidR="006E384D" w:rsidRPr="00991D5C" w14:paraId="6440B2F3"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42C6FD"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lastRenderedPageBreak/>
              <w:t>MIP</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D8A98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0.37</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EBB2A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0.35</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315CA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BC3E0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A521DB"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10C41E"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w:t>
            </w:r>
          </w:p>
        </w:tc>
      </w:tr>
      <w:tr w:rsidR="006E384D" w:rsidRPr="00991D5C" w14:paraId="1639391B"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1DFE74"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Digoxin/furosemide</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B76A6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0.31</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78D499"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0.32</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809E63"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0.29</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492DA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0.32</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686862"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0.29</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794AD9"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0.32</w:t>
            </w:r>
          </w:p>
        </w:tc>
      </w:tr>
      <w:tr w:rsidR="006E384D" w:rsidRPr="00991D5C" w14:paraId="69C2E717" w14:textId="77777777" w:rsidTr="003C3548">
        <w:trPr>
          <w:trHeight w:val="500"/>
        </w:trPr>
        <w:tc>
          <w:tcPr>
            <w:tcW w:w="24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508538"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Saline</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1388F7"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0.05</w:t>
            </w:r>
          </w:p>
        </w:tc>
        <w:tc>
          <w:tcPr>
            <w:tcW w:w="16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7A3A7C"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0.06</w:t>
            </w:r>
          </w:p>
        </w:tc>
        <w:tc>
          <w:tcPr>
            <w:tcW w:w="20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2256DA"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0.01</w:t>
            </w:r>
          </w:p>
        </w:tc>
        <w:tc>
          <w:tcPr>
            <w:tcW w:w="2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6ABEB1"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0.01</w:t>
            </w:r>
          </w:p>
        </w:tc>
        <w:tc>
          <w:tcPr>
            <w:tcW w:w="16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224970"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0.02</w:t>
            </w:r>
          </w:p>
        </w:tc>
        <w:tc>
          <w:tcPr>
            <w:tcW w:w="2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685649" w14:textId="77777777" w:rsidR="006E384D" w:rsidRPr="00991D5C" w:rsidRDefault="006E384D"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0.01</w:t>
            </w:r>
          </w:p>
        </w:tc>
      </w:tr>
    </w:tbl>
    <w:p w14:paraId="75283C83" w14:textId="77777777" w:rsidR="006E384D" w:rsidRPr="00991D5C" w:rsidRDefault="006E384D" w:rsidP="006E384D">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 p &lt; 0.001 for saline vs. vitamin D3 in all analyses.</w:t>
      </w:r>
    </w:p>
    <w:p w14:paraId="23A661A8" w14:textId="77777777" w:rsidR="006E384D" w:rsidRPr="00991D5C" w:rsidRDefault="006E384D" w:rsidP="006E384D">
      <w:pPr>
        <w:rPr>
          <w:rFonts w:asciiTheme="majorBidi" w:eastAsia="Times New Roman" w:hAnsiTheme="majorBidi" w:cstheme="majorBidi"/>
          <w:sz w:val="16"/>
          <w:szCs w:val="16"/>
        </w:rPr>
      </w:pPr>
      <w:r w:rsidRPr="00991D5C">
        <w:rPr>
          <w:rFonts w:asciiTheme="majorBidi" w:eastAsia="Times New Roman" w:hAnsiTheme="majorBidi" w:cstheme="majorBidi"/>
          <w:b/>
          <w:bCs/>
          <w:sz w:val="22"/>
          <w:szCs w:val="22"/>
        </w:rPr>
        <w:t>Footnote.</w:t>
      </w:r>
      <w:r w:rsidRPr="00991D5C">
        <w:rPr>
          <w:rFonts w:asciiTheme="majorBidi" w:eastAsia="Times New Roman" w:hAnsiTheme="majorBidi" w:cstheme="majorBidi"/>
          <w:sz w:val="22"/>
          <w:szCs w:val="22"/>
        </w:rPr>
        <w:t xml:space="preserve"> </w:t>
      </w:r>
      <w:sdt>
        <w:sdtPr>
          <w:rPr>
            <w:rFonts w:asciiTheme="majorBidi" w:hAnsiTheme="majorBidi" w:cstheme="majorBidi"/>
          </w:rPr>
          <w:tag w:val="goog_rdk_14"/>
          <w:id w:val="586849709"/>
        </w:sdtPr>
        <w:sdtEndPr/>
        <w:sdtContent>
          <w:r w:rsidRPr="00991D5C">
            <w:rPr>
              <w:rFonts w:asciiTheme="majorBidi" w:eastAsia="Gungsuh" w:hAnsiTheme="majorBidi" w:cstheme="majorBidi"/>
              <w:sz w:val="16"/>
              <w:szCs w:val="16"/>
            </w:rPr>
            <w:t xml:space="preserve">S1 was pre-specified based on a priori methodological concern about Fathy 2019's non-standard outcome definition (≥75% rather than 100% clearance) [15]. S2 through S5 were conducted post-hoc following the S1 finding that excluding Fathy 2019 unmasked between-design inconsistency previously absorbed by within-design heterogeneity , which prompted investigation of saline-arm variability across placebo-controlled studies [15]. Inspection of saline-arm clearance proportions identified two studies departing from the central cluster of 0–21%: Lahoria 2023 (64%) and El Sayed 2020 (40%). S2 and S3 progressively exclude Fathy 2019 along with one or both saline outliers; S4 and S5 confirm the role of saline outliers without excluding Fathy 2019 [15]. Two complementary inconsistency statistics are reported. The between-designs Q from </w:t>
          </w:r>
          <w:proofErr w:type="spellStart"/>
          <w:r w:rsidRPr="00991D5C">
            <w:rPr>
              <w:rFonts w:asciiTheme="majorBidi" w:eastAsia="Gungsuh" w:hAnsiTheme="majorBidi" w:cstheme="majorBidi"/>
              <w:sz w:val="16"/>
              <w:szCs w:val="16"/>
            </w:rPr>
            <w:t>decomp.design</w:t>
          </w:r>
          <w:proofErr w:type="spellEnd"/>
          <w:r w:rsidRPr="00991D5C">
            <w:rPr>
              <w:rFonts w:asciiTheme="majorBidi" w:eastAsia="Gungsuh" w:hAnsiTheme="majorBidi" w:cstheme="majorBidi"/>
              <w:sz w:val="16"/>
              <w:szCs w:val="16"/>
            </w:rPr>
            <w:t xml:space="preserve">() reflects combined within-network variability and is significant in all analyses, indicating substantial residual heterogeneity. The design-by-treatment interaction Q is the global test for inconsistency between direct and indirect evidence after accounting for between-study heterogeneity. This test was non-significant when Fathy 2019 was retained in the network (Main p = 0.17; S4 p = 0.46; S5 p = 0.54), with consistency strongest after joint exclusion of both saline outliers (S5). When Fathy 2019 was excluded (S1, S2, S3), τ within collapsed to zero and the design-by-treatment interaction test detected significant residual inconsistency regardless of saline outlier configuration; this pattern reflects mechanical re-partitioning of variance from heterogeneity to inconsistency in the absence of within-design variability rather than a structural network failure. Treatment rankings remained stable across all configurations, with vitamin D3 ranked third or fourth among active treatments and saline placebo lowest in every analysis. MIP appears only in Lahoria 2023 and is therefore absent from the network in S2, S3, S4, and S5. CI, confidence interval; MIP, </w:t>
          </w:r>
        </w:sdtContent>
      </w:sdt>
      <w:r w:rsidRPr="00991D5C">
        <w:rPr>
          <w:rFonts w:asciiTheme="majorBidi" w:eastAsia="Times New Roman" w:hAnsiTheme="majorBidi" w:cstheme="majorBidi"/>
          <w:i/>
          <w:iCs/>
          <w:sz w:val="16"/>
          <w:szCs w:val="16"/>
        </w:rPr>
        <w:t>Mycobacterium indicus pranii</w:t>
      </w:r>
      <w:r w:rsidRPr="00991D5C">
        <w:rPr>
          <w:rFonts w:asciiTheme="majorBidi" w:eastAsia="Times New Roman" w:hAnsiTheme="majorBidi" w:cstheme="majorBidi"/>
          <w:sz w:val="16"/>
          <w:szCs w:val="16"/>
        </w:rPr>
        <w:t xml:space="preserve"> vaccine; MMR, measles-mumps-rubella vaccine; </w:t>
      </w:r>
      <w:proofErr w:type="gramStart"/>
      <w:r w:rsidRPr="00991D5C">
        <w:rPr>
          <w:rFonts w:asciiTheme="majorBidi" w:eastAsia="Times New Roman" w:hAnsiTheme="majorBidi" w:cstheme="majorBidi"/>
          <w:sz w:val="16"/>
          <w:szCs w:val="16"/>
        </w:rPr>
        <w:t>OR,</w:t>
      </w:r>
      <w:proofErr w:type="gramEnd"/>
      <w:r w:rsidRPr="00991D5C">
        <w:rPr>
          <w:rFonts w:asciiTheme="majorBidi" w:eastAsia="Times New Roman" w:hAnsiTheme="majorBidi" w:cstheme="majorBidi"/>
          <w:sz w:val="16"/>
          <w:szCs w:val="16"/>
        </w:rPr>
        <w:t xml:space="preserve"> odds ratio; PPD, purified protein derivative.</w:t>
      </w:r>
    </w:p>
    <w:p w14:paraId="6070E1D9" w14:textId="77777777" w:rsidR="0048679D" w:rsidRDefault="0048679D"/>
    <w:sectPr w:rsidR="0048679D" w:rsidSect="006E384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4D"/>
    <w:rsid w:val="00033A59"/>
    <w:rsid w:val="001D6679"/>
    <w:rsid w:val="001F7855"/>
    <w:rsid w:val="0048679D"/>
    <w:rsid w:val="006B6E11"/>
    <w:rsid w:val="006E384D"/>
    <w:rsid w:val="00EB6E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AAD3"/>
  <w15:chartTrackingRefBased/>
  <w15:docId w15:val="{703609F1-719F-4C24-A390-3AE025AD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84D"/>
    <w:rPr>
      <w:rFonts w:ascii="Aptos" w:eastAsia="Aptos" w:hAnsi="Aptos" w:cs="Aptos"/>
      <w:kern w:val="0"/>
      <w:lang w:val="en"/>
      <w14:ligatures w14:val="none"/>
    </w:rPr>
  </w:style>
  <w:style w:type="paragraph" w:styleId="Heading1">
    <w:name w:val="heading 1"/>
    <w:basedOn w:val="Normal"/>
    <w:next w:val="Normal"/>
    <w:link w:val="Heading1Char"/>
    <w:uiPriority w:val="9"/>
    <w:qFormat/>
    <w:rsid w:val="006E384D"/>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E384D"/>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E384D"/>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E384D"/>
    <w:pPr>
      <w:keepNext/>
      <w:keepLines/>
      <w:spacing w:before="80" w:after="40"/>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6E384D"/>
    <w:pPr>
      <w:keepNext/>
      <w:keepLines/>
      <w:spacing w:before="80" w:after="40"/>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6E384D"/>
    <w:pPr>
      <w:keepNext/>
      <w:keepLines/>
      <w:spacing w:before="40" w:after="0"/>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6E384D"/>
    <w:pPr>
      <w:keepNext/>
      <w:keepLines/>
      <w:spacing w:before="40" w:after="0"/>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6E384D"/>
    <w:pPr>
      <w:keepNext/>
      <w:keepLines/>
      <w:spacing w:after="0"/>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6E384D"/>
    <w:pPr>
      <w:keepNext/>
      <w:keepLines/>
      <w:spacing w:after="0"/>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8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8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8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8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8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84D"/>
    <w:rPr>
      <w:rFonts w:eastAsiaTheme="majorEastAsia" w:cstheme="majorBidi"/>
      <w:color w:val="272727" w:themeColor="text1" w:themeTint="D8"/>
    </w:rPr>
  </w:style>
  <w:style w:type="paragraph" w:styleId="Title">
    <w:name w:val="Title"/>
    <w:basedOn w:val="Normal"/>
    <w:next w:val="Normal"/>
    <w:link w:val="TitleChar"/>
    <w:uiPriority w:val="10"/>
    <w:qFormat/>
    <w:rsid w:val="006E384D"/>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E38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84D"/>
    <w:pPr>
      <w:numPr>
        <w:ilvl w:val="1"/>
      </w:numPr>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E38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84D"/>
    <w:pPr>
      <w:spacing w:before="160"/>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6E384D"/>
    <w:rPr>
      <w:i/>
      <w:iCs/>
      <w:color w:val="404040" w:themeColor="text1" w:themeTint="BF"/>
    </w:rPr>
  </w:style>
  <w:style w:type="paragraph" w:styleId="ListParagraph">
    <w:name w:val="List Paragraph"/>
    <w:basedOn w:val="Normal"/>
    <w:uiPriority w:val="34"/>
    <w:qFormat/>
    <w:rsid w:val="006E384D"/>
    <w:pPr>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6E384D"/>
    <w:rPr>
      <w:i/>
      <w:iCs/>
      <w:color w:val="0F4761" w:themeColor="accent1" w:themeShade="BF"/>
    </w:rPr>
  </w:style>
  <w:style w:type="paragraph" w:styleId="IntenseQuote">
    <w:name w:val="Intense Quote"/>
    <w:basedOn w:val="Normal"/>
    <w:next w:val="Normal"/>
    <w:link w:val="IntenseQuoteChar"/>
    <w:uiPriority w:val="30"/>
    <w:qFormat/>
    <w:rsid w:val="006E384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6E384D"/>
    <w:rPr>
      <w:i/>
      <w:iCs/>
      <w:color w:val="0F4761" w:themeColor="accent1" w:themeShade="BF"/>
    </w:rPr>
  </w:style>
  <w:style w:type="character" w:styleId="IntenseReference">
    <w:name w:val="Intense Reference"/>
    <w:basedOn w:val="DefaultParagraphFont"/>
    <w:uiPriority w:val="32"/>
    <w:qFormat/>
    <w:rsid w:val="006E38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657</Words>
  <Characters>3534</Characters>
  <Application>Microsoft Office Word</Application>
  <DocSecurity>0</DocSecurity>
  <Lines>271</Lines>
  <Paragraphs>261</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yasir muslih</dc:creator>
  <cp:keywords/>
  <dc:description/>
  <cp:lastModifiedBy>yasir muslih</cp:lastModifiedBy>
  <cp:revision>2</cp:revision>
  <dcterms:created xsi:type="dcterms:W3CDTF">2026-05-29T19:42:00Z</dcterms:created>
  <dcterms:modified xsi:type="dcterms:W3CDTF">2026-05-29T19:42:00Z</dcterms:modified>
</cp:coreProperties>
</file>