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322E4" w14:textId="37647333" w:rsidR="00F80D84" w:rsidRPr="00991D5C" w:rsidRDefault="00F80D84" w:rsidP="00F80D84">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 xml:space="preserve">Supplementary Table </w:t>
      </w:r>
      <w:r w:rsidR="00F407FB">
        <w:rPr>
          <w:rFonts w:asciiTheme="majorBidi" w:eastAsia="Times New Roman" w:hAnsiTheme="majorBidi" w:cstheme="majorBidi"/>
          <w:sz w:val="22"/>
          <w:szCs w:val="22"/>
        </w:rPr>
        <w:t>2</w:t>
      </w:r>
      <w:r w:rsidRPr="00991D5C">
        <w:rPr>
          <w:rFonts w:asciiTheme="majorBidi" w:eastAsia="Times New Roman" w:hAnsiTheme="majorBidi" w:cstheme="majorBidi"/>
          <w:sz w:val="22"/>
          <w:szCs w:val="22"/>
        </w:rPr>
        <w:t>. Subgroup meta-analyses of vitamin D3 complete clearance proportions</w:t>
      </w:r>
    </w:p>
    <w:tbl>
      <w:tblPr>
        <w:tblW w:w="11092" w:type="dxa"/>
        <w:tblInd w:w="1" w:type="dxa"/>
        <w:tblLayout w:type="fixed"/>
        <w:tblLook w:val="0400" w:firstRow="0" w:lastRow="0" w:firstColumn="0" w:lastColumn="0" w:noHBand="0" w:noVBand="1"/>
      </w:tblPr>
      <w:tblGrid>
        <w:gridCol w:w="2980"/>
        <w:gridCol w:w="1338"/>
        <w:gridCol w:w="436"/>
        <w:gridCol w:w="3022"/>
        <w:gridCol w:w="798"/>
        <w:gridCol w:w="2518"/>
      </w:tblGrid>
      <w:tr w:rsidR="00F80D84" w:rsidRPr="00991D5C" w14:paraId="7509E5E1" w14:textId="77777777" w:rsidTr="003C3548">
        <w:trPr>
          <w:trHeight w:val="770"/>
        </w:trPr>
        <w:tc>
          <w:tcPr>
            <w:tcW w:w="29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DE6DF5"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Moderator</w:t>
            </w:r>
          </w:p>
        </w:tc>
        <w:tc>
          <w:tcPr>
            <w:tcW w:w="13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2CFD68"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Subgroup</w:t>
            </w:r>
          </w:p>
        </w:tc>
        <w:tc>
          <w:tcPr>
            <w:tcW w:w="4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0281D6"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k</w:t>
            </w:r>
          </w:p>
        </w:tc>
        <w:tc>
          <w:tcPr>
            <w:tcW w:w="3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3BA1EB"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Pooled clearance % (95% CI)</w:t>
            </w:r>
          </w:p>
        </w:tc>
        <w:tc>
          <w:tcPr>
            <w:tcW w:w="7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BF9088"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I²</w:t>
            </w:r>
          </w:p>
        </w:tc>
        <w:tc>
          <w:tcPr>
            <w:tcW w:w="25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189B48"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b/>
                <w:bCs/>
                <w:sz w:val="22"/>
                <w:szCs w:val="22"/>
              </w:rPr>
              <w:t>p (subgroup difference)</w:t>
            </w:r>
          </w:p>
        </w:tc>
      </w:tr>
      <w:tr w:rsidR="00F80D84" w:rsidRPr="00991D5C" w14:paraId="5B857B2B" w14:textId="77777777" w:rsidTr="003C3548">
        <w:trPr>
          <w:trHeight w:val="500"/>
        </w:trPr>
        <w:tc>
          <w:tcPr>
            <w:tcW w:w="298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C4E8F2"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Per-session dose</w:t>
            </w:r>
          </w:p>
        </w:tc>
        <w:tc>
          <w:tcPr>
            <w:tcW w:w="13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29374B" w14:textId="77777777" w:rsidR="00F80D84" w:rsidRPr="00991D5C" w:rsidRDefault="00000000" w:rsidP="003C3548">
            <w:pPr>
              <w:rPr>
                <w:rFonts w:asciiTheme="majorBidi" w:eastAsia="Times New Roman" w:hAnsiTheme="majorBidi" w:cstheme="majorBidi"/>
                <w:sz w:val="22"/>
                <w:szCs w:val="22"/>
              </w:rPr>
            </w:pPr>
            <w:sdt>
              <w:sdtPr>
                <w:rPr>
                  <w:rFonts w:asciiTheme="majorBidi" w:hAnsiTheme="majorBidi" w:cstheme="majorBidi"/>
                </w:rPr>
                <w:tag w:val="goog_rdk_19"/>
                <w:id w:val="1341979446"/>
              </w:sdtPr>
              <w:sdtContent>
                <w:r w:rsidR="00F80D84" w:rsidRPr="00991D5C">
                  <w:rPr>
                    <w:rFonts w:asciiTheme="majorBidi" w:eastAsia="Gungsuh" w:hAnsiTheme="majorBidi" w:cstheme="majorBidi"/>
                    <w:sz w:val="22"/>
                    <w:szCs w:val="22"/>
                  </w:rPr>
                  <w:t>≤60,000 IU</w:t>
                </w:r>
              </w:sdtContent>
            </w:sdt>
          </w:p>
        </w:tc>
        <w:tc>
          <w:tcPr>
            <w:tcW w:w="4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3B3EF7"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10</w:t>
            </w:r>
          </w:p>
        </w:tc>
        <w:tc>
          <w:tcPr>
            <w:tcW w:w="3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EB7A59"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61.4 (46.1–74.8)</w:t>
            </w:r>
          </w:p>
        </w:tc>
        <w:tc>
          <w:tcPr>
            <w:tcW w:w="7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C18265"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79.4%</w:t>
            </w:r>
          </w:p>
        </w:tc>
        <w:tc>
          <w:tcPr>
            <w:tcW w:w="2518"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B44344"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0.82</w:t>
            </w:r>
          </w:p>
        </w:tc>
      </w:tr>
      <w:tr w:rsidR="00F80D84" w:rsidRPr="00991D5C" w14:paraId="5B04B6EA" w14:textId="77777777" w:rsidTr="003C3548">
        <w:trPr>
          <w:trHeight w:val="500"/>
        </w:trPr>
        <w:tc>
          <w:tcPr>
            <w:tcW w:w="298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D2F6F1" w14:textId="77777777" w:rsidR="00F80D84" w:rsidRPr="00991D5C" w:rsidRDefault="00F80D84" w:rsidP="003C3548">
            <w:pPr>
              <w:widowControl w:val="0"/>
              <w:pBdr>
                <w:top w:val="nil"/>
                <w:left w:val="nil"/>
                <w:bottom w:val="nil"/>
                <w:right w:val="nil"/>
                <w:between w:val="nil"/>
              </w:pBdr>
              <w:spacing w:after="0" w:line="276" w:lineRule="auto"/>
              <w:rPr>
                <w:rFonts w:asciiTheme="majorBidi" w:eastAsia="Times New Roman" w:hAnsiTheme="majorBidi" w:cstheme="majorBidi"/>
                <w:sz w:val="22"/>
                <w:szCs w:val="22"/>
              </w:rPr>
            </w:pPr>
          </w:p>
        </w:tc>
        <w:tc>
          <w:tcPr>
            <w:tcW w:w="13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58389D"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&gt;60,000 IU</w:t>
            </w:r>
          </w:p>
        </w:tc>
        <w:tc>
          <w:tcPr>
            <w:tcW w:w="4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80E0AA"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w:t>
            </w:r>
          </w:p>
        </w:tc>
        <w:tc>
          <w:tcPr>
            <w:tcW w:w="3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379686"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63.5 (54.0–72.0)</w:t>
            </w:r>
          </w:p>
        </w:tc>
        <w:tc>
          <w:tcPr>
            <w:tcW w:w="7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96786E"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60.6%</w:t>
            </w:r>
          </w:p>
        </w:tc>
        <w:tc>
          <w:tcPr>
            <w:tcW w:w="2518"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97076D" w14:textId="77777777" w:rsidR="00F80D84" w:rsidRPr="00991D5C" w:rsidRDefault="00F80D84" w:rsidP="003C3548">
            <w:pPr>
              <w:widowControl w:val="0"/>
              <w:pBdr>
                <w:top w:val="nil"/>
                <w:left w:val="nil"/>
                <w:bottom w:val="nil"/>
                <w:right w:val="nil"/>
                <w:between w:val="nil"/>
              </w:pBdr>
              <w:spacing w:after="0" w:line="276" w:lineRule="auto"/>
              <w:rPr>
                <w:rFonts w:asciiTheme="majorBidi" w:eastAsia="Times New Roman" w:hAnsiTheme="majorBidi" w:cstheme="majorBidi"/>
                <w:sz w:val="22"/>
                <w:szCs w:val="22"/>
              </w:rPr>
            </w:pPr>
          </w:p>
        </w:tc>
      </w:tr>
      <w:tr w:rsidR="00F80D84" w:rsidRPr="00991D5C" w14:paraId="26FB495C" w14:textId="77777777" w:rsidTr="003C3548">
        <w:trPr>
          <w:trHeight w:val="770"/>
        </w:trPr>
        <w:tc>
          <w:tcPr>
            <w:tcW w:w="298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EA1270"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Cumulative dose</w:t>
            </w:r>
          </w:p>
        </w:tc>
        <w:tc>
          <w:tcPr>
            <w:tcW w:w="13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D22DF3" w14:textId="77777777" w:rsidR="00F80D84" w:rsidRPr="00991D5C" w:rsidRDefault="00000000" w:rsidP="003C3548">
            <w:pPr>
              <w:rPr>
                <w:rFonts w:asciiTheme="majorBidi" w:eastAsia="Times New Roman" w:hAnsiTheme="majorBidi" w:cstheme="majorBidi"/>
                <w:sz w:val="22"/>
                <w:szCs w:val="22"/>
              </w:rPr>
            </w:pPr>
            <w:sdt>
              <w:sdtPr>
                <w:rPr>
                  <w:rFonts w:asciiTheme="majorBidi" w:hAnsiTheme="majorBidi" w:cstheme="majorBidi"/>
                </w:rPr>
                <w:tag w:val="goog_rdk_20"/>
                <w:id w:val="644821531"/>
              </w:sdtPr>
              <w:sdtContent>
                <w:r w:rsidR="00F80D84" w:rsidRPr="00991D5C">
                  <w:rPr>
                    <w:rFonts w:asciiTheme="majorBidi" w:eastAsia="Gungsuh" w:hAnsiTheme="majorBidi" w:cstheme="majorBidi"/>
                    <w:sz w:val="22"/>
                    <w:szCs w:val="22"/>
                  </w:rPr>
                  <w:t>≤180,000 IU</w:t>
                </w:r>
              </w:sdtContent>
            </w:sdt>
          </w:p>
        </w:tc>
        <w:tc>
          <w:tcPr>
            <w:tcW w:w="4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39A643"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9</w:t>
            </w:r>
          </w:p>
        </w:tc>
        <w:tc>
          <w:tcPr>
            <w:tcW w:w="3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AC09CB"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65.8 (53.0–76.6)</w:t>
            </w:r>
          </w:p>
        </w:tc>
        <w:tc>
          <w:tcPr>
            <w:tcW w:w="7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008616"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70.6%</w:t>
            </w:r>
          </w:p>
        </w:tc>
        <w:tc>
          <w:tcPr>
            <w:tcW w:w="2518"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24F5EC"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0.53</w:t>
            </w:r>
          </w:p>
        </w:tc>
      </w:tr>
      <w:tr w:rsidR="00F80D84" w:rsidRPr="00991D5C" w14:paraId="153E3CFC" w14:textId="77777777" w:rsidTr="003C3548">
        <w:trPr>
          <w:trHeight w:val="770"/>
        </w:trPr>
        <w:tc>
          <w:tcPr>
            <w:tcW w:w="298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3A141C" w14:textId="77777777" w:rsidR="00F80D84" w:rsidRPr="00991D5C" w:rsidRDefault="00F80D84" w:rsidP="003C3548">
            <w:pPr>
              <w:widowControl w:val="0"/>
              <w:pBdr>
                <w:top w:val="nil"/>
                <w:left w:val="nil"/>
                <w:bottom w:val="nil"/>
                <w:right w:val="nil"/>
                <w:between w:val="nil"/>
              </w:pBdr>
              <w:spacing w:after="0" w:line="276" w:lineRule="auto"/>
              <w:rPr>
                <w:rFonts w:asciiTheme="majorBidi" w:eastAsia="Times New Roman" w:hAnsiTheme="majorBidi" w:cstheme="majorBidi"/>
                <w:sz w:val="22"/>
                <w:szCs w:val="22"/>
              </w:rPr>
            </w:pPr>
          </w:p>
        </w:tc>
        <w:tc>
          <w:tcPr>
            <w:tcW w:w="13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2226CC"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&gt;180,000 IU</w:t>
            </w:r>
          </w:p>
        </w:tc>
        <w:tc>
          <w:tcPr>
            <w:tcW w:w="4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375BE4"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8</w:t>
            </w:r>
          </w:p>
        </w:tc>
        <w:tc>
          <w:tcPr>
            <w:tcW w:w="3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CD165D"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59.3 (42.8–73.9)</w:t>
            </w:r>
          </w:p>
        </w:tc>
        <w:tc>
          <w:tcPr>
            <w:tcW w:w="7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DFD424"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77.8%</w:t>
            </w:r>
          </w:p>
        </w:tc>
        <w:tc>
          <w:tcPr>
            <w:tcW w:w="2518"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DA2159" w14:textId="77777777" w:rsidR="00F80D84" w:rsidRPr="00991D5C" w:rsidRDefault="00F80D84" w:rsidP="003C3548">
            <w:pPr>
              <w:widowControl w:val="0"/>
              <w:pBdr>
                <w:top w:val="nil"/>
                <w:left w:val="nil"/>
                <w:bottom w:val="nil"/>
                <w:right w:val="nil"/>
                <w:between w:val="nil"/>
              </w:pBdr>
              <w:spacing w:after="0" w:line="276" w:lineRule="auto"/>
              <w:rPr>
                <w:rFonts w:asciiTheme="majorBidi" w:eastAsia="Times New Roman" w:hAnsiTheme="majorBidi" w:cstheme="majorBidi"/>
                <w:sz w:val="22"/>
                <w:szCs w:val="22"/>
              </w:rPr>
            </w:pPr>
          </w:p>
        </w:tc>
      </w:tr>
      <w:tr w:rsidR="00F80D84" w:rsidRPr="00991D5C" w14:paraId="47E5FCCA" w14:textId="77777777" w:rsidTr="003C3548">
        <w:trPr>
          <w:trHeight w:val="770"/>
        </w:trPr>
        <w:tc>
          <w:tcPr>
            <w:tcW w:w="2980"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B6475F"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Assessment window duration</w:t>
            </w:r>
          </w:p>
        </w:tc>
        <w:tc>
          <w:tcPr>
            <w:tcW w:w="13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DCC759" w14:textId="77777777" w:rsidR="00F80D84" w:rsidRPr="00991D5C" w:rsidRDefault="00000000" w:rsidP="003C3548">
            <w:pPr>
              <w:rPr>
                <w:rFonts w:asciiTheme="majorBidi" w:eastAsia="Times New Roman" w:hAnsiTheme="majorBidi" w:cstheme="majorBidi"/>
                <w:sz w:val="22"/>
                <w:szCs w:val="22"/>
              </w:rPr>
            </w:pPr>
            <w:sdt>
              <w:sdtPr>
                <w:rPr>
                  <w:rFonts w:asciiTheme="majorBidi" w:hAnsiTheme="majorBidi" w:cstheme="majorBidi"/>
                </w:rPr>
                <w:tag w:val="goog_rdk_21"/>
                <w:id w:val="1035451828"/>
              </w:sdtPr>
              <w:sdtContent>
                <w:r w:rsidR="00F80D84" w:rsidRPr="00991D5C">
                  <w:rPr>
                    <w:rFonts w:asciiTheme="majorBidi" w:eastAsia="Gungsuh" w:hAnsiTheme="majorBidi" w:cstheme="majorBidi"/>
                    <w:sz w:val="22"/>
                    <w:szCs w:val="22"/>
                  </w:rPr>
                  <w:t>≤12 weeks</w:t>
                </w:r>
              </w:sdtContent>
            </w:sdt>
          </w:p>
        </w:tc>
        <w:tc>
          <w:tcPr>
            <w:tcW w:w="4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D8983E"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12</w:t>
            </w:r>
          </w:p>
        </w:tc>
        <w:tc>
          <w:tcPr>
            <w:tcW w:w="3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55667A"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59.8 (47.5–71.0)</w:t>
            </w:r>
          </w:p>
        </w:tc>
        <w:tc>
          <w:tcPr>
            <w:tcW w:w="7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493C00"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75.6%</w:t>
            </w:r>
          </w:p>
        </w:tc>
        <w:tc>
          <w:tcPr>
            <w:tcW w:w="2518" w:type="dxa"/>
            <w:vMerge w:val="restart"/>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8F9222"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0.33</w:t>
            </w:r>
          </w:p>
        </w:tc>
      </w:tr>
      <w:tr w:rsidR="00F80D84" w:rsidRPr="00991D5C" w14:paraId="029E63E4" w14:textId="77777777" w:rsidTr="003C3548">
        <w:trPr>
          <w:trHeight w:val="500"/>
        </w:trPr>
        <w:tc>
          <w:tcPr>
            <w:tcW w:w="2980"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1FB470" w14:textId="77777777" w:rsidR="00F80D84" w:rsidRPr="00991D5C" w:rsidRDefault="00F80D84" w:rsidP="003C3548">
            <w:pPr>
              <w:widowControl w:val="0"/>
              <w:pBdr>
                <w:top w:val="nil"/>
                <w:left w:val="nil"/>
                <w:bottom w:val="nil"/>
                <w:right w:val="nil"/>
                <w:between w:val="nil"/>
              </w:pBdr>
              <w:spacing w:after="0" w:line="276" w:lineRule="auto"/>
              <w:rPr>
                <w:rFonts w:asciiTheme="majorBidi" w:eastAsia="Times New Roman" w:hAnsiTheme="majorBidi" w:cstheme="majorBidi"/>
                <w:sz w:val="22"/>
                <w:szCs w:val="22"/>
              </w:rPr>
            </w:pPr>
          </w:p>
        </w:tc>
        <w:tc>
          <w:tcPr>
            <w:tcW w:w="133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5A0B79"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&gt;12 weeks</w:t>
            </w:r>
          </w:p>
        </w:tc>
        <w:tc>
          <w:tcPr>
            <w:tcW w:w="4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76F22E"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5</w:t>
            </w:r>
          </w:p>
        </w:tc>
        <w:tc>
          <w:tcPr>
            <w:tcW w:w="302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35A4A7"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69.4 (53.2–82.0)</w:t>
            </w:r>
          </w:p>
        </w:tc>
        <w:tc>
          <w:tcPr>
            <w:tcW w:w="79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FA819E" w14:textId="77777777" w:rsidR="00F80D84" w:rsidRPr="00991D5C" w:rsidRDefault="00F80D84" w:rsidP="003C3548">
            <w:pPr>
              <w:rPr>
                <w:rFonts w:asciiTheme="majorBidi" w:eastAsia="Times New Roman" w:hAnsiTheme="majorBidi" w:cstheme="majorBidi"/>
                <w:sz w:val="22"/>
                <w:szCs w:val="22"/>
              </w:rPr>
            </w:pPr>
            <w:r w:rsidRPr="00991D5C">
              <w:rPr>
                <w:rFonts w:asciiTheme="majorBidi" w:eastAsia="Times New Roman" w:hAnsiTheme="majorBidi" w:cstheme="majorBidi"/>
                <w:sz w:val="22"/>
                <w:szCs w:val="22"/>
              </w:rPr>
              <w:t>67.3%</w:t>
            </w:r>
          </w:p>
        </w:tc>
        <w:tc>
          <w:tcPr>
            <w:tcW w:w="2518" w:type="dxa"/>
            <w:vMerge/>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4B7A43" w14:textId="77777777" w:rsidR="00F80D84" w:rsidRPr="00991D5C" w:rsidRDefault="00F80D84" w:rsidP="003C3548">
            <w:pPr>
              <w:widowControl w:val="0"/>
              <w:pBdr>
                <w:top w:val="nil"/>
                <w:left w:val="nil"/>
                <w:bottom w:val="nil"/>
                <w:right w:val="nil"/>
                <w:between w:val="nil"/>
              </w:pBdr>
              <w:spacing w:after="0" w:line="276" w:lineRule="auto"/>
              <w:rPr>
                <w:rFonts w:asciiTheme="majorBidi" w:eastAsia="Times New Roman" w:hAnsiTheme="majorBidi" w:cstheme="majorBidi"/>
                <w:sz w:val="22"/>
                <w:szCs w:val="22"/>
              </w:rPr>
            </w:pPr>
          </w:p>
        </w:tc>
      </w:tr>
    </w:tbl>
    <w:p w14:paraId="116AC592" w14:textId="77777777" w:rsidR="00F80D84" w:rsidRPr="00991D5C" w:rsidRDefault="00F80D84" w:rsidP="00F80D84">
      <w:pPr>
        <w:rPr>
          <w:rFonts w:asciiTheme="majorBidi" w:eastAsia="Times New Roman" w:hAnsiTheme="majorBidi" w:cstheme="majorBidi"/>
          <w:sz w:val="16"/>
          <w:szCs w:val="16"/>
        </w:rPr>
      </w:pPr>
      <w:r w:rsidRPr="00991D5C">
        <w:rPr>
          <w:rFonts w:asciiTheme="majorBidi" w:eastAsia="Times New Roman" w:hAnsiTheme="majorBidi" w:cstheme="majorBidi"/>
          <w:b/>
          <w:bCs/>
          <w:sz w:val="22"/>
          <w:szCs w:val="22"/>
        </w:rPr>
        <w:t>Footnote.</w:t>
      </w:r>
      <w:r w:rsidRPr="00991D5C">
        <w:rPr>
          <w:rFonts w:asciiTheme="majorBidi" w:eastAsia="Times New Roman" w:hAnsiTheme="majorBidi" w:cstheme="majorBidi"/>
          <w:sz w:val="16"/>
          <w:szCs w:val="16"/>
        </w:rPr>
        <w:t xml:space="preserve"> Random-effects meta-analyses of single-arm vitamin D3 complete clearance proportions. Dose moderators were dichotomized at the median (60,000 IU per session, 180,000 IU cumulative). Assessment window duration was dichotomized at 12 weeks, corresponding to the protocol length </w:t>
      </w:r>
      <w:proofErr w:type="gramStart"/>
      <w:r w:rsidRPr="00991D5C">
        <w:rPr>
          <w:rFonts w:asciiTheme="majorBidi" w:eastAsia="Times New Roman" w:hAnsiTheme="majorBidi" w:cstheme="majorBidi"/>
          <w:sz w:val="16"/>
          <w:szCs w:val="16"/>
        </w:rPr>
        <w:t>most commonly used</w:t>
      </w:r>
      <w:proofErr w:type="gramEnd"/>
      <w:r w:rsidRPr="00991D5C">
        <w:rPr>
          <w:rFonts w:asciiTheme="majorBidi" w:eastAsia="Times New Roman" w:hAnsiTheme="majorBidi" w:cstheme="majorBidi"/>
          <w:sz w:val="16"/>
          <w:szCs w:val="16"/>
        </w:rPr>
        <w:t xml:space="preserve"> across included studies Pooled clearance proportions are </w:t>
      </w:r>
      <w:proofErr w:type="gramStart"/>
      <w:r w:rsidRPr="00991D5C">
        <w:rPr>
          <w:rFonts w:asciiTheme="majorBidi" w:eastAsia="Times New Roman" w:hAnsiTheme="majorBidi" w:cstheme="majorBidi"/>
          <w:sz w:val="16"/>
          <w:szCs w:val="16"/>
        </w:rPr>
        <w:t>back-transformed</w:t>
      </w:r>
      <w:proofErr w:type="gramEnd"/>
      <w:r w:rsidRPr="00991D5C">
        <w:rPr>
          <w:rFonts w:asciiTheme="majorBidi" w:eastAsia="Times New Roman" w:hAnsiTheme="majorBidi" w:cstheme="majorBidi"/>
          <w:sz w:val="16"/>
          <w:szCs w:val="16"/>
        </w:rPr>
        <w:t xml:space="preserve"> from the logit scale and reported with 95% confidence intervals. Subgroup differences were tested using the Q statistic on the random-effects model. Across all dose- and duration-defined subgroups, no significant difference in clearance was detected, and substantial residual heterogeneity (I² 60–80%) persisted within subgroups, consistent with the meta-regression analyses (Supplementary Table 3) showing that none of the tested continuous moderators explained the between-study heterogeneity. CI, confidence interval; IU, international units; k, number of studies.</w:t>
      </w:r>
    </w:p>
    <w:p w14:paraId="59371D61" w14:textId="77777777" w:rsidR="0048679D" w:rsidRDefault="0048679D"/>
    <w:sectPr w:rsidR="0048679D" w:rsidSect="00F80D84">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D84"/>
    <w:rsid w:val="00033A59"/>
    <w:rsid w:val="001F7855"/>
    <w:rsid w:val="0048679D"/>
    <w:rsid w:val="006B6E11"/>
    <w:rsid w:val="00F407FB"/>
    <w:rsid w:val="00F80D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53742"/>
  <w15:chartTrackingRefBased/>
  <w15:docId w15:val="{38B4B103-5285-4D6A-9230-614087F4B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D84"/>
    <w:rPr>
      <w:rFonts w:ascii="Aptos" w:eastAsia="Aptos" w:hAnsi="Aptos" w:cs="Aptos"/>
      <w:kern w:val="0"/>
      <w:lang w:val="en"/>
      <w14:ligatures w14:val="none"/>
    </w:rPr>
  </w:style>
  <w:style w:type="paragraph" w:styleId="Heading1">
    <w:name w:val="heading 1"/>
    <w:basedOn w:val="Normal"/>
    <w:next w:val="Normal"/>
    <w:link w:val="Heading1Char"/>
    <w:uiPriority w:val="9"/>
    <w:qFormat/>
    <w:rsid w:val="00F80D84"/>
    <w:pPr>
      <w:keepNext/>
      <w:keepLines/>
      <w:spacing w:before="360" w:after="80"/>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80D84"/>
    <w:pPr>
      <w:keepNext/>
      <w:keepLines/>
      <w:spacing w:before="160" w:after="80"/>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80D84"/>
    <w:pPr>
      <w:keepNext/>
      <w:keepLines/>
      <w:spacing w:before="160" w:after="80"/>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80D84"/>
    <w:pPr>
      <w:keepNext/>
      <w:keepLines/>
      <w:spacing w:before="80" w:after="40"/>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F80D84"/>
    <w:pPr>
      <w:keepNext/>
      <w:keepLines/>
      <w:spacing w:before="80" w:after="40"/>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F80D84"/>
    <w:pPr>
      <w:keepNext/>
      <w:keepLines/>
      <w:spacing w:before="40" w:after="0"/>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F80D84"/>
    <w:pPr>
      <w:keepNext/>
      <w:keepLines/>
      <w:spacing w:before="40" w:after="0"/>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F80D84"/>
    <w:pPr>
      <w:keepNext/>
      <w:keepLines/>
      <w:spacing w:after="0"/>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F80D84"/>
    <w:pPr>
      <w:keepNext/>
      <w:keepLines/>
      <w:spacing w:after="0"/>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0D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0D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0D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0D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0D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0D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0D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0D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0D84"/>
    <w:rPr>
      <w:rFonts w:eastAsiaTheme="majorEastAsia" w:cstheme="majorBidi"/>
      <w:color w:val="272727" w:themeColor="text1" w:themeTint="D8"/>
    </w:rPr>
  </w:style>
  <w:style w:type="paragraph" w:styleId="Title">
    <w:name w:val="Title"/>
    <w:basedOn w:val="Normal"/>
    <w:next w:val="Normal"/>
    <w:link w:val="TitleChar"/>
    <w:uiPriority w:val="10"/>
    <w:qFormat/>
    <w:rsid w:val="00F80D84"/>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80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0D84"/>
    <w:pPr>
      <w:numPr>
        <w:ilvl w:val="1"/>
      </w:numPr>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80D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0D84"/>
    <w:pPr>
      <w:spacing w:before="160"/>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F80D84"/>
    <w:rPr>
      <w:i/>
      <w:iCs/>
      <w:color w:val="404040" w:themeColor="text1" w:themeTint="BF"/>
    </w:rPr>
  </w:style>
  <w:style w:type="paragraph" w:styleId="ListParagraph">
    <w:name w:val="List Paragraph"/>
    <w:basedOn w:val="Normal"/>
    <w:uiPriority w:val="34"/>
    <w:qFormat/>
    <w:rsid w:val="00F80D84"/>
    <w:pPr>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F80D84"/>
    <w:rPr>
      <w:i/>
      <w:iCs/>
      <w:color w:val="0F4761" w:themeColor="accent1" w:themeShade="BF"/>
    </w:rPr>
  </w:style>
  <w:style w:type="paragraph" w:styleId="IntenseQuote">
    <w:name w:val="Intense Quote"/>
    <w:basedOn w:val="Normal"/>
    <w:next w:val="Normal"/>
    <w:link w:val="IntenseQuoteChar"/>
    <w:uiPriority w:val="30"/>
    <w:qFormat/>
    <w:rsid w:val="00F80D8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F80D84"/>
    <w:rPr>
      <w:i/>
      <w:iCs/>
      <w:color w:val="0F4761" w:themeColor="accent1" w:themeShade="BF"/>
    </w:rPr>
  </w:style>
  <w:style w:type="character" w:styleId="IntenseReference">
    <w:name w:val="Intense Reference"/>
    <w:basedOn w:val="DefaultParagraphFont"/>
    <w:uiPriority w:val="32"/>
    <w:qFormat/>
    <w:rsid w:val="00F80D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1216</Characters>
  <Application>Microsoft Office Word</Application>
  <DocSecurity>0</DocSecurity>
  <Lines>48</Lines>
  <Paragraphs>38</Paragraphs>
  <ScaleCrop>false</ScaleCrop>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yasir muslih</dc:creator>
  <cp:keywords/>
  <dc:description/>
  <cp:lastModifiedBy>yasir muslih</cp:lastModifiedBy>
  <cp:revision>2</cp:revision>
  <dcterms:created xsi:type="dcterms:W3CDTF">2026-05-22T03:18:00Z</dcterms:created>
  <dcterms:modified xsi:type="dcterms:W3CDTF">2026-05-29T19:43:00Z</dcterms:modified>
</cp:coreProperties>
</file>