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Supplementary Table 5. Association between BADL/IADL limitation trajectory classes and incident stroke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Trajectory group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Events / N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Model 1</w:t>
              <w:br/>
              <w:t>OR (95% CI)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Model 2</w:t>
              <w:br/>
              <w:t>OR (95% CI)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Model 3</w:t>
              <w:br/>
              <w:t>OR (95% CI)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No limitation (ref)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95 / 1149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1.00 (Reference)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1.00 (Reference)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1.00 (Reference)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Late-onset limitation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46 / 216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3.00 (2.04–4.42)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3.24 (2.19–4.80)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3.38 (2.26–5.06)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Early-onset recovering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37 / 385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1.18 (0.79–1.76)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1.35 (0.90–2.03)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1.40 (0.92–2.14)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Fluctuating limitation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45 / 346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1.66 (1.14–2.42)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1.86 (1.26–2.73)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1.89 (1.27–2.81)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Persistent limitation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69 / 276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3.70 (2.62–5.22)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4.35 (3.03–6.26)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4.57 (3.10–6.74)</w:t>
            </w:r>
          </w:p>
        </w:tc>
      </w:tr>
    </w:tbl>
    <w:p/>
    <w:p>
      <w:pPr>
        <w:jc w:val="left"/>
      </w:pPr>
      <w:r>
        <w:rPr>
          <w:rFonts w:ascii="Times New Roman" w:hAnsi="Times New Roman"/>
          <w:i/>
          <w:sz w:val="18"/>
        </w:rPr>
        <w:t>Note. OR = odds ratio; CI = confidence interval. Model 1: unadjusted. Model 2: adjusted for age and sex. Model 3: further adjusted for marital status, education, residence place, smoking, drinking, hypertension, lung disease, liver disease, kidney disease, and cardiovascular disease.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