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A6A72" w14:textId="7972E9E6" w:rsidR="005A1CB4" w:rsidRDefault="00000000" w:rsidP="00E2135B">
      <w:pPr>
        <w:pStyle w:val="1"/>
        <w:widowControl w:val="0"/>
      </w:pPr>
      <w:bookmarkStart w:id="0" w:name="_Toc_Additional_File_2_SemiStructured_In"/>
      <w:r>
        <w:t>Additional File 2: Semi-Structured Interview Guide</w:t>
      </w:r>
      <w:bookmarkEnd w:id="0"/>
    </w:p>
    <w:p w14:paraId="4DA2943E" w14:textId="77777777" w:rsidR="005A1CB4" w:rsidRDefault="00000000" w:rsidP="00E2135B">
      <w:pPr>
        <w:spacing w:before="140"/>
        <w:jc w:val="left"/>
      </w:pPr>
      <w:r>
        <w:t>Instrument Description</w:t>
      </w:r>
    </w:p>
    <w:p w14:paraId="711E000A" w14:textId="77777777" w:rsidR="005A1CB4" w:rsidRDefault="00000000" w:rsidP="00E2135B">
      <w:pPr>
        <w:spacing w:before="140"/>
        <w:jc w:val="left"/>
      </w:pPr>
      <w:r>
        <w:t>This interview guide explores how faculty come to identify with their interdisciplinary teaching-scholarship community—the pathways through which identification is constructed and the organizational conditions that promote or constrain it. It was used with both community conveners and ordinary members; convener-specific items (Sections II–IV) probe leadership, collaboration, and resourcing, while the framing, opening, and closing questions apply to all participants and were adapted to a member's vantage point where appropriate. Questions were informed by community-of-practice and organizational-identification perspectives. Each interview lasted 45–60 minutes, was audio-recorded, and transcribed verbatim.</w:t>
      </w:r>
    </w:p>
    <w:p w14:paraId="26F46098" w14:textId="77777777" w:rsidR="005A1CB4" w:rsidRDefault="00000000" w:rsidP="00E2135B">
      <w:pPr>
        <w:spacing w:before="140"/>
        <w:jc w:val="left"/>
      </w:pPr>
      <w:r>
        <w:t>Section I: Background Information</w:t>
      </w:r>
    </w:p>
    <w:p w14:paraId="082A5C7F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Please briefly introduce your teaching-scholarship community, including its main objectives and tasks.</w:t>
      </w:r>
    </w:p>
    <w:p w14:paraId="5C2B2D3B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What is the most pressing issue your community currently faces? How do you address it?</w:t>
      </w:r>
    </w:p>
    <w:p w14:paraId="7F731A01" w14:textId="77777777" w:rsidR="005A1CB4" w:rsidRDefault="00000000" w:rsidP="00E2135B">
      <w:pPr>
        <w:spacing w:before="140"/>
        <w:jc w:val="left"/>
      </w:pPr>
      <w:r>
        <w:t>Section II: Team Leadership Perspective</w:t>
      </w:r>
    </w:p>
    <w:p w14:paraId="7DB995F1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As the community leader, what do you see as your primary role? How do you allocate responsibilities and tasks among team members?</w:t>
      </w:r>
    </w:p>
    <w:p w14:paraId="53BA28E0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How do you promote collaboration and communication among team members? How do you ensure that members from different disciplinary backgrounds can work together effectively?</w:t>
      </w:r>
    </w:p>
    <w:p w14:paraId="27BEE9A0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Is conflict common in your interdisciplinary community? How do you manage internal disagreements?</w:t>
      </w:r>
    </w:p>
    <w:p w14:paraId="62156734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4.  </w:t>
      </w:r>
      <w:r>
        <w:t>In the process of improving teaching quality, how do you balance task orientation (e.g., completing course requirements) with innovation (e.g., pedagogical reform)?</w:t>
      </w:r>
    </w:p>
    <w:p w14:paraId="6A252C0D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5.  </w:t>
      </w:r>
      <w:r>
        <w:t>How do you motivate team members to participate in teaching innovation? How do you handle different reactions to change?</w:t>
      </w:r>
    </w:p>
    <w:p w14:paraId="2F17D9B9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6.  </w:t>
      </w:r>
      <w:r>
        <w:t xml:space="preserve">What do you consider the most significant difference between what your </w:t>
      </w:r>
      <w:r>
        <w:lastRenderedPageBreak/>
        <w:t>community does and what a conventional teaching team does?</w:t>
      </w:r>
    </w:p>
    <w:p w14:paraId="4108505E" w14:textId="77777777" w:rsidR="005A1CB4" w:rsidRDefault="00000000" w:rsidP="00E2135B">
      <w:pPr>
        <w:spacing w:before="140"/>
        <w:jc w:val="left"/>
      </w:pPr>
      <w:r>
        <w:t>Section III: Resource Dependence Perspective</w:t>
      </w:r>
    </w:p>
    <w:p w14:paraId="77000EE5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How do you ensure access to the resources needed for community development—including but not limited to research funding, technical support, and personnel?</w:t>
      </w:r>
    </w:p>
    <w:p w14:paraId="584864D8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How does your community interact with the university, peers, and the broader academic community to obtain resources? How does this interaction support community development?</w:t>
      </w:r>
    </w:p>
    <w:p w14:paraId="6C51A3D5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How do you allocate and utilize existing resources within the community? Are there challenges in resource allocation, and how do you address them?</w:t>
      </w:r>
    </w:p>
    <w:p w14:paraId="13071BC4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4.  </w:t>
      </w:r>
      <w:r>
        <w:t>How do you ensure a stable, long-term supply of resources for the community? Do you have strategies to enhance resource sustainability?</w:t>
      </w:r>
    </w:p>
    <w:p w14:paraId="12C0EB93" w14:textId="77777777" w:rsidR="005A1CB4" w:rsidRDefault="00000000" w:rsidP="00E2135B">
      <w:pPr>
        <w:spacing w:before="140"/>
        <w:jc w:val="left"/>
      </w:pPr>
      <w:r>
        <w:t>Section IV: Community Building and Promotion</w:t>
      </w:r>
    </w:p>
    <w:p w14:paraId="0E1A10D1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How would you assess the current effectiveness of your community's development? In which areas has significant progress been made?</w:t>
      </w:r>
    </w:p>
    <w:p w14:paraId="1903CE10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What measures do you think the university could take to further promote the development of teaching-scholarship communities? Are there successful experiences you can share?</w:t>
      </w:r>
    </w:p>
    <w:p w14:paraId="4204EEC4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Looking ahead, what key factors do you believe will influence the community's growth and innovation?</w:t>
      </w:r>
    </w:p>
    <w:p w14:paraId="52489C76" w14:textId="77777777" w:rsidR="005A1CB4" w:rsidRDefault="00000000" w:rsidP="00E2135B">
      <w:pPr>
        <w:spacing w:before="140"/>
        <w:jc w:val="left"/>
      </w:pPr>
      <w:r>
        <w:t>Section V: Summary and Recommendations</w:t>
      </w:r>
    </w:p>
    <w:p w14:paraId="46A72ABE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1.  </w:t>
      </w:r>
      <w:r>
        <w:t>As a community leader, what advice would you offer to leaders of other teaching-scholarship communities?</w:t>
      </w:r>
    </w:p>
    <w:p w14:paraId="161F86A1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2.  </w:t>
      </w:r>
      <w:r>
        <w:t>What aspect of community building do you think most urgently needs improvement?</w:t>
      </w:r>
    </w:p>
    <w:p w14:paraId="527C8C87" w14:textId="77777777" w:rsidR="005A1CB4" w:rsidRDefault="00000000" w:rsidP="00E2135B">
      <w:pPr>
        <w:spacing w:after="48"/>
        <w:ind w:left="420" w:hanging="120"/>
        <w:jc w:val="left"/>
      </w:pPr>
      <w:r>
        <w:rPr>
          <w:b/>
          <w:bCs/>
          <w:color w:val="475569"/>
        </w:rPr>
        <w:t xml:space="preserve">3.  </w:t>
      </w:r>
      <w:r>
        <w:t>Do you have any other thoughts or experiences to share that could help advance the development of teaching-scholarship communities?</w:t>
      </w:r>
    </w:p>
    <w:sectPr w:rsidR="005A1CB4">
      <w:foot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66CD" w14:textId="77777777" w:rsidR="009F48E0" w:rsidRDefault="009F48E0">
      <w:pPr>
        <w:spacing w:after="0" w:line="240" w:lineRule="auto"/>
      </w:pPr>
      <w:r>
        <w:separator/>
      </w:r>
    </w:p>
  </w:endnote>
  <w:endnote w:type="continuationSeparator" w:id="0">
    <w:p w14:paraId="20C37559" w14:textId="77777777" w:rsidR="009F48E0" w:rsidRDefault="009F4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1151" w14:textId="77777777" w:rsidR="005A1CB4" w:rsidRDefault="00000000">
    <w:pPr>
      <w:jc w:val="center"/>
    </w:pPr>
    <w:r>
      <w:rPr>
        <w:color w:val="94A3B8"/>
        <w:sz w:val="18"/>
        <w:szCs w:val="18"/>
      </w:rPr>
      <w:fldChar w:fldCharType="begin"/>
    </w:r>
    <w:r>
      <w:rPr>
        <w:color w:val="94A3B8"/>
        <w:sz w:val="18"/>
        <w:szCs w:val="18"/>
      </w:rPr>
      <w:instrText>PAGE</w:instrText>
    </w:r>
    <w:r>
      <w:rPr>
        <w:color w:val="94A3B8"/>
        <w:sz w:val="18"/>
        <w:szCs w:val="18"/>
      </w:rPr>
      <w:fldChar w:fldCharType="separate"/>
    </w:r>
    <w:r w:rsidR="0035150F">
      <w:rPr>
        <w:noProof/>
        <w:color w:val="94A3B8"/>
        <w:sz w:val="18"/>
        <w:szCs w:val="18"/>
      </w:rPr>
      <w:t>2</w:t>
    </w:r>
    <w:r>
      <w:rPr>
        <w:color w:val="94A3B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6003C" w14:textId="77777777" w:rsidR="009F48E0" w:rsidRDefault="009F48E0">
      <w:pPr>
        <w:spacing w:after="0" w:line="240" w:lineRule="auto"/>
      </w:pPr>
      <w:r>
        <w:separator/>
      </w:r>
    </w:p>
  </w:footnote>
  <w:footnote w:type="continuationSeparator" w:id="0">
    <w:p w14:paraId="46F36D6E" w14:textId="77777777" w:rsidR="009F48E0" w:rsidRDefault="009F4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361CD"/>
    <w:multiLevelType w:val="hybridMultilevel"/>
    <w:tmpl w:val="77D81396"/>
    <w:lvl w:ilvl="0" w:tplc="ACACD85A">
      <w:start w:val="1"/>
      <w:numFmt w:val="bullet"/>
      <w:lvlText w:val="●"/>
      <w:lvlJc w:val="left"/>
      <w:pPr>
        <w:ind w:left="720" w:hanging="360"/>
      </w:pPr>
    </w:lvl>
    <w:lvl w:ilvl="1" w:tplc="9BCEBF9C">
      <w:start w:val="1"/>
      <w:numFmt w:val="bullet"/>
      <w:lvlText w:val="○"/>
      <w:lvlJc w:val="left"/>
      <w:pPr>
        <w:ind w:left="1440" w:hanging="360"/>
      </w:pPr>
    </w:lvl>
    <w:lvl w:ilvl="2" w:tplc="6F0A60A2">
      <w:start w:val="1"/>
      <w:numFmt w:val="bullet"/>
      <w:lvlText w:val="■"/>
      <w:lvlJc w:val="left"/>
      <w:pPr>
        <w:ind w:left="2160" w:hanging="360"/>
      </w:pPr>
    </w:lvl>
    <w:lvl w:ilvl="3" w:tplc="AF18C8BE">
      <w:start w:val="1"/>
      <w:numFmt w:val="bullet"/>
      <w:lvlText w:val="●"/>
      <w:lvlJc w:val="left"/>
      <w:pPr>
        <w:ind w:left="2880" w:hanging="360"/>
      </w:pPr>
    </w:lvl>
    <w:lvl w:ilvl="4" w:tplc="CEA05F64">
      <w:start w:val="1"/>
      <w:numFmt w:val="bullet"/>
      <w:lvlText w:val="○"/>
      <w:lvlJc w:val="left"/>
      <w:pPr>
        <w:ind w:left="3600" w:hanging="360"/>
      </w:pPr>
    </w:lvl>
    <w:lvl w:ilvl="5" w:tplc="FB0EF22C">
      <w:start w:val="1"/>
      <w:numFmt w:val="bullet"/>
      <w:lvlText w:val="■"/>
      <w:lvlJc w:val="left"/>
      <w:pPr>
        <w:ind w:left="4320" w:hanging="360"/>
      </w:pPr>
    </w:lvl>
    <w:lvl w:ilvl="6" w:tplc="42D2C472">
      <w:start w:val="1"/>
      <w:numFmt w:val="bullet"/>
      <w:lvlText w:val="●"/>
      <w:lvlJc w:val="left"/>
      <w:pPr>
        <w:ind w:left="5040" w:hanging="360"/>
      </w:pPr>
    </w:lvl>
    <w:lvl w:ilvl="7" w:tplc="DFF434B2">
      <w:start w:val="1"/>
      <w:numFmt w:val="bullet"/>
      <w:lvlText w:val="●"/>
      <w:lvlJc w:val="left"/>
      <w:pPr>
        <w:ind w:left="5760" w:hanging="360"/>
      </w:pPr>
    </w:lvl>
    <w:lvl w:ilvl="8" w:tplc="1EA87044">
      <w:start w:val="1"/>
      <w:numFmt w:val="bullet"/>
      <w:lvlText w:val="●"/>
      <w:lvlJc w:val="left"/>
      <w:pPr>
        <w:ind w:left="6480" w:hanging="360"/>
      </w:pPr>
    </w:lvl>
  </w:abstractNum>
  <w:num w:numId="1" w16cid:durableId="13411579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CB4"/>
    <w:rsid w:val="000F259B"/>
    <w:rsid w:val="0035150F"/>
    <w:rsid w:val="005A1CB4"/>
    <w:rsid w:val="009F48E0"/>
    <w:rsid w:val="00E2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C022B5"/>
  <w15:docId w15:val="{5FBBAB0E-13DB-3148-BF8C-A0011247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="Times New Roman"/>
        <w:color w:val="334155"/>
        <w:sz w:val="23"/>
        <w:szCs w:val="23"/>
        <w:lang w:val="en-US" w:eastAsia="zh-CN" w:bidi="ar-SA"/>
      </w:rPr>
    </w:rPrDefault>
    <w:pPrDefault>
      <w:pPr>
        <w:spacing w:after="140" w:line="34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uiPriority w:val="9"/>
    <w:qFormat/>
    <w:pPr>
      <w:spacing w:before="420" w:after="180"/>
      <w:outlineLvl w:val="0"/>
    </w:pPr>
    <w:rPr>
      <w:b/>
      <w:bCs/>
      <w:color w:val="0F172A"/>
      <w:sz w:val="42"/>
      <w:szCs w:val="42"/>
    </w:rPr>
  </w:style>
  <w:style w:type="paragraph" w:styleId="2">
    <w:name w:val="heading 2"/>
    <w:uiPriority w:val="9"/>
    <w:semiHidden/>
    <w:unhideWhenUsed/>
    <w:qFormat/>
    <w:pPr>
      <w:spacing w:before="340"/>
      <w:outlineLvl w:val="1"/>
    </w:pPr>
    <w:rPr>
      <w:b/>
      <w:bCs/>
      <w:color w:val="0F172A"/>
      <w:sz w:val="34"/>
      <w:szCs w:val="34"/>
    </w:rPr>
  </w:style>
  <w:style w:type="paragraph" w:styleId="3">
    <w:name w:val="heading 3"/>
    <w:uiPriority w:val="9"/>
    <w:semiHidden/>
    <w:unhideWhenUsed/>
    <w:qFormat/>
    <w:pPr>
      <w:spacing w:before="260" w:after="100"/>
      <w:outlineLvl w:val="2"/>
    </w:pPr>
    <w:rPr>
      <w:b/>
      <w:bCs/>
      <w:color w:val="0F172A"/>
      <w:sz w:val="28"/>
      <w:szCs w:val="28"/>
    </w:rPr>
  </w:style>
  <w:style w:type="paragraph" w:styleId="4">
    <w:name w:val="heading 4"/>
    <w:uiPriority w:val="9"/>
    <w:semiHidden/>
    <w:unhideWhenUsed/>
    <w:qFormat/>
    <w:pPr>
      <w:spacing w:before="220" w:after="80"/>
      <w:outlineLvl w:val="3"/>
    </w:pPr>
    <w:rPr>
      <w:b/>
      <w:bCs/>
      <w:color w:val="0F172A"/>
      <w:sz w:val="24"/>
      <w:szCs w:val="24"/>
    </w:rPr>
  </w:style>
  <w:style w:type="paragraph" w:styleId="5">
    <w:name w:val="heading 5"/>
    <w:uiPriority w:val="9"/>
    <w:semiHidden/>
    <w:unhideWhenUsed/>
    <w:qFormat/>
    <w:pPr>
      <w:spacing w:before="180" w:after="80"/>
      <w:outlineLvl w:val="4"/>
    </w:pPr>
    <w:rPr>
      <w:b/>
      <w:bCs/>
      <w:color w:val="0F172A"/>
      <w:sz w:val="22"/>
      <w:szCs w:val="22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after="220"/>
    </w:pPr>
    <w:rPr>
      <w:b/>
      <w:bCs/>
      <w:color w:val="0F172A"/>
      <w:sz w:val="44"/>
      <w:szCs w:val="44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rFonts w:ascii="Arial" w:eastAsia="微软雅黑" w:hAnsi="Arial"/>
      <w:color w:val="2563EB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CodeBlock">
    <w:name w:val="Code Block"/>
    <w:pPr>
      <w:spacing w:before="120" w:after="160" w:line="324" w:lineRule="auto"/>
    </w:pPr>
    <w:rPr>
      <w:rFonts w:ascii="Courier New" w:hAnsi="Courier New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Ann Xiang</cp:lastModifiedBy>
  <cp:revision>3</cp:revision>
  <dcterms:created xsi:type="dcterms:W3CDTF">2026-06-03T14:01:00Z</dcterms:created>
  <dcterms:modified xsi:type="dcterms:W3CDTF">2026-06-08T12:16:00Z</dcterms:modified>
</cp:coreProperties>
</file>