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54E3B" w14:textId="77777777" w:rsidR="002A3ED7" w:rsidRDefault="00000000">
      <w:pPr>
        <w:spacing w:line="480" w:lineRule="auto"/>
        <w:jc w:val="left"/>
        <w:rPr>
          <w:rFonts w:ascii="Times New Roman" w:hAnsi="Times New Roman"/>
          <w:b/>
          <w:bCs/>
          <w:color w:val="1F1F1F"/>
          <w:sz w:val="24"/>
        </w:rPr>
      </w:pPr>
      <w:r>
        <w:rPr>
          <w:rFonts w:ascii="Times New Roman" w:hAnsi="Times New Roman" w:hint="eastAsia"/>
          <w:b/>
          <w:bCs/>
          <w:color w:val="1F1F1F"/>
          <w:sz w:val="24"/>
        </w:rPr>
        <w:t xml:space="preserve">Supplementary Table 1. </w:t>
      </w:r>
      <w:r>
        <w:rPr>
          <w:rFonts w:ascii="Times New Roman" w:hAnsi="Times New Roman" w:hint="eastAsia"/>
          <w:color w:val="1F1F1F"/>
          <w:sz w:val="24"/>
        </w:rPr>
        <w:t>Description of plots placed into four levels of fire severity.</w:t>
      </w:r>
    </w:p>
    <w:tbl>
      <w:tblPr>
        <w:tblW w:w="4998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944"/>
        <w:gridCol w:w="5575"/>
      </w:tblGrid>
      <w:tr w:rsidR="002A3ED7" w14:paraId="595D21BC" w14:textId="77777777">
        <w:tc>
          <w:tcPr>
            <w:tcW w:w="1728" w:type="pct"/>
            <w:tcBorders>
              <w:bottom w:val="single" w:sz="6" w:space="0" w:color="auto"/>
            </w:tcBorders>
          </w:tcPr>
          <w:p w14:paraId="0FE6FE6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Wildfire severity</w:t>
            </w:r>
          </w:p>
        </w:tc>
        <w:tc>
          <w:tcPr>
            <w:tcW w:w="3272" w:type="pct"/>
            <w:tcBorders>
              <w:bottom w:val="single" w:sz="6" w:space="0" w:color="auto"/>
            </w:tcBorders>
          </w:tcPr>
          <w:p w14:paraId="2BBBA95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Description</w:t>
            </w:r>
          </w:p>
        </w:tc>
      </w:tr>
      <w:tr w:rsidR="002A3ED7" w14:paraId="180641DA" w14:textId="77777777">
        <w:tc>
          <w:tcPr>
            <w:tcW w:w="1728" w:type="pct"/>
            <w:tcBorders>
              <w:top w:val="single" w:sz="6" w:space="0" w:color="auto"/>
              <w:tl2br w:val="nil"/>
              <w:tr2bl w:val="nil"/>
            </w:tcBorders>
          </w:tcPr>
          <w:p w14:paraId="64E4180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Unburned</w:t>
            </w:r>
          </w:p>
        </w:tc>
        <w:tc>
          <w:tcPr>
            <w:tcW w:w="3272" w:type="pct"/>
            <w:tcBorders>
              <w:top w:val="single" w:sz="6" w:space="0" w:color="auto"/>
              <w:tl2br w:val="nil"/>
              <w:tr2bl w:val="nil"/>
            </w:tcBorders>
          </w:tcPr>
          <w:p w14:paraId="1D7B234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Plant parts green and unaltered, no direct effect from heat.</w:t>
            </w:r>
          </w:p>
        </w:tc>
      </w:tr>
      <w:tr w:rsidR="002A3ED7" w14:paraId="22FD7B4E" w14:textId="77777777">
        <w:tc>
          <w:tcPr>
            <w:tcW w:w="1728" w:type="pct"/>
            <w:tcBorders>
              <w:tl2br w:val="nil"/>
              <w:tr2bl w:val="nil"/>
            </w:tcBorders>
          </w:tcPr>
          <w:p w14:paraId="43190BD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Low severity wildfire</w:t>
            </w:r>
          </w:p>
        </w:tc>
        <w:tc>
          <w:tcPr>
            <w:tcW w:w="3272" w:type="pct"/>
            <w:tcBorders>
              <w:tl2br w:val="nil"/>
              <w:tr2bl w:val="nil"/>
            </w:tcBorders>
          </w:tcPr>
          <w:p w14:paraId="32E8AB3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Tree canopy largely unaltered.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Ground surface may be black with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recognizable fine fuels remaining on surface.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Ash is thin or patchy.</w:t>
            </w:r>
          </w:p>
        </w:tc>
      </w:tr>
      <w:tr w:rsidR="002A3ED7" w14:paraId="257FB71B" w14:textId="77777777">
        <w:tc>
          <w:tcPr>
            <w:tcW w:w="1728" w:type="pct"/>
            <w:tcBorders>
              <w:tl2br w:val="nil"/>
              <w:tr2bl w:val="nil"/>
            </w:tcBorders>
          </w:tcPr>
          <w:p w14:paraId="717031C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Moderate severity wildfire</w:t>
            </w:r>
          </w:p>
        </w:tc>
        <w:tc>
          <w:tcPr>
            <w:tcW w:w="3272" w:type="pct"/>
            <w:tcBorders>
              <w:tl2br w:val="nil"/>
              <w:tr2bl w:val="nil"/>
            </w:tcBorders>
          </w:tcPr>
          <w:p w14:paraId="7831B1D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Tree canopy is mostly scorched, but needles/leaves typically remain on branches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1F1F1F"/>
                <w:sz w:val="24"/>
              </w:rPr>
              <w:t>Thin layer of black to gray ash with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recognizable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litter beneath it.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Shrub litter will be mostly consumed.</w:t>
            </w:r>
          </w:p>
        </w:tc>
      </w:tr>
      <w:tr w:rsidR="002A3ED7" w14:paraId="07DACA06" w14:textId="77777777">
        <w:tc>
          <w:tcPr>
            <w:tcW w:w="1728" w:type="pct"/>
            <w:tcBorders>
              <w:tl2br w:val="nil"/>
              <w:tr2bl w:val="nil"/>
            </w:tcBorders>
          </w:tcPr>
          <w:p w14:paraId="2FA05D5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High severity wildfire</w:t>
            </w:r>
          </w:p>
        </w:tc>
        <w:tc>
          <w:tcPr>
            <w:tcW w:w="3272" w:type="pct"/>
            <w:tcBorders>
              <w:tl2br w:val="nil"/>
              <w:tr2bl w:val="nil"/>
            </w:tcBorders>
          </w:tcPr>
          <w:p w14:paraId="362A17A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bookmarkStart w:id="0" w:name="OLE_LINK8"/>
            <w:r>
              <w:rPr>
                <w:rFonts w:ascii="Times New Roman" w:hAnsi="Times New Roman"/>
                <w:color w:val="1F1F1F"/>
                <w:sz w:val="24"/>
              </w:rPr>
              <w:t>Tree canopy is completely consumed; few to no needles or leaves remain on branches.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Thick, 1- to 3-inch (3- to 6-cm or more)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layer of powdery gray or white ash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>covers the ground.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F1F1F"/>
                <w:sz w:val="24"/>
              </w:rPr>
              <w:t xml:space="preserve">Very little to no effective ground cover remains. Shrub litter is </w:t>
            </w:r>
            <w:r>
              <w:rPr>
                <w:rFonts w:ascii="Times New Roman" w:hAnsi="Times New Roman" w:hint="eastAsia"/>
                <w:color w:val="1F1F1F"/>
                <w:sz w:val="24"/>
              </w:rPr>
              <w:t xml:space="preserve">completely </w:t>
            </w:r>
            <w:r>
              <w:rPr>
                <w:rFonts w:ascii="Times New Roman" w:hAnsi="Times New Roman"/>
                <w:color w:val="1F1F1F"/>
                <w:sz w:val="24"/>
              </w:rPr>
              <w:t>consumed.</w:t>
            </w:r>
            <w:bookmarkEnd w:id="0"/>
          </w:p>
        </w:tc>
      </w:tr>
    </w:tbl>
    <w:p w14:paraId="6F8505EB" w14:textId="77777777" w:rsidR="002A3ED7" w:rsidRDefault="00000000">
      <w:pPr>
        <w:rPr>
          <w:rFonts w:ascii="Times New Roman" w:hAnsi="Times New Roman"/>
          <w:b/>
          <w:bCs/>
          <w:color w:val="1F1F1F"/>
          <w:sz w:val="24"/>
        </w:rPr>
      </w:pPr>
      <w:r>
        <w:rPr>
          <w:rFonts w:ascii="Times New Roman" w:hAnsi="Times New Roman"/>
          <w:b/>
          <w:bCs/>
          <w:color w:val="1F1F1F"/>
          <w:sz w:val="24"/>
        </w:rPr>
        <w:br w:type="page"/>
      </w:r>
    </w:p>
    <w:p w14:paraId="5D40FBFC" w14:textId="77777777" w:rsidR="002A3ED7" w:rsidRDefault="00000000">
      <w:pPr>
        <w:spacing w:line="480" w:lineRule="auto"/>
        <w:rPr>
          <w:rFonts w:ascii="Times New Roman" w:hAnsi="Times New Roman"/>
          <w:b/>
          <w:bCs/>
          <w:color w:val="1F1F1F"/>
          <w:sz w:val="24"/>
        </w:rPr>
      </w:pPr>
      <w:r>
        <w:rPr>
          <w:rFonts w:ascii="Times New Roman" w:hAnsi="Times New Roman" w:hint="eastAsia"/>
          <w:b/>
          <w:bCs/>
          <w:color w:val="1F1F1F"/>
          <w:sz w:val="24"/>
        </w:rPr>
        <w:lastRenderedPageBreak/>
        <w:t>Supplementary Table 2.</w:t>
      </w:r>
      <w:r>
        <w:rPr>
          <w:rFonts w:ascii="Times New Roman" w:hAnsi="Times New Roman"/>
          <w:b/>
          <w:bCs/>
          <w:color w:val="1F1F1F"/>
          <w:sz w:val="24"/>
        </w:rPr>
        <w:t xml:space="preserve"> </w:t>
      </w:r>
      <w:r>
        <w:rPr>
          <w:rFonts w:ascii="Times New Roman" w:hAnsi="Times New Roman"/>
          <w:color w:val="1F1F1F"/>
          <w:sz w:val="24"/>
        </w:rPr>
        <w:t>Information of microbial functional genes involved in the C, N, and P cycling processes identified</w:t>
      </w:r>
      <w:r>
        <w:rPr>
          <w:rFonts w:ascii="Times New Roman" w:hAnsi="Times New Roman" w:hint="eastAsia"/>
          <w:color w:val="1F1F1F"/>
          <w:sz w:val="24"/>
        </w:rPr>
        <w:t>.</w:t>
      </w:r>
    </w:p>
    <w:tbl>
      <w:tblPr>
        <w:tblW w:w="8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80"/>
        <w:gridCol w:w="1474"/>
        <w:gridCol w:w="5475"/>
      </w:tblGrid>
      <w:tr w:rsidR="002A3ED7" w14:paraId="3A7E6DFF" w14:textId="77777777">
        <w:trPr>
          <w:trHeight w:val="300"/>
        </w:trPr>
        <w:tc>
          <w:tcPr>
            <w:tcW w:w="148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10FD6E1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KEGG orthology number</w:t>
            </w:r>
          </w:p>
        </w:tc>
        <w:tc>
          <w:tcPr>
            <w:tcW w:w="147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7B33187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Gene name</w:t>
            </w:r>
          </w:p>
        </w:tc>
        <w:tc>
          <w:tcPr>
            <w:tcW w:w="547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3080064C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Description</w:t>
            </w:r>
          </w:p>
        </w:tc>
      </w:tr>
      <w:tr w:rsidR="002A3ED7" w14:paraId="2791E173" w14:textId="77777777">
        <w:trPr>
          <w:trHeight w:val="300"/>
        </w:trPr>
        <w:tc>
          <w:tcPr>
            <w:tcW w:w="842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F4EA80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C degradation</w:t>
            </w:r>
            <w:r>
              <w:rPr>
                <w:rFonts w:ascii="Times New Roman" w:hAnsi="Times New Roman" w:hint="eastAsia"/>
                <w:b/>
                <w:bCs/>
                <w:color w:val="1F1F1F"/>
                <w:sz w:val="24"/>
              </w:rPr>
              <w:t xml:space="preserve"> </w:t>
            </w:r>
          </w:p>
        </w:tc>
      </w:tr>
      <w:tr w:rsidR="002A3ED7" w14:paraId="1001E722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2D3BE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Cellulose</w:t>
            </w:r>
          </w:p>
        </w:tc>
      </w:tr>
      <w:tr w:rsidR="002A3ED7" w14:paraId="6686E4DF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CC54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K01223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97BB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bglA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C723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6-phospho-beta-glucosidase [EC:3.2.1.86]</w:t>
            </w:r>
          </w:p>
        </w:tc>
      </w:tr>
      <w:tr w:rsidR="002A3ED7" w14:paraId="0037F6F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73BF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K05350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55837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bglB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600C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beta-glucosidase [EC:3.2.1.21]</w:t>
            </w:r>
          </w:p>
        </w:tc>
      </w:tr>
      <w:tr w:rsidR="002A3ED7" w14:paraId="48131144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9DEB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K05349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2A1F2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bglX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BAC6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beta-glucosidase [EC:3.2.1.21]</w:t>
            </w:r>
          </w:p>
        </w:tc>
      </w:tr>
      <w:tr w:rsidR="002A3ED7" w14:paraId="56FC440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A29C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K19668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0B8F7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cbhA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4AC2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cellulose 1,4-beta-cellobiosidase [EC:3.2.1.91]</w:t>
            </w:r>
          </w:p>
        </w:tc>
      </w:tr>
      <w:tr w:rsidR="002A3ED7" w14:paraId="17A656F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9C84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K01222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55DE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celF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0486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6-phospho-beta-glucosidase [EC:3.2.1.86]</w:t>
            </w:r>
          </w:p>
        </w:tc>
      </w:tr>
      <w:tr w:rsidR="002A3ED7" w14:paraId="60D40412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2D00A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Chitin</w:t>
            </w:r>
          </w:p>
        </w:tc>
      </w:tr>
      <w:tr w:rsidR="002A3ED7" w14:paraId="64F04179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D0AB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K01183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1091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i/>
                <w:iCs/>
                <w:color w:val="1F1F1F"/>
                <w:sz w:val="24"/>
              </w:rPr>
              <w:t>c</w:t>
            </w: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hi</w:t>
            </w:r>
            <w:r>
              <w:rPr>
                <w:rFonts w:ascii="Times New Roman" w:hAnsi="Times New Roman" w:hint="eastAsia"/>
                <w:i/>
                <w:iCs/>
                <w:color w:val="1F1F1F"/>
                <w:sz w:val="24"/>
              </w:rPr>
              <w:t>tinase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58AF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chitinase [EC:3.2.1.14]</w:t>
            </w:r>
          </w:p>
        </w:tc>
      </w:tr>
      <w:tr w:rsidR="002A3ED7" w14:paraId="41D0BBE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CBDF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K20547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05BA3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CHIB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84AF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basic endochitinase B [EC:3.2.1.14]</w:t>
            </w:r>
          </w:p>
        </w:tc>
      </w:tr>
      <w:tr w:rsidR="002A3ED7" w14:paraId="7F4B39CF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53C0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K01452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D7BD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chitin deacetylase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5AF8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chitin deacetylase [EC:3.5.1.41]</w:t>
            </w:r>
          </w:p>
        </w:tc>
      </w:tr>
      <w:tr w:rsidR="002A3ED7" w14:paraId="0036DD0C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5B8C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K01443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D9604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i/>
                <w:iCs/>
                <w:color w:val="1F1F1F"/>
                <w:sz w:val="24"/>
              </w:rPr>
              <w:t>nagA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0B90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N-acetylglucosamine-6-phosphate deacetylase [EC:3.5.1.25]</w:t>
            </w:r>
          </w:p>
        </w:tc>
      </w:tr>
      <w:tr w:rsidR="002A3ED7" w14:paraId="414E5C13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ABBF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color w:val="1F1F1F"/>
                <w:sz w:val="24"/>
              </w:rPr>
              <w:t>K01207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921A9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 w:hint="eastAsia"/>
                <w:i/>
                <w:iCs/>
                <w:color w:val="1F1F1F"/>
                <w:sz w:val="24"/>
              </w:rPr>
              <w:t>nagZ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D241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beta-N-acetylhexosaminidase [EC:3.2.1.52]</w:t>
            </w:r>
          </w:p>
        </w:tc>
      </w:tr>
      <w:tr w:rsidR="002A3ED7" w14:paraId="07903E26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F16F2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Hemicellulose</w:t>
            </w:r>
          </w:p>
        </w:tc>
      </w:tr>
      <w:tr w:rsidR="002A3ED7" w14:paraId="21C0650A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CF19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K01209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C6FF7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abfA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02F3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alpha-L-arabinofuranosidase [EC:3.2.1.55]</w:t>
            </w:r>
          </w:p>
        </w:tc>
      </w:tr>
      <w:tr w:rsidR="002A3ED7" w14:paraId="10E52FAC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1077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K01191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89AC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MAN2C1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78F6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alpha-mannosidase [EC:3.2.1.24]</w:t>
            </w:r>
          </w:p>
        </w:tc>
      </w:tr>
      <w:tr w:rsidR="002A3ED7" w14:paraId="266BB897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2976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K01218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6191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nplT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C56D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mannan endo-1,4-beta-mannosidase [EC:3.2.1.78]</w:t>
            </w:r>
          </w:p>
        </w:tc>
      </w:tr>
      <w:tr w:rsidR="002A3ED7" w14:paraId="6D088BE5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54DD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K01805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770BE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xylA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D01B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xylose isomerase [EC:5.3.1.5]</w:t>
            </w:r>
          </w:p>
        </w:tc>
      </w:tr>
      <w:tr w:rsidR="002A3ED7" w14:paraId="1E5C1ED3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BC11B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Lignin</w:t>
            </w:r>
          </w:p>
        </w:tc>
      </w:tr>
      <w:tr w:rsidR="002A3ED7" w14:paraId="65CBE52A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73B6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K07104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F95F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catE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92EF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catechol 2,3-dioxygenase [EC:1.13.11.2]</w:t>
            </w:r>
          </w:p>
        </w:tc>
      </w:tr>
      <w:tr w:rsidR="002A3ED7" w14:paraId="415BAFBB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36CE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K04618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4A771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GAOA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85A4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galactose oxidase [EC:1.1.3.9]</w:t>
            </w:r>
          </w:p>
        </w:tc>
      </w:tr>
      <w:tr w:rsidR="002A3ED7" w14:paraId="568B0CD2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1684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K04100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A79B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ligA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BEFC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protocatechuate 4,5-dioxygenase, alpha chain [EC:1.13.11.8]</w:t>
            </w:r>
          </w:p>
        </w:tc>
      </w:tr>
      <w:tr w:rsidR="002A3ED7" w14:paraId="227C46A2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7B89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K00422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2678F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phenoloxidase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B8A7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polyphenol oxidase [EC:1.10.3.1]</w:t>
            </w:r>
          </w:p>
        </w:tc>
      </w:tr>
      <w:tr w:rsidR="002A3ED7" w14:paraId="0662FC76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E864D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Pectin</w:t>
            </w:r>
          </w:p>
        </w:tc>
      </w:tr>
      <w:tr w:rsidR="002A3ED7" w14:paraId="7450C558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BEF1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K01804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0365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araA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1CAE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L-arabinose isomerase [EC:5.3.1.4]</w:t>
            </w:r>
          </w:p>
        </w:tc>
      </w:tr>
      <w:tr w:rsidR="002A3ED7" w14:paraId="398B0DBF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FB63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K01728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ED99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pel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F304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pectate lyase [EC:4.2.2.2]</w:t>
            </w:r>
          </w:p>
        </w:tc>
      </w:tr>
      <w:tr w:rsidR="002A3ED7" w14:paraId="401BBB6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B33F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K01184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4C9C5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pgl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D51E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polygalacturonase [EC:3.2.1.15]</w:t>
            </w:r>
          </w:p>
        </w:tc>
      </w:tr>
      <w:tr w:rsidR="002A3ED7" w14:paraId="72880F8C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0FF8A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Starch</w:t>
            </w:r>
          </w:p>
        </w:tc>
      </w:tr>
      <w:tr w:rsidR="002A3ED7" w14:paraId="512D104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9537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K01176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3D27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amyA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E486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alpha-amylase [EC:3.2.1.1]</w:t>
            </w:r>
          </w:p>
        </w:tc>
      </w:tr>
      <w:tr w:rsidR="002A3ED7" w14:paraId="31A78897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5703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K01178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EEFAF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glucoamylase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DD02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glucoamylase [EC:3.2.1.3]</w:t>
            </w:r>
          </w:p>
        </w:tc>
      </w:tr>
      <w:tr w:rsidR="002A3ED7" w14:paraId="4DD4E52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FDEA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K01214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D5F51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iam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E9E8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isoamylase [EC:3.2.1.68]</w:t>
            </w:r>
          </w:p>
        </w:tc>
      </w:tr>
      <w:tr w:rsidR="002A3ED7" w14:paraId="5C696050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70A6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K00705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66B4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malQ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E719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4-alpha-glucanotransferase [EC:2.4.1.25]</w:t>
            </w:r>
          </w:p>
        </w:tc>
      </w:tr>
      <w:tr w:rsidR="002A3ED7" w14:paraId="2EB347CB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0B37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K01187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161E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malZ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6937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alpha-glucosidase [EC:3.2.1.20]</w:t>
            </w:r>
          </w:p>
        </w:tc>
      </w:tr>
      <w:tr w:rsidR="002A3ED7" w14:paraId="63BA6E02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6063F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N cycling</w:t>
            </w:r>
          </w:p>
        </w:tc>
      </w:tr>
      <w:tr w:rsidR="002A3ED7" w14:paraId="69CF828C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B3BBD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Assimilatory nitrate reduction (ANRA)</w:t>
            </w:r>
          </w:p>
        </w:tc>
      </w:tr>
      <w:tr w:rsidR="002A3ED7" w14:paraId="599B98C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01A3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K00367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B7DC9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narB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569D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ferredoxin-nitrate reductase [EC:1.7.7.2]</w:t>
            </w:r>
          </w:p>
        </w:tc>
      </w:tr>
      <w:tr w:rsidR="002A3ED7" w14:paraId="20A764DF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010F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K00372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86A77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nasA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925A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assimilatory nitrate reductase catalytic subunit [EC:1.7.99.-]</w:t>
            </w:r>
          </w:p>
        </w:tc>
      </w:tr>
      <w:tr w:rsidR="002A3ED7" w14:paraId="01B4814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57EC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K00360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D61E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nasB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0901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assimilatory nitrate reductase electron transfer subunit [EC:1.7.99.-]</w:t>
            </w:r>
          </w:p>
        </w:tc>
      </w:tr>
      <w:tr w:rsidR="002A3ED7" w14:paraId="36C4085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10A4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K15578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39B62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nasD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CF6C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nitrate/nitrite transport system ATP-binding protein [EC:7.3.2.4]</w:t>
            </w:r>
          </w:p>
        </w:tc>
      </w:tr>
      <w:tr w:rsidR="002A3ED7" w14:paraId="1FEC61E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08F3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K00366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28E1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nirA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0E34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ferredoxin-nitrite reductase [EC:1.7.7.1]</w:t>
            </w:r>
          </w:p>
        </w:tc>
      </w:tr>
      <w:tr w:rsidR="002A3ED7" w14:paraId="55984EA8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3BFF7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Denitrification</w:t>
            </w:r>
          </w:p>
        </w:tc>
      </w:tr>
      <w:tr w:rsidR="002A3ED7" w14:paraId="2CF9ED44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E5A6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K00370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ECCF3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narG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9749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nitrate reductase / nitrite oxidoreductase, alpha subunit [EC:1.7.5.1 1.7.99.-]</w:t>
            </w:r>
          </w:p>
        </w:tc>
      </w:tr>
      <w:tr w:rsidR="002A3ED7" w14:paraId="418DA27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016A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K00371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1F36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narH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3EED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nitrate reductase / nitrite oxidoreductase, beta subunit [EC:1.7.5.1 1.7.99.-]</w:t>
            </w:r>
          </w:p>
        </w:tc>
      </w:tr>
      <w:tr w:rsidR="002A3ED7" w14:paraId="4BB9DC27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DA3B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K00374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E7514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narI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E52C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nitrate reductase gamma subunit [EC:1.7.5.1 1.7.99.-]</w:t>
            </w:r>
          </w:p>
        </w:tc>
      </w:tr>
      <w:tr w:rsidR="002A3ED7" w14:paraId="4935972B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FB1C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K00368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46243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nirK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A499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nitrite reductase (NO-forming) [EC:1.7.2.1]</w:t>
            </w:r>
          </w:p>
        </w:tc>
      </w:tr>
      <w:tr w:rsidR="002A3ED7" w14:paraId="0015154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535B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K15864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BB429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nirS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B3F3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nitrite reductase (NO-forming) / hydroxylamine reductase [EC:1.7.2.1 1.7.99.1]</w:t>
            </w:r>
          </w:p>
        </w:tc>
      </w:tr>
      <w:tr w:rsidR="002A3ED7" w14:paraId="3B73B3D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DCE4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K04561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0892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norB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AD6E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nitric oxide reductase subunit B [EC:1.7.2.5]</w:t>
            </w:r>
          </w:p>
        </w:tc>
      </w:tr>
      <w:tr w:rsidR="002A3ED7" w14:paraId="60AC222C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7EB7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K02305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2222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norC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61DA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nitric oxide reductase subunit C</w:t>
            </w:r>
          </w:p>
        </w:tc>
      </w:tr>
      <w:tr w:rsidR="002A3ED7" w14:paraId="66A8D88B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7ED0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K00376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C9609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nosZ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49A1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nitrous-oxide reductase [EC:1.7.2.4]</w:t>
            </w:r>
          </w:p>
        </w:tc>
      </w:tr>
      <w:tr w:rsidR="002A3ED7" w14:paraId="65C262E5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84B6C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Dissimilatory nitrate reduction (DNRA)</w:t>
            </w:r>
          </w:p>
        </w:tc>
      </w:tr>
      <w:tr w:rsidR="002A3ED7" w14:paraId="7B0A4982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8E45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K02567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D1F8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napA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F0E7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nitrate reductase (cytochrome) [EC:1.9.6.1]</w:t>
            </w:r>
          </w:p>
        </w:tc>
      </w:tr>
      <w:tr w:rsidR="002A3ED7" w14:paraId="077D335E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30A9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K02568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B3C1E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napB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E3A3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nitrate reductase (cytochrome), electron transfer subunit</w:t>
            </w:r>
          </w:p>
        </w:tc>
      </w:tr>
      <w:tr w:rsidR="002A3ED7" w14:paraId="476B74D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864A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K00362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95944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nirB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26B4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nitrite reductase (NADH) large subunit [EC:1.7.1.15]</w:t>
            </w:r>
          </w:p>
        </w:tc>
      </w:tr>
      <w:tr w:rsidR="002A3ED7" w14:paraId="27C5E0AB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F20E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K00363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EC105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nirD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FBB0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nitrite reductase (NADH) small subunit [EC:1.7.1.15]</w:t>
            </w:r>
          </w:p>
        </w:tc>
      </w:tr>
      <w:tr w:rsidR="002A3ED7" w14:paraId="16CA2E70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8C8A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K03385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681E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nrfA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2C05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nitrite reductase (cytochrome c-552) [EC:1.7.2.2]</w:t>
            </w:r>
          </w:p>
        </w:tc>
      </w:tr>
      <w:tr w:rsidR="002A3ED7" w14:paraId="3A6E324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44E2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K15876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8569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nrfH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DA4F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cytochrome c nitrite reductase small subunit</w:t>
            </w:r>
          </w:p>
        </w:tc>
      </w:tr>
      <w:tr w:rsidR="002A3ED7" w14:paraId="57E6FCE5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ACCFE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Nitrification</w:t>
            </w:r>
          </w:p>
        </w:tc>
      </w:tr>
      <w:tr w:rsidR="002A3ED7" w14:paraId="323E7CF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0C81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K10944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9E21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amoA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3793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methane monooxygenase subunit A [EC:1.14.18.3]</w:t>
            </w:r>
          </w:p>
        </w:tc>
      </w:tr>
      <w:tr w:rsidR="002A3ED7" w14:paraId="11F0AB88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DC45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K10945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2DE15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amoB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E8B3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methane/ammonia monooxygenase subunit B</w:t>
            </w:r>
          </w:p>
        </w:tc>
      </w:tr>
      <w:tr w:rsidR="002A3ED7" w14:paraId="3C1FCBD8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14A5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K10946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E8FF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amoC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63A8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methane/ammonia monooxygenase subunit C</w:t>
            </w:r>
          </w:p>
        </w:tc>
      </w:tr>
      <w:tr w:rsidR="002A3ED7" w14:paraId="2E1AD1E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BFAE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K10535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55D2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hao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3E7A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hydroxylamine dehydrogenase [EC:1.7.2.6]</w:t>
            </w:r>
          </w:p>
        </w:tc>
      </w:tr>
      <w:tr w:rsidR="002A3ED7" w14:paraId="4E7C78A6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260E8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Nitrogen degradation</w:t>
            </w:r>
          </w:p>
        </w:tc>
      </w:tr>
      <w:tr w:rsidR="002A3ED7" w14:paraId="22385512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D666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K00261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D4433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gdhA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E0B6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glutamate dehydrogenase (NAD(P)+) [EC:1.4.1.3]</w:t>
            </w:r>
          </w:p>
        </w:tc>
      </w:tr>
      <w:tr w:rsidR="002A3ED7" w14:paraId="7C09B6A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4678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K00117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4BE0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gdhB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9C79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quinoprotein glucose dehydrogenase [EC:1.1.5.2]</w:t>
            </w:r>
          </w:p>
        </w:tc>
      </w:tr>
      <w:tr w:rsidR="002A3ED7" w14:paraId="41ADCF40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2031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K01915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E112E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glnA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5DA8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glutamine synthetase [EC:6.3.1.2]</w:t>
            </w:r>
          </w:p>
        </w:tc>
      </w:tr>
      <w:tr w:rsidR="002A3ED7" w14:paraId="130B3EC8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4B26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K00284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CDF54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gltB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05F0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glutamate synthase (ferredoxin) [EC:1.4.7.1]</w:t>
            </w:r>
          </w:p>
        </w:tc>
      </w:tr>
      <w:tr w:rsidR="002A3ED7" w14:paraId="2A2310CF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4360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K00266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98D4C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gltD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E85E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glutamate synthase (NADPH) small chain [EC:1.4.1.13]</w:t>
            </w:r>
          </w:p>
        </w:tc>
      </w:tr>
      <w:tr w:rsidR="002A3ED7" w14:paraId="061FE833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8A9A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K01428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0ED9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ureC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8959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urease subunit alpha [EC:3.5.1.5]</w:t>
            </w:r>
          </w:p>
        </w:tc>
      </w:tr>
      <w:tr w:rsidR="002A3ED7" w14:paraId="6D3A87FF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BA94C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Nitrogen Fixation</w:t>
            </w:r>
          </w:p>
        </w:tc>
      </w:tr>
      <w:tr w:rsidR="002A3ED7" w14:paraId="7EEF841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0351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K02584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1FCD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nifA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D883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Nif-specific regulatory protein</w:t>
            </w:r>
          </w:p>
        </w:tc>
      </w:tr>
      <w:tr w:rsidR="002A3ED7" w14:paraId="199F8512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B459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K02588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98699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nifH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D862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nitrogenase iron protein NifH</w:t>
            </w:r>
          </w:p>
        </w:tc>
      </w:tr>
      <w:tr w:rsidR="002A3ED7" w14:paraId="1C49422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0B84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K04487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AC3E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nifS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B3B2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cysteine desulfurase [EC:2.8.1.7]</w:t>
            </w:r>
          </w:p>
        </w:tc>
      </w:tr>
      <w:tr w:rsidR="002A3ED7" w14:paraId="6743E86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AA23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K02594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EC51F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nifV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CEA4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homocitrate synthase NifV [EC:2.3.3.14]</w:t>
            </w:r>
          </w:p>
        </w:tc>
      </w:tr>
      <w:tr w:rsidR="002A3ED7" w14:paraId="19A6A5B7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88081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P cycling</w:t>
            </w:r>
          </w:p>
        </w:tc>
      </w:tr>
      <w:tr w:rsidR="002A3ED7" w14:paraId="33F8F953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01095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Inorganic P-solubilization</w:t>
            </w:r>
          </w:p>
        </w:tc>
      </w:tr>
      <w:tr w:rsidR="002A3ED7" w14:paraId="1CD92529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1ACC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K00117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E676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gcd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084F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quinoprotein glucose dehydrogenase [EC:1.1.5.2]</w:t>
            </w:r>
          </w:p>
        </w:tc>
      </w:tr>
      <w:tr w:rsidR="002A3ED7" w14:paraId="690A58D5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3694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K01507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B1C17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ppa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180E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inorganic pyrophosphatase [EC:3.6.1.1]</w:t>
            </w:r>
          </w:p>
        </w:tc>
      </w:tr>
      <w:tr w:rsidR="002A3ED7" w14:paraId="52B48DB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ED17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K00937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6078F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ppk1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CF08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polyphosphate kinase [EC:2.7.4.1]</w:t>
            </w:r>
          </w:p>
        </w:tc>
      </w:tr>
      <w:tr w:rsidR="002A3ED7" w14:paraId="187B43D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D662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K01524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469E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ppx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0132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exopolyphosphatase / guanosine-5'-triphosphate,3'-diphosphate pyrophosphatase [EC:3.6.1.11 3.6.1.40]</w:t>
            </w:r>
          </w:p>
        </w:tc>
      </w:tr>
      <w:tr w:rsidR="002A3ED7" w14:paraId="3A97DBC3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56671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Organic P-mineralization</w:t>
            </w:r>
          </w:p>
        </w:tc>
      </w:tr>
      <w:tr w:rsidR="002A3ED7" w14:paraId="6B1CE990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6921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K01093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F7CC9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appA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2EB6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4-phytase / acid phosphatase [EC:3.1.3.26 3.1.3.2]</w:t>
            </w:r>
          </w:p>
        </w:tc>
      </w:tr>
      <w:tr w:rsidR="002A3ED7" w14:paraId="64C69260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926C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K19670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1AF0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4A0B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phosphonoacetate hydrolase [EC:3.11.1.2]</w:t>
            </w:r>
          </w:p>
        </w:tc>
      </w:tr>
      <w:tr w:rsidR="002A3ED7" w14:paraId="1627829E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A5D6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K06166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EA4F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phnG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B826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alpha-D-ribose 1-methylphosphonate 5-triphosphate synthase subunit PhnG [EC:2.7.8.37]</w:t>
            </w:r>
          </w:p>
        </w:tc>
      </w:tr>
      <w:tr w:rsidR="002A3ED7" w14:paraId="2B081F1F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A93E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K06165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90112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phnH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B0EE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alpha-D-ribose 1-methylphosphonate 5-triphosphate synthase subunit PhnH [EC:2.7.8.37]</w:t>
            </w:r>
          </w:p>
        </w:tc>
      </w:tr>
      <w:tr w:rsidR="002A3ED7" w14:paraId="4FAB0FE1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EA24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K06164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38814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phnI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859D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alpha-D-ribose 1-methylphosphonate 5-triphosphate synthase subunit PhnI [EC:2.7.8.37]</w:t>
            </w:r>
          </w:p>
        </w:tc>
      </w:tr>
      <w:tr w:rsidR="002A3ED7" w14:paraId="7AF26ED7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CF9D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K06163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A7165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phnJ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D0EE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alpha-D-ribose 1-methylphosphonate 5-phosphate C-P lyase [EC:4.7.1.1]</w:t>
            </w:r>
          </w:p>
        </w:tc>
      </w:tr>
      <w:tr w:rsidR="002A3ED7" w14:paraId="1CBE2454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318A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K05780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5A3E5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phnL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D713E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alpha-D-ribose 1-methylphosphonate 5-triphosphate synthase subunit PhnL [EC:2.7.8.37]</w:t>
            </w:r>
          </w:p>
        </w:tc>
      </w:tr>
      <w:tr w:rsidR="002A3ED7" w14:paraId="2E44A46C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464F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K06162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1FEEC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phnM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D572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alpha-D-ribose 1-methylphosphonate 5-triphosphate diphosphatase [EC:3.6.1.63]</w:t>
            </w:r>
          </w:p>
        </w:tc>
      </w:tr>
      <w:tr w:rsidR="002A3ED7" w14:paraId="4D034557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4916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K05774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A47C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phnN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F60D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LIM domain kinase 2 [EC:2.7.11.1]</w:t>
            </w:r>
          </w:p>
        </w:tc>
      </w:tr>
      <w:tr w:rsidR="002A3ED7" w14:paraId="679C8CF5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7F2A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K09994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48E31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phnO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FB70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(aminoalkyl)phosphonate N-acetyltransferase [EC:2.3.1.280]</w:t>
            </w:r>
          </w:p>
        </w:tc>
      </w:tr>
      <w:tr w:rsidR="002A3ED7" w14:paraId="3013F258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88CE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K06167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2B4CA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phnP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E83D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phosphoribosyl 1,2-cyclic phosphate phosphodiesterase [EC:3.1.4.55]</w:t>
            </w:r>
          </w:p>
        </w:tc>
      </w:tr>
      <w:tr w:rsidR="002A3ED7" w14:paraId="5F49640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4F8C2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K03430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7D55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phnW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01A3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2-aminoethylphosphonate-pyruvate transaminase [EC:2.6.1.37]</w:t>
            </w:r>
          </w:p>
        </w:tc>
      </w:tr>
      <w:tr w:rsidR="002A3ED7" w14:paraId="375FA350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F2A0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K05306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CEF7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phnX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B91A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phosphonoacetaldehyde hydrolase [EC:3.11.1.1]</w:t>
            </w:r>
          </w:p>
        </w:tc>
      </w:tr>
      <w:tr w:rsidR="002A3ED7" w14:paraId="715AF435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9004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K01077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C002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phoA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DBA2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alkaline phosphatase [EC:3.1.3.1]</w:t>
            </w:r>
          </w:p>
        </w:tc>
      </w:tr>
      <w:tr w:rsidR="002A3ED7" w14:paraId="709A143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77C2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K09474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1E6F7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phoN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6579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acid phosphatase (class A) [EC:3.1.3.2]</w:t>
            </w:r>
          </w:p>
        </w:tc>
      </w:tr>
      <w:tr w:rsidR="002A3ED7" w14:paraId="19ADCEEF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75BB3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K01083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5BF7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phy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EFF1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3-phytase [EC:3.1.3.8]</w:t>
            </w:r>
          </w:p>
        </w:tc>
      </w:tr>
      <w:tr w:rsidR="002A3ED7" w14:paraId="2A10C857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860A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K01126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162A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ugpQ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2750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glycerophosphoryl diester phosphodiesterase [EC:3.1.4.46]</w:t>
            </w:r>
          </w:p>
        </w:tc>
      </w:tr>
      <w:tr w:rsidR="002A3ED7" w14:paraId="6D125156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284ED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P-starvation response regulation</w:t>
            </w:r>
          </w:p>
        </w:tc>
      </w:tr>
      <w:tr w:rsidR="002A3ED7" w14:paraId="68C9BC55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736E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K07657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1C35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phoB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F937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two-component system, OmpR family, phosphate regulon response regulator PhoB</w:t>
            </w:r>
          </w:p>
        </w:tc>
      </w:tr>
      <w:tr w:rsidR="002A3ED7" w14:paraId="0A64019B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B036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K07660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DC621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phoP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6BFA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two-component system, OmpR family, response regulator PhoP</w:t>
            </w:r>
          </w:p>
        </w:tc>
      </w:tr>
      <w:tr w:rsidR="002A3ED7" w14:paraId="1CBE10FA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E3BC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K07636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8EC8F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phoR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7EF9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two-component system, OmpR family, phosphate regulon sensor histidine kinase PhoR [EC:2.7.13.3]</w:t>
            </w:r>
          </w:p>
        </w:tc>
      </w:tr>
      <w:tr w:rsidR="002A3ED7" w14:paraId="418C9ECD" w14:textId="77777777">
        <w:trPr>
          <w:trHeight w:val="300"/>
        </w:trPr>
        <w:tc>
          <w:tcPr>
            <w:tcW w:w="84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DFA00" w14:textId="77777777" w:rsidR="002A3ED7" w:rsidRDefault="00000000">
            <w:pPr>
              <w:jc w:val="left"/>
              <w:rPr>
                <w:rFonts w:ascii="Times New Roman" w:hAnsi="Times New Roman"/>
                <w:b/>
                <w:bCs/>
                <w:color w:val="1F1F1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</w:rPr>
              <w:t>P-uptake and transport</w:t>
            </w:r>
          </w:p>
        </w:tc>
      </w:tr>
      <w:tr w:rsidR="002A3ED7" w14:paraId="4A5DB805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4FF4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K01126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23AB6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glpQ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30B84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glycerophosphoryl diester phosphodiesterase [EC:3.1.4.46]</w:t>
            </w:r>
          </w:p>
        </w:tc>
      </w:tr>
      <w:tr w:rsidR="002A3ED7" w14:paraId="13675E06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9756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K02041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9C53C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phnC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0805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phosphonate transport system ATP-binding protein [EC:7.3.2.2]</w:t>
            </w:r>
          </w:p>
        </w:tc>
      </w:tr>
      <w:tr w:rsidR="002A3ED7" w14:paraId="79B91E57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EC14D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K02042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A9EDC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phnE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D296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phosphonate transport system permease protein</w:t>
            </w:r>
          </w:p>
        </w:tc>
      </w:tr>
      <w:tr w:rsidR="002A3ED7" w14:paraId="7B6A0462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DE0F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K02038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C838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pstA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FA2EC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phosphate transport system permease protein</w:t>
            </w:r>
          </w:p>
        </w:tc>
      </w:tr>
      <w:tr w:rsidR="002A3ED7" w14:paraId="20D78F8D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71CD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K02036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A13B0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pstB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20787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phosphate transport system ATP-binding protein [EC:7.3.2.1]</w:t>
            </w:r>
          </w:p>
        </w:tc>
      </w:tr>
      <w:tr w:rsidR="002A3ED7" w14:paraId="29FA5DC4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ACEF8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K02037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2C328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pstC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59ECF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phosphate transport system permease protein</w:t>
            </w:r>
          </w:p>
        </w:tc>
      </w:tr>
      <w:tr w:rsidR="002A3ED7" w14:paraId="3C4FA1E9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BF7B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K05814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A8383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ugpA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4319A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sn-glycerol 3-phosphate transport system permease protein</w:t>
            </w:r>
          </w:p>
        </w:tc>
      </w:tr>
      <w:tr w:rsidR="002A3ED7" w14:paraId="6E9B5D49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32DA0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K05813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A45FD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ugpB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BE635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sn-glycerol 3-phosphate transport system substrate-binding protein</w:t>
            </w:r>
          </w:p>
        </w:tc>
      </w:tr>
      <w:tr w:rsidR="002A3ED7" w14:paraId="2CBCA3E3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6B826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K05816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362BE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ugpC</w:t>
            </w: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0042B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sn-glycerol 3-phosphate transport system ATP-binding protein [EC:7.6.2.10]</w:t>
            </w:r>
          </w:p>
        </w:tc>
      </w:tr>
      <w:tr w:rsidR="002A3ED7" w14:paraId="49FF803E" w14:textId="77777777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BE81321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K05815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132C6C1" w14:textId="77777777" w:rsidR="002A3ED7" w:rsidRDefault="00000000">
            <w:pPr>
              <w:jc w:val="left"/>
              <w:rPr>
                <w:rFonts w:ascii="Times New Roman" w:hAnsi="Times New Roman"/>
                <w:i/>
                <w:iCs/>
                <w:color w:val="1F1F1F"/>
                <w:sz w:val="24"/>
              </w:rPr>
            </w:pPr>
            <w:r>
              <w:rPr>
                <w:rFonts w:ascii="Times New Roman" w:hAnsi="Times New Roman"/>
                <w:i/>
                <w:iCs/>
                <w:color w:val="1F1F1F"/>
                <w:sz w:val="24"/>
              </w:rPr>
              <w:t>ugpE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3FFDE49" w14:textId="77777777" w:rsidR="002A3ED7" w:rsidRDefault="00000000">
            <w:pPr>
              <w:jc w:val="left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sn-glycerol 3-phosphate transport system permease protein</w:t>
            </w:r>
          </w:p>
        </w:tc>
      </w:tr>
    </w:tbl>
    <w:p w14:paraId="69E7AFAD" w14:textId="77777777" w:rsidR="002A3ED7" w:rsidRDefault="00000000">
      <w:pPr>
        <w:rPr>
          <w:rFonts w:ascii="Times New Roman" w:hAnsi="Times New Roman"/>
          <w:b/>
          <w:bCs/>
          <w:color w:val="1F1F1F"/>
          <w:sz w:val="24"/>
        </w:rPr>
      </w:pPr>
      <w:r>
        <w:rPr>
          <w:rFonts w:ascii="Times New Roman" w:hAnsi="Times New Roman"/>
          <w:b/>
          <w:bCs/>
          <w:color w:val="1F1F1F"/>
          <w:sz w:val="24"/>
        </w:rPr>
        <w:br w:type="page"/>
      </w:r>
    </w:p>
    <w:p w14:paraId="784B61ED" w14:textId="77777777" w:rsidR="002A3ED7" w:rsidRDefault="00000000">
      <w:pPr>
        <w:spacing w:line="480" w:lineRule="auto"/>
        <w:rPr>
          <w:rFonts w:ascii="Times New Roman" w:hAnsi="Times New Roman"/>
          <w:b/>
          <w:bCs/>
          <w:color w:val="1F1F1F"/>
          <w:sz w:val="24"/>
        </w:rPr>
      </w:pPr>
      <w:r>
        <w:rPr>
          <w:rFonts w:ascii="Times New Roman" w:hAnsi="Times New Roman" w:hint="eastAsia"/>
          <w:b/>
          <w:bCs/>
          <w:color w:val="1F1F1F"/>
          <w:sz w:val="24"/>
        </w:rPr>
        <w:t xml:space="preserve">Supplementary Table 3. </w:t>
      </w:r>
      <w:r>
        <w:rPr>
          <w:rFonts w:ascii="Times New Roman" w:hAnsi="Times New Roman" w:hint="eastAsia"/>
          <w:color w:val="1F1F1F"/>
          <w:sz w:val="24"/>
        </w:rPr>
        <w:t xml:space="preserve">PERMANOVA results showing the effects of Fire, Depth, and their interaction on carbon, nitrogen, and phosphorus gene composition. Significance was determined at </w:t>
      </w:r>
      <w:r>
        <w:rPr>
          <w:rFonts w:ascii="Times New Roman" w:hAnsi="Times New Roman" w:hint="eastAsia"/>
          <w:i/>
          <w:iCs/>
          <w:color w:val="1F1F1F"/>
          <w:sz w:val="24"/>
        </w:rPr>
        <w:t>p</w:t>
      </w:r>
      <w:r>
        <w:rPr>
          <w:rFonts w:ascii="Times New Roman" w:hAnsi="Times New Roman" w:hint="eastAsia"/>
          <w:color w:val="1F1F1F"/>
          <w:sz w:val="24"/>
        </w:rPr>
        <w:t xml:space="preserve"> &lt; 0.05 using Bray-Curtis dissimilarity.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78"/>
        <w:gridCol w:w="1842"/>
        <w:gridCol w:w="1486"/>
        <w:gridCol w:w="927"/>
        <w:gridCol w:w="798"/>
        <w:gridCol w:w="1091"/>
      </w:tblGrid>
      <w:tr w:rsidR="002A3ED7" w14:paraId="4828FDC1" w14:textId="77777777">
        <w:trPr>
          <w:trHeight w:val="360"/>
        </w:trPr>
        <w:tc>
          <w:tcPr>
            <w:tcW w:w="1394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EF8B861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Functional Gene</w:t>
            </w:r>
          </w:p>
        </w:tc>
        <w:tc>
          <w:tcPr>
            <w:tcW w:w="1080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6C66809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Variable</w:t>
            </w:r>
          </w:p>
        </w:tc>
        <w:tc>
          <w:tcPr>
            <w:tcW w:w="871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491F26B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Sum of Sqs</w:t>
            </w:r>
          </w:p>
        </w:tc>
        <w:tc>
          <w:tcPr>
            <w:tcW w:w="544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0E0DC1D9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R2</w:t>
            </w:r>
          </w:p>
        </w:tc>
        <w:tc>
          <w:tcPr>
            <w:tcW w:w="468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40D2668B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</w:t>
            </w:r>
          </w:p>
        </w:tc>
        <w:tc>
          <w:tcPr>
            <w:tcW w:w="640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62B4ABA0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Pr (&gt;F)</w:t>
            </w:r>
          </w:p>
        </w:tc>
      </w:tr>
      <w:tr w:rsidR="002A3ED7" w14:paraId="19DE037D" w14:textId="77777777">
        <w:trPr>
          <w:trHeight w:val="320"/>
        </w:trPr>
        <w:tc>
          <w:tcPr>
            <w:tcW w:w="1394" w:type="pct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79BACC7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 degradation</w:t>
            </w:r>
          </w:p>
        </w:tc>
        <w:tc>
          <w:tcPr>
            <w:tcW w:w="108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A403C10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Fire</w:t>
            </w:r>
          </w:p>
        </w:tc>
        <w:tc>
          <w:tcPr>
            <w:tcW w:w="87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D4D0F9F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0.01</w:t>
            </w:r>
          </w:p>
        </w:tc>
        <w:tc>
          <w:tcPr>
            <w:tcW w:w="54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05D307C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0.12</w:t>
            </w:r>
          </w:p>
        </w:tc>
        <w:tc>
          <w:tcPr>
            <w:tcW w:w="468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219EA46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</w:rPr>
              <w:t>6.76</w:t>
            </w:r>
          </w:p>
        </w:tc>
        <w:tc>
          <w:tcPr>
            <w:tcW w:w="64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73D687B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  <w:tr w:rsidR="002A3ED7" w14:paraId="17C9E4CD" w14:textId="77777777">
        <w:trPr>
          <w:trHeight w:val="320"/>
        </w:trPr>
        <w:tc>
          <w:tcPr>
            <w:tcW w:w="139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88CDA" w14:textId="77777777" w:rsidR="002A3ED7" w:rsidRDefault="002A3ED7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07B1D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Depth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FBB02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633C2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0.47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C9961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</w:rPr>
              <w:t>39.46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4FA79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  <w:tr w:rsidR="002A3ED7" w14:paraId="29CF4268" w14:textId="77777777">
        <w:trPr>
          <w:trHeight w:val="320"/>
        </w:trPr>
        <w:tc>
          <w:tcPr>
            <w:tcW w:w="1394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75B5514" w14:textId="77777777" w:rsidR="002A3ED7" w:rsidRDefault="002A3ED7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45DBBA7B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Fire x Depth</w:t>
            </w:r>
          </w:p>
        </w:tc>
        <w:tc>
          <w:tcPr>
            <w:tcW w:w="871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198DCED6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044AC86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0.2</w:t>
            </w:r>
            <w:r>
              <w:rPr>
                <w:rFonts w:ascii="Times New Roman" w:hAnsi="Times New Roman" w:hint="eastAsia"/>
                <w:color w:val="000000"/>
                <w:sz w:val="24"/>
              </w:rPr>
              <w:t>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159B8725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</w:rPr>
              <w:t>7.37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0A9C50AA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  <w:tr w:rsidR="002A3ED7" w14:paraId="310F5306" w14:textId="77777777">
        <w:trPr>
          <w:trHeight w:val="320"/>
        </w:trPr>
        <w:tc>
          <w:tcPr>
            <w:tcW w:w="1394" w:type="pct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F334F8C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 cycling</w:t>
            </w:r>
          </w:p>
        </w:tc>
        <w:tc>
          <w:tcPr>
            <w:tcW w:w="108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E7F7770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Fire</w:t>
            </w:r>
          </w:p>
        </w:tc>
        <w:tc>
          <w:tcPr>
            <w:tcW w:w="87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B15EBC3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0.02</w:t>
            </w:r>
          </w:p>
        </w:tc>
        <w:tc>
          <w:tcPr>
            <w:tcW w:w="54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3027D24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0.12</w:t>
            </w:r>
          </w:p>
        </w:tc>
        <w:tc>
          <w:tcPr>
            <w:tcW w:w="468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187BE19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7.46</w:t>
            </w:r>
          </w:p>
        </w:tc>
        <w:tc>
          <w:tcPr>
            <w:tcW w:w="64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F948DC3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  <w:tr w:rsidR="002A3ED7" w14:paraId="6130BAF3" w14:textId="77777777">
        <w:trPr>
          <w:trHeight w:val="320"/>
        </w:trPr>
        <w:tc>
          <w:tcPr>
            <w:tcW w:w="139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0D749" w14:textId="77777777" w:rsidR="002A3ED7" w:rsidRDefault="002A3ED7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FD7A6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Depth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0C3C2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2DC1D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0.60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34170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56.48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25E19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  <w:tr w:rsidR="002A3ED7" w14:paraId="159BDDD8" w14:textId="77777777">
        <w:trPr>
          <w:trHeight w:val="320"/>
        </w:trPr>
        <w:tc>
          <w:tcPr>
            <w:tcW w:w="1394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580DC43" w14:textId="77777777" w:rsidR="002A3ED7" w:rsidRDefault="002A3ED7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5B8EC3F7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Fire x Depth</w:t>
            </w:r>
          </w:p>
        </w:tc>
        <w:tc>
          <w:tcPr>
            <w:tcW w:w="871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0F00BB77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A248AD1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56EE2B72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4.96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0A05A51C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0.002</w:t>
            </w:r>
          </w:p>
        </w:tc>
      </w:tr>
      <w:tr w:rsidR="002A3ED7" w14:paraId="341D4589" w14:textId="77777777">
        <w:trPr>
          <w:trHeight w:val="320"/>
        </w:trPr>
        <w:tc>
          <w:tcPr>
            <w:tcW w:w="1394" w:type="pct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79A6390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P cycling</w:t>
            </w:r>
          </w:p>
        </w:tc>
        <w:tc>
          <w:tcPr>
            <w:tcW w:w="108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8EA58B7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Fire</w:t>
            </w:r>
          </w:p>
        </w:tc>
        <w:tc>
          <w:tcPr>
            <w:tcW w:w="87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15A304E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0.01</w:t>
            </w:r>
          </w:p>
        </w:tc>
        <w:tc>
          <w:tcPr>
            <w:tcW w:w="54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BFC19A5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0.14</w:t>
            </w:r>
          </w:p>
        </w:tc>
        <w:tc>
          <w:tcPr>
            <w:tcW w:w="468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170ABC8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</w:rPr>
              <w:t>6.41</w:t>
            </w:r>
          </w:p>
        </w:tc>
        <w:tc>
          <w:tcPr>
            <w:tcW w:w="64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A7ACD27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  <w:tr w:rsidR="002A3ED7" w14:paraId="4EAE48FB" w14:textId="77777777">
        <w:trPr>
          <w:trHeight w:val="320"/>
        </w:trPr>
        <w:tc>
          <w:tcPr>
            <w:tcW w:w="139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15B14" w14:textId="77777777" w:rsidR="002A3ED7" w:rsidRDefault="002A3ED7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004F3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Depth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AD3B1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7F8FB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0.4</w:t>
            </w:r>
            <w:r>
              <w:rPr>
                <w:rFonts w:ascii="Times New Roman" w:hAnsi="Times New Roman" w:hint="eastAsia"/>
                <w:color w:val="000000"/>
                <w:sz w:val="24"/>
              </w:rPr>
              <w:t>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77A31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</w:rPr>
              <w:t>30.28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78ECD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  <w:tr w:rsidR="002A3ED7" w14:paraId="5B5CAE71" w14:textId="77777777">
        <w:trPr>
          <w:trHeight w:val="320"/>
        </w:trPr>
        <w:tc>
          <w:tcPr>
            <w:tcW w:w="1394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329E5A" w14:textId="77777777" w:rsidR="002A3ED7" w:rsidRDefault="002A3ED7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3F19C04" w14:textId="77777777" w:rsidR="002A3ED7" w:rsidRDefault="0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Fire x Depth</w:t>
            </w:r>
          </w:p>
        </w:tc>
        <w:tc>
          <w:tcPr>
            <w:tcW w:w="87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6FB1D93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AAA34E4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0.2</w:t>
            </w:r>
            <w:r>
              <w:rPr>
                <w:rFonts w:ascii="Times New Roman" w:hAnsi="Times New Roman" w:hint="eastAsia"/>
                <w:color w:val="000000"/>
                <w:sz w:val="24"/>
              </w:rPr>
              <w:t>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EBBFA47" w14:textId="77777777" w:rsidR="002A3ED7" w:rsidRDefault="0000000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</w:t>
            </w:r>
            <w:r>
              <w:rPr>
                <w:rFonts w:ascii="Times New Roman" w:hAnsi="Times New Roman" w:hint="eastAsia"/>
                <w:color w:val="000000"/>
                <w:sz w:val="24"/>
              </w:rPr>
              <w:t>68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C7D3B67" w14:textId="77777777" w:rsidR="002A3ED7" w:rsidRDefault="00000000">
            <w:pPr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0.001</w:t>
            </w:r>
          </w:p>
        </w:tc>
      </w:tr>
    </w:tbl>
    <w:p w14:paraId="5ADFC304" w14:textId="20C2A2DD" w:rsidR="002A3ED7" w:rsidRDefault="00000000">
      <w:pPr>
        <w:rPr>
          <w:rFonts w:ascii="Times New Roman" w:hAnsi="Times New Roman" w:hint="eastAsia"/>
          <w:b/>
          <w:bCs/>
          <w:color w:val="000000"/>
          <w:kern w:val="0"/>
          <w:sz w:val="30"/>
          <w:szCs w:val="30"/>
        </w:rPr>
      </w:pPr>
      <w:r>
        <w:rPr>
          <w:rFonts w:ascii="Times New Roman" w:hAnsi="Times New Roman"/>
          <w:b/>
          <w:bCs/>
          <w:color w:val="1F1F1F"/>
          <w:sz w:val="24"/>
        </w:rPr>
        <w:br w:type="page"/>
      </w:r>
    </w:p>
    <w:p w14:paraId="437D3350" w14:textId="4C488C4B" w:rsidR="00E24323" w:rsidRDefault="00E24323">
      <w:pPr>
        <w:rPr>
          <w:rFonts w:ascii="Times New Roman" w:hAnsi="Times New Roman" w:hint="eastAsia"/>
          <w:b/>
          <w:bCs/>
          <w:color w:val="000000"/>
          <w:kern w:val="0"/>
          <w:sz w:val="30"/>
          <w:szCs w:val="30"/>
        </w:rPr>
      </w:pPr>
      <w:r w:rsidRPr="00E24323">
        <w:rPr>
          <w:rFonts w:ascii="Times New Roman" w:hAnsi="Times New Roman"/>
          <w:b/>
          <w:bCs/>
          <w:noProof/>
          <w:color w:val="000000"/>
          <w:kern w:val="0"/>
          <w:sz w:val="30"/>
          <w:szCs w:val="30"/>
        </w:rPr>
        <w:drawing>
          <wp:inline distT="0" distB="0" distL="0" distR="0" wp14:anchorId="26ED6993" wp14:editId="4B486F76">
            <wp:extent cx="5274310" cy="4159885"/>
            <wp:effectExtent l="0" t="0" r="0" b="0"/>
            <wp:docPr id="1527131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153D" w14:textId="5B1C0104" w:rsidR="002A3ED7" w:rsidRPr="00E24323" w:rsidRDefault="00000000" w:rsidP="00E24323">
      <w:pPr>
        <w:spacing w:line="480" w:lineRule="auto"/>
        <w:rPr>
          <w:rStyle w:val="a9"/>
          <w:rFonts w:ascii="Times New Roman" w:hAnsi="Times New Roman" w:hint="eastAsia"/>
          <w:color w:val="1F1F1F"/>
          <w:sz w:val="24"/>
          <w:szCs w:val="24"/>
        </w:rPr>
      </w:pPr>
      <w:r>
        <w:rPr>
          <w:rFonts w:ascii="Times New Roman" w:hAnsi="Times New Roman" w:hint="eastAsia"/>
          <w:b/>
          <w:bCs/>
          <w:color w:val="1F1F1F"/>
          <w:sz w:val="24"/>
        </w:rPr>
        <w:t xml:space="preserve">Supplementary </w:t>
      </w: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>ure</w:t>
      </w:r>
      <w:r>
        <w:rPr>
          <w:rFonts w:ascii="Times New Roman" w:hAnsi="Times New Roman"/>
          <w:b/>
          <w:sz w:val="24"/>
        </w:rPr>
        <w:t xml:space="preserve"> 1.</w:t>
      </w:r>
      <w:r>
        <w:rPr>
          <w:rFonts w:cs="Calibri" w:hint="eastAsia"/>
          <w:b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 xml:space="preserve">OLS regressions evaluating the responses of various soil properties to increasing </w:t>
      </w:r>
      <w:r>
        <w:rPr>
          <w:rFonts w:ascii="Times New Roman" w:hAnsi="Times New Roman" w:hint="eastAsia"/>
          <w:color w:val="1F1F1F"/>
          <w:sz w:val="24"/>
        </w:rPr>
        <w:t>wildfire severity</w:t>
      </w:r>
      <w:r>
        <w:rPr>
          <w:rFonts w:ascii="Times New Roman" w:eastAsia="Georgia" w:hAnsi="Times New Roman"/>
          <w:color w:val="1F1F1F"/>
          <w:sz w:val="24"/>
        </w:rPr>
        <w:t xml:space="preserve"> in different soil layers. Colored lines represent the regression fits for distinct soil layers. Solid and dashed lines indicate significant (</w:t>
      </w:r>
      <w:r>
        <w:rPr>
          <w:rFonts w:ascii="Times New Roman" w:eastAsia="Georgia" w:hAnsi="Times New Roman"/>
          <w:i/>
          <w:iCs/>
          <w:color w:val="1F1F1F"/>
          <w:sz w:val="24"/>
        </w:rPr>
        <w:t>P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>&lt; 0.05) and non-significant relationships, respectively, with shaded areas denoting the 95% confidence intervals.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>Significance levels: ***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i/>
          <w:iCs/>
          <w:color w:val="1F1F1F"/>
          <w:sz w:val="24"/>
        </w:rPr>
        <w:t>P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>&lt; 0.001, **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i/>
          <w:iCs/>
          <w:color w:val="1F1F1F"/>
          <w:sz w:val="24"/>
        </w:rPr>
        <w:t>P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>&lt; 0.01, and *</w:t>
      </w:r>
      <w:r>
        <w:rPr>
          <w:rFonts w:ascii="Times New Roman" w:eastAsia="Georgia" w:hAnsi="Times New Roman" w:hint="eastAsia"/>
          <w:i/>
          <w:iCs/>
          <w:color w:val="1F1F1F"/>
          <w:sz w:val="24"/>
        </w:rPr>
        <w:t xml:space="preserve"> </w:t>
      </w:r>
      <w:r>
        <w:rPr>
          <w:rFonts w:ascii="Times New Roman" w:eastAsia="Georgia" w:hAnsi="Times New Roman"/>
          <w:i/>
          <w:iCs/>
          <w:color w:val="1F1F1F"/>
          <w:sz w:val="24"/>
        </w:rPr>
        <w:t>P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>&lt; 0.05.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 xml:space="preserve">SOC, soil organic </w:t>
      </w:r>
      <w:r>
        <w:rPr>
          <w:rFonts w:ascii="Times New Roman" w:eastAsia="Georgia" w:hAnsi="Times New Roman" w:hint="eastAsia"/>
          <w:color w:val="1F1F1F"/>
          <w:sz w:val="24"/>
        </w:rPr>
        <w:t>C</w:t>
      </w:r>
      <w:r>
        <w:rPr>
          <w:rFonts w:ascii="Times New Roman" w:eastAsia="Georgia" w:hAnsi="Times New Roman"/>
          <w:color w:val="1F1F1F"/>
          <w:sz w:val="24"/>
        </w:rPr>
        <w:t xml:space="preserve">; DOC, dissolved organic </w:t>
      </w:r>
      <w:r>
        <w:rPr>
          <w:rFonts w:ascii="Times New Roman" w:eastAsia="Georgia" w:hAnsi="Times New Roman" w:hint="eastAsia"/>
          <w:color w:val="1F1F1F"/>
          <w:sz w:val="24"/>
        </w:rPr>
        <w:t>C</w:t>
      </w:r>
      <w:r>
        <w:rPr>
          <w:rFonts w:ascii="Times New Roman" w:eastAsia="Georgia" w:hAnsi="Times New Roman"/>
          <w:color w:val="1F1F1F"/>
          <w:sz w:val="24"/>
        </w:rPr>
        <w:t>;</w:t>
      </w:r>
      <w:r>
        <w:rPr>
          <w:rFonts w:ascii="Times New Roman" w:hAnsi="Times New Roman" w:hint="eastAsia"/>
          <w:color w:val="1F1F1F"/>
          <w:sz w:val="24"/>
        </w:rPr>
        <w:t xml:space="preserve"> SWC, </w:t>
      </w:r>
      <w:r>
        <w:rPr>
          <w:rFonts w:ascii="Times New Roman" w:eastAsia="Georgia" w:hAnsi="Times New Roman"/>
          <w:color w:val="1F1F1F"/>
          <w:sz w:val="24"/>
        </w:rPr>
        <w:t>soil water content</w:t>
      </w:r>
      <w:r>
        <w:rPr>
          <w:rFonts w:ascii="Times New Roman" w:hAnsi="Times New Roman" w:hint="eastAsia"/>
          <w:color w:val="1F1F1F"/>
          <w:sz w:val="24"/>
        </w:rPr>
        <w:t>;</w:t>
      </w:r>
      <w:r>
        <w:rPr>
          <w:rFonts w:ascii="Times New Roman" w:eastAsia="Georgia" w:hAnsi="Times New Roman"/>
          <w:color w:val="1F1F1F"/>
          <w:sz w:val="24"/>
        </w:rPr>
        <w:t xml:space="preserve"> TN, total </w:t>
      </w:r>
      <w:r>
        <w:rPr>
          <w:rFonts w:ascii="Times New Roman" w:eastAsia="Georgia" w:hAnsi="Times New Roman" w:hint="eastAsia"/>
          <w:color w:val="1F1F1F"/>
          <w:sz w:val="24"/>
        </w:rPr>
        <w:t>N</w:t>
      </w:r>
      <w:r>
        <w:rPr>
          <w:rFonts w:ascii="Times New Roman" w:eastAsia="Georgia" w:hAnsi="Times New Roman"/>
          <w:color w:val="1F1F1F"/>
          <w:sz w:val="24"/>
        </w:rPr>
        <w:t>;</w:t>
      </w:r>
      <w:r>
        <w:rPr>
          <w:rFonts w:ascii="Times New Roman" w:eastAsiaTheme="minorEastAsia" w:hAnsi="Times New Roman" w:hint="eastAsia"/>
          <w:color w:val="1F1F1F"/>
          <w:sz w:val="24"/>
        </w:rPr>
        <w:t xml:space="preserve"> DIN, Dissolved Inorganic Nitrogen; </w:t>
      </w:r>
      <w:r>
        <w:rPr>
          <w:rFonts w:ascii="Times New Roman" w:eastAsia="Georgia" w:hAnsi="Times New Roman"/>
          <w:color w:val="1F1F1F"/>
          <w:sz w:val="24"/>
        </w:rPr>
        <w:t>TP, total</w:t>
      </w:r>
      <w:r>
        <w:rPr>
          <w:rFonts w:ascii="Times New Roman" w:eastAsia="Georgia" w:hAnsi="Times New Roman" w:hint="eastAsia"/>
          <w:color w:val="1F1F1F"/>
          <w:sz w:val="24"/>
        </w:rPr>
        <w:t xml:space="preserve"> P</w:t>
      </w:r>
      <w:r>
        <w:rPr>
          <w:rFonts w:ascii="Times New Roman" w:eastAsia="Georgia" w:hAnsi="Times New Roman"/>
          <w:color w:val="1F1F1F"/>
          <w:sz w:val="24"/>
        </w:rPr>
        <w:t xml:space="preserve">; AP, available </w:t>
      </w:r>
      <w:r>
        <w:rPr>
          <w:rFonts w:ascii="Times New Roman" w:eastAsia="Georgia" w:hAnsi="Times New Roman" w:hint="eastAsia"/>
          <w:color w:val="1F1F1F"/>
          <w:sz w:val="24"/>
        </w:rPr>
        <w:t>P</w:t>
      </w:r>
      <w:r>
        <w:rPr>
          <w:rFonts w:ascii="Times New Roman" w:eastAsia="Georgia" w:hAnsi="Times New Roman"/>
          <w:color w:val="1F1F1F"/>
          <w:sz w:val="24"/>
        </w:rPr>
        <w:t>.</w:t>
      </w:r>
    </w:p>
    <w:p w14:paraId="116C8C00" w14:textId="73640308" w:rsidR="00E24323" w:rsidRDefault="00E24323">
      <w:pPr>
        <w:rPr>
          <w:rStyle w:val="a9"/>
          <w:rFonts w:ascii="Times New Roman" w:hAnsi="Times New Roman" w:hint="eastAsia"/>
          <w:b/>
          <w:bCs/>
          <w:color w:val="000000"/>
          <w:kern w:val="0"/>
          <w:sz w:val="30"/>
          <w:szCs w:val="30"/>
        </w:rPr>
      </w:pPr>
      <w:r w:rsidRPr="00E24323">
        <w:rPr>
          <w:rStyle w:val="a9"/>
          <w:rFonts w:ascii="Times New Roman" w:hAnsi="Times New Roman"/>
          <w:b/>
          <w:bCs/>
          <w:noProof/>
          <w:color w:val="000000"/>
          <w:kern w:val="0"/>
          <w:sz w:val="30"/>
          <w:szCs w:val="30"/>
        </w:rPr>
        <w:drawing>
          <wp:inline distT="0" distB="0" distL="0" distR="0" wp14:anchorId="1262A45C" wp14:editId="7010B04D">
            <wp:extent cx="5274310" cy="2571115"/>
            <wp:effectExtent l="0" t="0" r="0" b="0"/>
            <wp:docPr id="11625085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C55C" w14:textId="77777777" w:rsidR="002A3ED7" w:rsidRDefault="00000000">
      <w:pPr>
        <w:pStyle w:val="a3"/>
        <w:spacing w:line="480" w:lineRule="auto"/>
        <w:rPr>
          <w:rFonts w:ascii="Times New Roman" w:eastAsiaTheme="minorEastAsia" w:hAnsi="Times New Roman"/>
          <w:color w:val="1F1F1F"/>
          <w:sz w:val="24"/>
          <w:szCs w:val="24"/>
        </w:rPr>
      </w:pPr>
      <w:r>
        <w:rPr>
          <w:rFonts w:ascii="Times New Roman" w:hAnsi="Times New Roman" w:hint="eastAsia"/>
          <w:b/>
          <w:bCs/>
          <w:color w:val="1F1F1F"/>
          <w:sz w:val="24"/>
        </w:rPr>
        <w:t xml:space="preserve">Supplementary </w:t>
      </w: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 xml:space="preserve">ure 2. </w:t>
      </w:r>
      <w:r>
        <w:rPr>
          <w:rFonts w:ascii="Times New Roman" w:eastAsia="Georgia" w:hAnsi="Times New Roman"/>
          <w:color w:val="1F1F1F"/>
          <w:sz w:val="24"/>
        </w:rPr>
        <w:t>Heatmaps displaying variations in the normalized abundance values (row Z-scored) of functional genes associated with C (</w:t>
      </w:r>
      <w:r>
        <w:rPr>
          <w:rFonts w:ascii="Times New Roman" w:eastAsia="Georgia" w:hAnsi="Times New Roman" w:hint="eastAsia"/>
          <w:color w:val="1F1F1F"/>
          <w:sz w:val="24"/>
        </w:rPr>
        <w:t>a</w:t>
      </w:r>
      <w:r>
        <w:rPr>
          <w:rFonts w:ascii="Times New Roman" w:eastAsia="Georgia" w:hAnsi="Times New Roman"/>
          <w:color w:val="1F1F1F"/>
          <w:sz w:val="24"/>
        </w:rPr>
        <w:t>), N (</w:t>
      </w:r>
      <w:r>
        <w:rPr>
          <w:rFonts w:ascii="Times New Roman" w:eastAsia="Georgia" w:hAnsi="Times New Roman" w:hint="eastAsia"/>
          <w:color w:val="1F1F1F"/>
          <w:sz w:val="24"/>
        </w:rPr>
        <w:t>b</w:t>
      </w:r>
      <w:r>
        <w:rPr>
          <w:rFonts w:ascii="Times New Roman" w:eastAsia="Georgia" w:hAnsi="Times New Roman"/>
          <w:color w:val="1F1F1F"/>
          <w:sz w:val="24"/>
        </w:rPr>
        <w:t>) and P(</w:t>
      </w:r>
      <w:r>
        <w:rPr>
          <w:rFonts w:ascii="Times New Roman" w:eastAsia="Georgia" w:hAnsi="Times New Roman" w:hint="eastAsia"/>
          <w:color w:val="1F1F1F"/>
          <w:sz w:val="24"/>
        </w:rPr>
        <w:t>c</w:t>
      </w:r>
      <w:r>
        <w:rPr>
          <w:rFonts w:ascii="Times New Roman" w:eastAsia="Georgia" w:hAnsi="Times New Roman"/>
          <w:color w:val="1F1F1F"/>
          <w:sz w:val="24"/>
        </w:rPr>
        <w:t xml:space="preserve">) cycling in the KEGG database were generated from our metagenomic data across all </w:t>
      </w:r>
      <w:r>
        <w:rPr>
          <w:rFonts w:ascii="Times New Roman" w:eastAsia="Georgia" w:hAnsi="Times New Roman" w:hint="eastAsia"/>
          <w:color w:val="1F1F1F"/>
          <w:sz w:val="24"/>
        </w:rPr>
        <w:t>wildfire</w:t>
      </w:r>
      <w:r>
        <w:rPr>
          <w:rFonts w:ascii="Times New Roman" w:eastAsia="Georgia" w:hAnsi="Times New Roman"/>
          <w:color w:val="1F1F1F"/>
          <w:sz w:val="24"/>
        </w:rPr>
        <w:t xml:space="preserve"> severity levels.</w:t>
      </w:r>
      <w:r>
        <w:rPr>
          <w:rFonts w:ascii="Times New Roman" w:eastAsia="Georgia" w:hAnsi="Times New Roman"/>
          <w:color w:val="1F1F1F"/>
          <w:sz w:val="24"/>
          <w:szCs w:val="24"/>
        </w:rPr>
        <w:t xml:space="preserve"> CK: unburned control; LSF: low</w:t>
      </w:r>
      <w:r>
        <w:rPr>
          <w:rFonts w:ascii="Times New Roman" w:eastAsiaTheme="minorEastAsia" w:hAnsi="Times New Roman" w:hint="eastAsia"/>
          <w:color w:val="1F1F1F"/>
          <w:sz w:val="24"/>
          <w:szCs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  <w:szCs w:val="24"/>
        </w:rPr>
        <w:t>severity fire; MSF: moderate</w:t>
      </w:r>
      <w:r>
        <w:rPr>
          <w:rFonts w:ascii="Times New Roman" w:eastAsiaTheme="minorEastAsia" w:hAnsi="Times New Roman" w:hint="eastAsia"/>
          <w:color w:val="1F1F1F"/>
          <w:sz w:val="24"/>
          <w:szCs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  <w:szCs w:val="24"/>
        </w:rPr>
        <w:t>severity fire; HSF: high</w:t>
      </w:r>
      <w:r>
        <w:rPr>
          <w:rFonts w:ascii="Times New Roman" w:eastAsiaTheme="minorEastAsia" w:hAnsi="Times New Roman" w:hint="eastAsia"/>
          <w:color w:val="1F1F1F"/>
          <w:sz w:val="24"/>
          <w:szCs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  <w:szCs w:val="24"/>
        </w:rPr>
        <w:t>severity fire.</w:t>
      </w:r>
    </w:p>
    <w:p w14:paraId="44425288" w14:textId="77777777" w:rsidR="002A3ED7" w:rsidRDefault="00000000">
      <w:pPr>
        <w:rPr>
          <w:rFonts w:ascii="Times New Roman" w:eastAsia="Georgia" w:hAnsi="Times New Roman"/>
          <w:color w:val="1F1F1F"/>
          <w:sz w:val="24"/>
        </w:rPr>
      </w:pPr>
      <w:r>
        <w:rPr>
          <w:rFonts w:ascii="Times New Roman" w:eastAsia="Georgia" w:hAnsi="Times New Roman"/>
          <w:color w:val="1F1F1F"/>
          <w:sz w:val="24"/>
        </w:rPr>
        <w:br w:type="page"/>
      </w:r>
    </w:p>
    <w:p w14:paraId="3F650BD7" w14:textId="16ECC889" w:rsidR="002A3ED7" w:rsidRDefault="00E24323">
      <w:pPr>
        <w:spacing w:line="480" w:lineRule="auto"/>
        <w:jc w:val="center"/>
      </w:pPr>
      <w:r w:rsidRPr="00E24323">
        <w:rPr>
          <w:noProof/>
        </w:rPr>
        <w:drawing>
          <wp:inline distT="0" distB="0" distL="0" distR="0" wp14:anchorId="7CA16C95" wp14:editId="14D5FB26">
            <wp:extent cx="3993515" cy="3993515"/>
            <wp:effectExtent l="0" t="0" r="0" b="0"/>
            <wp:docPr id="6336464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082E" w14:textId="77777777" w:rsidR="002A3ED7" w:rsidRDefault="00000000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color w:val="1F1F1F"/>
          <w:sz w:val="24"/>
        </w:rPr>
        <w:t xml:space="preserve">Supplementary </w:t>
      </w:r>
      <w:r>
        <w:rPr>
          <w:rFonts w:ascii="Times New Roman" w:hAnsi="Times New Roman"/>
          <w:b/>
          <w:sz w:val="24"/>
        </w:rPr>
        <w:t>Fig</w:t>
      </w:r>
      <w:r>
        <w:rPr>
          <w:rFonts w:ascii="Times New Roman" w:hAnsi="Times New Roman" w:hint="eastAsia"/>
          <w:b/>
          <w:sz w:val="24"/>
        </w:rPr>
        <w:t xml:space="preserve">ure </w:t>
      </w:r>
      <w:r>
        <w:rPr>
          <w:rFonts w:ascii="Times New Roman" w:hAnsi="Times New Roman" w:hint="eastAsia"/>
          <w:b/>
          <w:bCs/>
          <w:sz w:val="24"/>
        </w:rPr>
        <w:t>3</w:t>
      </w:r>
      <w:r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sz w:val="24"/>
        </w:rPr>
        <w:t xml:space="preserve"> Zi</w:t>
      </w:r>
      <w:r>
        <w:rPr>
          <w:rFonts w:ascii="Times New Roman" w:hAnsi="Times New Roman" w:hint="eastAsia"/>
          <w:sz w:val="24"/>
        </w:rPr>
        <w:t>-</w:t>
      </w:r>
      <w:r>
        <w:rPr>
          <w:rFonts w:ascii="Times New Roman" w:hAnsi="Times New Roman"/>
          <w:sz w:val="24"/>
        </w:rPr>
        <w:t xml:space="preserve">Pi plot of functional genes based on module topological traits among different </w:t>
      </w:r>
      <w:r>
        <w:rPr>
          <w:rFonts w:ascii="Times New Roman" w:hAnsi="Times New Roman" w:hint="eastAsia"/>
          <w:sz w:val="24"/>
        </w:rPr>
        <w:t>wildfire severity</w:t>
      </w:r>
      <w:r>
        <w:rPr>
          <w:rFonts w:ascii="Times New Roman" w:hAnsi="Times New Roman"/>
          <w:sz w:val="24"/>
        </w:rPr>
        <w:t>.</w:t>
      </w:r>
    </w:p>
    <w:p w14:paraId="3E3A94B8" w14:textId="77777777" w:rsidR="002A3ED7" w:rsidRDefault="00000000">
      <w:pPr>
        <w:widowControl/>
        <w:spacing w:line="480" w:lineRule="auto"/>
        <w:jc w:val="left"/>
        <w:rPr>
          <w:rFonts w:ascii="Times New Roman" w:hAnsi="Times New Roman"/>
          <w:color w:val="1F1F1F"/>
          <w:sz w:val="24"/>
        </w:rPr>
      </w:pPr>
      <w:r>
        <w:rPr>
          <w:rFonts w:ascii="Times New Roman" w:hAnsi="Times New Roman"/>
          <w:color w:val="1F1F1F"/>
          <w:sz w:val="24"/>
        </w:rPr>
        <w:br w:type="page"/>
      </w:r>
    </w:p>
    <w:p w14:paraId="68681FAC" w14:textId="77777777" w:rsidR="002A3ED7" w:rsidRDefault="00000000">
      <w:pPr>
        <w:spacing w:line="480" w:lineRule="auto"/>
        <w:rPr>
          <w:rFonts w:ascii="Times New Roman" w:hAnsi="Times New Roman"/>
          <w:b/>
          <w:bCs/>
          <w:color w:val="1F1F1F"/>
          <w:sz w:val="24"/>
        </w:rPr>
      </w:pPr>
      <w:r>
        <w:rPr>
          <w:rFonts w:ascii="Times New Roman" w:hAnsi="Times New Roman" w:hint="eastAsia"/>
          <w:b/>
          <w:bCs/>
          <w:color w:val="1F1F1F"/>
          <w:sz w:val="24"/>
        </w:rPr>
        <w:t xml:space="preserve">Supplementary Text1: </w:t>
      </w:r>
      <w:r>
        <w:rPr>
          <w:rFonts w:ascii="Times New Roman" w:hAnsi="Times New Roman"/>
          <w:b/>
          <w:bCs/>
          <w:color w:val="1F1F1F"/>
          <w:sz w:val="24"/>
        </w:rPr>
        <w:t>Measurement of soil physicochemical properties</w:t>
      </w:r>
    </w:p>
    <w:p w14:paraId="7D93F899" w14:textId="77777777" w:rsidR="002A3ED7" w:rsidRDefault="00000000">
      <w:pPr>
        <w:spacing w:line="480" w:lineRule="auto"/>
        <w:rPr>
          <w:rFonts w:ascii="Times New Roman" w:eastAsia="Georgia" w:hAnsi="Times New Roman"/>
          <w:color w:val="1F1F1F"/>
          <w:sz w:val="24"/>
        </w:rPr>
      </w:pPr>
      <w:r>
        <w:rPr>
          <w:rFonts w:ascii="Times New Roman" w:eastAsia="Georgia" w:hAnsi="Times New Roman"/>
          <w:color w:val="1F1F1F"/>
          <w:sz w:val="24"/>
        </w:rPr>
        <w:t>Following 48 hours of drying at 105°C, the soil water content (SWC) was determined using the gravimetric method.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>To measure the soil pH, a pH monitor (Thermo Orion-868, Massachusetts, USA) was employed, with a ratio of fresh soil to pure water set at 1:5. The soil organic C (SOC) in the extracts was measured with an automatic total organic carbon analyzer (TOC-VWP, Shimadzu, Japan).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>Soil dissolved organic C (DOC) was determined by suspending soil in water (1:5 soil-to-water ratio) for 30 minutes, followed by filtration through a 0.45-μm membrane.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/>
          <w:color w:val="1F1F1F"/>
          <w:sz w:val="24"/>
        </w:rPr>
        <w:t xml:space="preserve">Soil </w:t>
      </w:r>
      <w:r>
        <w:rPr>
          <w:rFonts w:ascii="Times New Roman" w:hAnsi="Times New Roman" w:hint="eastAsia"/>
          <w:color w:val="1F1F1F"/>
          <w:sz w:val="24"/>
        </w:rPr>
        <w:t>total nitrogen (</w:t>
      </w:r>
      <w:r>
        <w:rPr>
          <w:rFonts w:ascii="Times New Roman" w:eastAsia="Georgia" w:hAnsi="Times New Roman"/>
          <w:color w:val="1F1F1F"/>
          <w:sz w:val="24"/>
        </w:rPr>
        <w:t>TN</w:t>
      </w:r>
      <w:r>
        <w:rPr>
          <w:rFonts w:ascii="Times New Roman" w:hAnsi="Times New Roman" w:hint="eastAsia"/>
          <w:color w:val="1F1F1F"/>
          <w:sz w:val="24"/>
        </w:rPr>
        <w:t>)</w:t>
      </w:r>
      <w:r>
        <w:rPr>
          <w:rFonts w:ascii="Times New Roman" w:eastAsia="Georgia" w:hAnsi="Times New Roman"/>
          <w:color w:val="1F1F1F"/>
          <w:sz w:val="24"/>
        </w:rPr>
        <w:t xml:space="preserve"> and </w:t>
      </w:r>
      <w:r>
        <w:rPr>
          <w:rFonts w:ascii="Times New Roman" w:hAnsi="Times New Roman" w:hint="eastAsia"/>
          <w:color w:val="1F1F1F"/>
          <w:sz w:val="24"/>
        </w:rPr>
        <w:t>total phosphorus (</w:t>
      </w:r>
      <w:r>
        <w:rPr>
          <w:rFonts w:ascii="Times New Roman" w:eastAsia="Georgia" w:hAnsi="Times New Roman"/>
          <w:color w:val="1F1F1F"/>
          <w:sz w:val="24"/>
        </w:rPr>
        <w:t>TP</w:t>
      </w:r>
      <w:r>
        <w:rPr>
          <w:rFonts w:ascii="Times New Roman" w:hAnsi="Times New Roman" w:hint="eastAsia"/>
          <w:color w:val="1F1F1F"/>
          <w:sz w:val="24"/>
        </w:rPr>
        <w:t>)</w:t>
      </w:r>
      <w:r>
        <w:rPr>
          <w:rFonts w:ascii="Times New Roman" w:eastAsia="Georgia" w:hAnsi="Times New Roman"/>
          <w:color w:val="1F1F1F"/>
          <w:sz w:val="24"/>
        </w:rPr>
        <w:t xml:space="preserve"> were determined using a continuous flow analytical system (SEAL Analytical AA3, Nordstedt, Germany) after adding H</w:t>
      </w:r>
      <w:r>
        <w:rPr>
          <w:rFonts w:ascii="Times New Roman" w:eastAsia="Georgia" w:hAnsi="Times New Roman"/>
          <w:color w:val="1F1F1F"/>
          <w:sz w:val="24"/>
          <w:vertAlign w:val="subscript"/>
        </w:rPr>
        <w:t>2</w:t>
      </w:r>
      <w:r>
        <w:rPr>
          <w:rFonts w:ascii="Times New Roman" w:eastAsia="Georgia" w:hAnsi="Times New Roman"/>
          <w:color w:val="1F1F1F"/>
          <w:sz w:val="24"/>
        </w:rPr>
        <w:t>SO</w:t>
      </w:r>
      <w:r>
        <w:rPr>
          <w:rFonts w:ascii="Times New Roman" w:eastAsia="Georgia" w:hAnsi="Times New Roman"/>
          <w:color w:val="1F1F1F"/>
          <w:sz w:val="24"/>
          <w:vertAlign w:val="subscript"/>
        </w:rPr>
        <w:t>4</w:t>
      </w:r>
      <w:r>
        <w:rPr>
          <w:rFonts w:ascii="Times New Roman" w:eastAsia="Georgia" w:hAnsi="Times New Roman"/>
          <w:color w:val="1F1F1F"/>
          <w:sz w:val="24"/>
        </w:rPr>
        <w:t xml:space="preserve"> and HClO</w:t>
      </w:r>
      <w:r>
        <w:rPr>
          <w:rFonts w:ascii="Times New Roman" w:eastAsia="Georgia" w:hAnsi="Times New Roman"/>
          <w:color w:val="1F1F1F"/>
          <w:sz w:val="24"/>
          <w:vertAlign w:val="subscript"/>
        </w:rPr>
        <w:t>4</w:t>
      </w:r>
      <w:r>
        <w:rPr>
          <w:rFonts w:ascii="Times New Roman" w:eastAsia="Georgia" w:hAnsi="Times New Roman"/>
          <w:color w:val="1F1F1F"/>
          <w:sz w:val="24"/>
        </w:rPr>
        <w:t>-H</w:t>
      </w:r>
      <w:r>
        <w:rPr>
          <w:rFonts w:ascii="Times New Roman" w:eastAsia="Georgia" w:hAnsi="Times New Roman"/>
          <w:color w:val="1F1F1F"/>
          <w:sz w:val="24"/>
          <w:vertAlign w:val="subscript"/>
        </w:rPr>
        <w:t>2</w:t>
      </w:r>
      <w:r>
        <w:rPr>
          <w:rFonts w:ascii="Times New Roman" w:eastAsia="Georgia" w:hAnsi="Times New Roman"/>
          <w:color w:val="1F1F1F"/>
          <w:sz w:val="24"/>
        </w:rPr>
        <w:t>SO</w:t>
      </w:r>
      <w:r>
        <w:rPr>
          <w:rFonts w:ascii="Times New Roman" w:eastAsia="Georgia" w:hAnsi="Times New Roman"/>
          <w:color w:val="1F1F1F"/>
          <w:sz w:val="24"/>
          <w:vertAlign w:val="subscript"/>
        </w:rPr>
        <w:t>4</w:t>
      </w:r>
      <w:r>
        <w:rPr>
          <w:rFonts w:ascii="Times New Roman" w:eastAsia="Georgia" w:hAnsi="Times New Roman"/>
          <w:color w:val="1F1F1F"/>
          <w:sz w:val="24"/>
        </w:rPr>
        <w:t xml:space="preserve"> digestion, respectively. </w:t>
      </w:r>
      <w:r>
        <w:rPr>
          <w:rFonts w:ascii="Times New Roman" w:eastAsia="Georgia" w:hAnsi="Times New Roman" w:hint="eastAsia"/>
          <w:color w:val="1F1F1F"/>
          <w:sz w:val="24"/>
        </w:rPr>
        <w:t>Soil available phosphorus</w:t>
      </w:r>
      <w:r>
        <w:rPr>
          <w:rFonts w:ascii="Times New Roman" w:hAnsi="Times New Roman" w:hint="eastAsia"/>
          <w:color w:val="1F1F1F"/>
          <w:sz w:val="24"/>
        </w:rPr>
        <w:t xml:space="preserve"> (AP)</w:t>
      </w:r>
      <w:r>
        <w:rPr>
          <w:rFonts w:ascii="Times New Roman" w:eastAsia="Georgia" w:hAnsi="Times New Roman" w:hint="eastAsia"/>
          <w:color w:val="1F1F1F"/>
          <w:sz w:val="24"/>
        </w:rPr>
        <w:t xml:space="preserve"> was extracted with sodium bicarbonate</w:t>
      </w:r>
      <w:r>
        <w:rPr>
          <w:rFonts w:ascii="Times New Roman" w:hAnsi="Times New Roman" w:hint="eastAsia"/>
          <w:color w:val="1F1F1F"/>
          <w:sz w:val="24"/>
        </w:rPr>
        <w:t xml:space="preserve"> </w:t>
      </w:r>
      <w:r>
        <w:rPr>
          <w:rFonts w:ascii="Times New Roman" w:eastAsia="Georgia" w:hAnsi="Times New Roman" w:hint="eastAsia"/>
          <w:color w:val="1F1F1F"/>
          <w:sz w:val="24"/>
        </w:rPr>
        <w:t>and analyzed using molybdenum-antimony colorimetry</w:t>
      </w:r>
      <w:r>
        <w:rPr>
          <w:rFonts w:ascii="Times New Roman" w:hAnsi="Times New Roman" w:hint="eastAsia"/>
          <w:color w:val="1F1F1F"/>
          <w:sz w:val="24"/>
        </w:rPr>
        <w:t xml:space="preserve">. </w:t>
      </w:r>
      <w:r>
        <w:rPr>
          <w:rFonts w:ascii="Times New Roman" w:eastAsia="Georgia" w:hAnsi="Times New Roman"/>
          <w:color w:val="1F1F1F"/>
          <w:sz w:val="24"/>
        </w:rPr>
        <w:t>Soil NH</w:t>
      </w:r>
      <w:r>
        <w:rPr>
          <w:rFonts w:ascii="Times New Roman" w:eastAsia="Georgia" w:hAnsi="Times New Roman"/>
          <w:color w:val="1F1F1F"/>
          <w:sz w:val="24"/>
          <w:vertAlign w:val="subscript"/>
        </w:rPr>
        <w:t>4</w:t>
      </w:r>
      <w:r>
        <w:rPr>
          <w:rFonts w:ascii="Times New Roman" w:eastAsia="Georgia" w:hAnsi="Times New Roman"/>
          <w:color w:val="1F1F1F"/>
          <w:sz w:val="24"/>
          <w:vertAlign w:val="superscript"/>
        </w:rPr>
        <w:t>+</w:t>
      </w:r>
      <w:r>
        <w:rPr>
          <w:rFonts w:ascii="Times New Roman" w:eastAsia="Georgia" w:hAnsi="Times New Roman"/>
          <w:color w:val="1F1F1F"/>
          <w:sz w:val="24"/>
        </w:rPr>
        <w:t xml:space="preserve"> and NO</w:t>
      </w:r>
      <w:r>
        <w:rPr>
          <w:rFonts w:ascii="Times New Roman" w:eastAsia="Georgia" w:hAnsi="Times New Roman"/>
          <w:color w:val="1F1F1F"/>
          <w:sz w:val="24"/>
          <w:vertAlign w:val="subscript"/>
        </w:rPr>
        <w:t>3</w:t>
      </w:r>
      <w:r>
        <w:rPr>
          <w:rFonts w:ascii="Times New Roman" w:eastAsia="Georgia" w:hAnsi="Times New Roman"/>
          <w:color w:val="1F1F1F"/>
          <w:sz w:val="24"/>
          <w:vertAlign w:val="superscript"/>
        </w:rPr>
        <w:t>−</w:t>
      </w:r>
      <w:r>
        <w:rPr>
          <w:rFonts w:ascii="Times New Roman" w:eastAsia="Georgia" w:hAnsi="Times New Roman"/>
          <w:color w:val="1F1F1F"/>
          <w:sz w:val="24"/>
        </w:rPr>
        <w:t xml:space="preserve"> nitrogen were extracted by vigorously shaking the sample with 50 mL of 1.0 mol </w:t>
      </w:r>
      <w:r>
        <w:rPr>
          <w:rFonts w:ascii="Times New Roman" w:eastAsiaTheme="minorEastAsia" w:hAnsi="Times New Roman" w:hint="eastAsia"/>
          <w:color w:val="1F1F1F"/>
          <w:sz w:val="24"/>
        </w:rPr>
        <w:t>L</w:t>
      </w:r>
      <w:r>
        <w:rPr>
          <w:rFonts w:ascii="Times New Roman" w:eastAsia="Georgia" w:hAnsi="Times New Roman"/>
          <w:color w:val="1F1F1F"/>
          <w:sz w:val="24"/>
          <w:vertAlign w:val="superscript"/>
        </w:rPr>
        <w:t>-1</w:t>
      </w:r>
      <w:r>
        <w:rPr>
          <w:rFonts w:ascii="Times New Roman" w:eastAsia="Georgia" w:hAnsi="Times New Roman"/>
          <w:color w:val="1F1F1F"/>
          <w:sz w:val="24"/>
        </w:rPr>
        <w:t xml:space="preserve"> KCl for 20 min and were measured using a continuous flow analytical system (SEAL Analytical AA3, Nordstedt, Germany).</w:t>
      </w:r>
      <w:r>
        <w:rPr>
          <w:rFonts w:ascii="Times New Roman" w:eastAsia="Georgia" w:hAnsi="Times New Roman" w:hint="eastAsia"/>
          <w:color w:val="1F1F1F"/>
          <w:sz w:val="24"/>
        </w:rPr>
        <w:t xml:space="preserve"> </w:t>
      </w:r>
    </w:p>
    <w:p w14:paraId="30B51419" w14:textId="77777777" w:rsidR="002A3ED7" w:rsidRDefault="002A3ED7"/>
    <w:sectPr w:rsidR="002A3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18083" w14:textId="77777777" w:rsidR="00347519" w:rsidRDefault="00347519" w:rsidP="00E24323">
      <w:r>
        <w:separator/>
      </w:r>
    </w:p>
  </w:endnote>
  <w:endnote w:type="continuationSeparator" w:id="0">
    <w:p w14:paraId="5C0B84DA" w14:textId="77777777" w:rsidR="00347519" w:rsidRDefault="00347519" w:rsidP="00E24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B66F3" w14:textId="77777777" w:rsidR="00347519" w:rsidRDefault="00347519" w:rsidP="00E24323">
      <w:r>
        <w:separator/>
      </w:r>
    </w:p>
  </w:footnote>
  <w:footnote w:type="continuationSeparator" w:id="0">
    <w:p w14:paraId="7F43470E" w14:textId="77777777" w:rsidR="00347519" w:rsidRDefault="00347519" w:rsidP="00E24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F71FFA"/>
    <w:multiLevelType w:val="multilevel"/>
    <w:tmpl w:val="3CF71FF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" w15:restartNumberingAfterBreak="0">
    <w:nsid w:val="52B64B96"/>
    <w:multiLevelType w:val="multilevel"/>
    <w:tmpl w:val="52B64B9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84499835">
    <w:abstractNumId w:val="1"/>
  </w:num>
  <w:num w:numId="2" w16cid:durableId="1082796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defaultTabStop w:val="4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CD2"/>
    <w:rsid w:val="0003650E"/>
    <w:rsid w:val="000839BB"/>
    <w:rsid w:val="0012511C"/>
    <w:rsid w:val="00152F30"/>
    <w:rsid w:val="0025199E"/>
    <w:rsid w:val="002A3ED7"/>
    <w:rsid w:val="002D7DAC"/>
    <w:rsid w:val="00346B73"/>
    <w:rsid w:val="00347519"/>
    <w:rsid w:val="00406D9C"/>
    <w:rsid w:val="00491BD2"/>
    <w:rsid w:val="006B0E9B"/>
    <w:rsid w:val="007F7EE6"/>
    <w:rsid w:val="00970FAE"/>
    <w:rsid w:val="00A0561D"/>
    <w:rsid w:val="00B16EFE"/>
    <w:rsid w:val="00B92CD2"/>
    <w:rsid w:val="00E24323"/>
    <w:rsid w:val="00FD48E5"/>
    <w:rsid w:val="00FE3C19"/>
    <w:rsid w:val="013751DD"/>
    <w:rsid w:val="021F5FF4"/>
    <w:rsid w:val="07CF5DE6"/>
    <w:rsid w:val="0BCB60B6"/>
    <w:rsid w:val="296D22E6"/>
    <w:rsid w:val="33567ADC"/>
    <w:rsid w:val="33D32AC4"/>
    <w:rsid w:val="3B287360"/>
    <w:rsid w:val="4A154B29"/>
    <w:rsid w:val="50FB0FC7"/>
    <w:rsid w:val="555A2278"/>
    <w:rsid w:val="588E209F"/>
    <w:rsid w:val="69752DCD"/>
    <w:rsid w:val="70C655B0"/>
    <w:rsid w:val="73A24942"/>
    <w:rsid w:val="7CEC75C5"/>
    <w:rsid w:val="7E05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DE9E7"/>
  <w15:docId w15:val="{C92E4B88-67C1-4939-A5EE-50167BC13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120" w:after="120"/>
      <w:outlineLvl w:val="0"/>
    </w:pPr>
    <w:rPr>
      <w:rFonts w:ascii="Times New Roman" w:hAnsi="Times New Roman"/>
      <w:b/>
      <w:bCs/>
      <w:kern w:val="44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numPr>
        <w:ilvl w:val="1"/>
        <w:numId w:val="2"/>
      </w:numPr>
      <w:spacing w:before="260" w:after="260" w:line="416" w:lineRule="auto"/>
      <w:ind w:left="576" w:hanging="576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rFonts w:ascii="Calibri Light" w:eastAsia="黑体" w:hAnsi="Calibri Light"/>
      <w:sz w:val="20"/>
      <w:szCs w:val="20"/>
    </w:rPr>
  </w:style>
  <w:style w:type="paragraph" w:styleId="a4">
    <w:name w:val="Subtitle"/>
    <w:basedOn w:val="a"/>
    <w:next w:val="a"/>
    <w:link w:val="a5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Title"/>
    <w:basedOn w:val="a"/>
    <w:next w:val="a"/>
    <w:link w:val="a8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annotation reference"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Times New Roman"/>
      <w:b/>
      <w:bCs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标题 字符"/>
    <w:basedOn w:val="a0"/>
    <w:link w:val="a4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 字符"/>
    <w:basedOn w:val="a0"/>
    <w:link w:val="aa"/>
    <w:uiPriority w:val="29"/>
    <w:qFormat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365F91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e">
    <w:name w:val="明显引用 字符"/>
    <w:basedOn w:val="a0"/>
    <w:link w:val="ad"/>
    <w:uiPriority w:val="30"/>
    <w:qFormat/>
    <w:rPr>
      <w:i/>
      <w:iCs/>
      <w:color w:val="365F9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E2432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E24323"/>
    <w:rPr>
      <w:rFonts w:ascii="Calibri" w:hAnsi="Calibri"/>
      <w:kern w:val="2"/>
      <w:sz w:val="18"/>
      <w:szCs w:val="18"/>
      <w14:ligatures w14:val="standardContextual"/>
    </w:rPr>
  </w:style>
  <w:style w:type="paragraph" w:styleId="af1">
    <w:name w:val="footer"/>
    <w:basedOn w:val="a"/>
    <w:link w:val="af2"/>
    <w:uiPriority w:val="99"/>
    <w:unhideWhenUsed/>
    <w:rsid w:val="00E243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E24323"/>
    <w:rPr>
      <w:rFonts w:ascii="Calibri" w:hAnsi="Calibr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1502</Words>
  <Characters>8567</Characters>
  <Application>Microsoft Office Word</Application>
  <DocSecurity>0</DocSecurity>
  <Lines>71</Lines>
  <Paragraphs>20</Paragraphs>
  <ScaleCrop>false</ScaleCrop>
  <Company/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玉晴 王</dc:creator>
  <cp:lastModifiedBy>玉晴 王</cp:lastModifiedBy>
  <cp:revision>4</cp:revision>
  <dcterms:created xsi:type="dcterms:W3CDTF">2026-05-24T11:37:00Z</dcterms:created>
  <dcterms:modified xsi:type="dcterms:W3CDTF">2026-06-11T11:42:00Z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eyJoZGlkIjoiOGI4NjI5OTBmMDM1ODFlMDkzNDFlZTFiMWNhZWU5ZTMiLCJ1c2VySWQiOiIxMDc0OTkyMjY5In0=</vt:lpwstr>
  </property>
  <property fmtid="{D5CDD505-2E9C-101B-9397-08002B2CF9AE}" pid="3" name="KSOProductBuildVer">
    <vt:lpwstr>2052-12.1.0.26895</vt:lpwstr>
  </property>
  <property fmtid="{D5CDD505-2E9C-101B-9397-08002B2CF9AE}" pid="4" name="ICV">
    <vt:lpwstr>61B47A794D874A0CBFFD89F3097A364F_12</vt:lpwstr>
  </property>
</Properties>
</file>