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Supplementary Material Index</w:t>
      </w:r>
    </w:p>
    <w:p>
      <w:r>
        <w:t>This index maps the supplementary tables, supplementary figures, and source-data files included in the submission package.</w:t>
      </w:r>
    </w:p>
    <w:p>
      <w:pPr>
        <w:pStyle w:val="Heading2"/>
      </w:pPr>
      <w:r>
        <w:t>Supplementary Tables</w:t>
      </w:r>
    </w:p>
    <w:p>
      <w:pPr>
        <w:pStyle w:val="Heading3"/>
      </w:pPr>
      <w:r>
        <w:t>Supplementary Table S1. Data-resource metadata and ancestry/sample reporting</w:t>
      </w:r>
    </w:p>
    <w:p>
      <w:r>
        <w:t>Public input resources, accessions, tissue or population context, genome-build handling, and sample-size notes.</w:t>
      </w:r>
    </w:p>
    <w:p>
      <w:r>
        <w:t>File: additional_files/Additional_file_1_Supplementary_tables.xlsx</w:t>
      </w:r>
    </w:p>
    <w:p>
      <w:pPr>
        <w:pStyle w:val="Heading3"/>
      </w:pPr>
      <w:r>
        <w:t>Supplementary Table S2. Method parameter and QC reporting summary</w:t>
      </w:r>
    </w:p>
    <w:p>
      <w:r>
        <w:t>MR, colocalization, APOE-region sensitivity, approximate conditional fine-mapping, and disease-state expression parameters needed for reviewer audit.</w:t>
      </w:r>
    </w:p>
    <w:p>
      <w:r>
        <w:t>File: additional_files/Additional_file_1_Supplementary_tables.xlsx</w:t>
      </w:r>
    </w:p>
    <w:p>
      <w:pPr>
        <w:pStyle w:val="Heading3"/>
      </w:pPr>
      <w:r>
        <w:t>Supplementary Table S3. External MetaBrain support layer</w:t>
      </w:r>
    </w:p>
    <w:p>
      <w:r>
        <w:t>Exact-gene and lead-rsid MetaBrain support summaries for the focused shortlist panel.</w:t>
      </w:r>
    </w:p>
    <w:p>
      <w:r>
        <w:t>File: additional_files/Additional_file_1_Supplementary_tables.xlsx</w:t>
      </w:r>
    </w:p>
    <w:p>
      <w:pPr>
        <w:pStyle w:val="Heading3"/>
      </w:pPr>
      <w:r>
        <w:t>Supplementary Table S4. Approximate APOE-conditional fine-mapping stress test</w:t>
      </w:r>
    </w:p>
    <w:p>
      <w:r>
        <w:t>Approximate APOE-conditional colocalization, top-variant, and QC outputs for the ZNF227 amyloid rows.</w:t>
      </w:r>
    </w:p>
    <w:p>
      <w:r>
        <w:t>File: additional_files/Additional_file_1_Supplementary_tables.xlsx</w:t>
      </w:r>
    </w:p>
    <w:p>
      <w:pPr>
        <w:pStyle w:val="Heading3"/>
      </w:pPr>
      <w:r>
        <w:t>Supplementary Table S5. Disease-state AD-control brain-expression support</w:t>
      </w:r>
    </w:p>
    <w:p>
      <w:r>
        <w:t>Public disease-state expression context for BIN1, CEACAM16-AS1, and ZNF227.</w:t>
      </w:r>
    </w:p>
    <w:p>
      <w:r>
        <w:t>File: additional_files/Additional_file_1_Supplementary_tables.xlsx</w:t>
      </w:r>
    </w:p>
    <w:p>
      <w:pPr>
        <w:pStyle w:val="Heading3"/>
      </w:pPr>
      <w:r>
        <w:t>Supplementary Table S6. Disease-state expression reporting and covariate boundary</w:t>
      </w:r>
    </w:p>
    <w:p>
      <w:r>
        <w:t>Dataset, platform, region-level sample counts, selected-probe rule, test type, FDR scope, and covariates not modeled.</w:t>
      </w:r>
    </w:p>
    <w:p>
      <w:r>
        <w:t>File: additional_files/Additional_file_1_Supplementary_tables.xlsx</w:t>
      </w:r>
    </w:p>
    <w:p>
      <w:pPr>
        <w:pStyle w:val="Heading3"/>
      </w:pPr>
      <w:r>
        <w:t>Supplementary Table S7. Outcome freezing and standardization summary</w:t>
      </w:r>
    </w:p>
    <w:p>
      <w:r>
        <w:t>Source trait, retained row counts, genome-build handling, and harmonized outcome identifiers.</w:t>
      </w:r>
    </w:p>
    <w:p>
      <w:r>
        <w:t>File: additional_files/Additional_file_1_Supplementary_tables.xlsx</w:t>
      </w:r>
    </w:p>
    <w:p>
      <w:pPr>
        <w:pStyle w:val="Heading3"/>
      </w:pPr>
      <w:r>
        <w:t>Supplementary Table S8. First-pass MR overview across all analyses</w:t>
      </w:r>
    </w:p>
    <w:p>
      <w:r>
        <w:t>Per-analysis tested-gene counts, lead genes, and FDR-significant gene counts across outcomes and tissues.</w:t>
      </w:r>
    </w:p>
    <w:p>
      <w:r>
        <w:t>File: additional_files/Additional_file_1_Supplementary_tables.xlsx</w:t>
      </w:r>
    </w:p>
    <w:p>
      <w:pPr>
        <w:pStyle w:val="Heading3"/>
      </w:pPr>
      <w:r>
        <w:t>Supplementary Table S9. Top-versus-pairs tissue gain summary</w:t>
      </w:r>
    </w:p>
    <w:p>
      <w:r>
        <w:t>Per-tissue gain when moving from top-eQTL to significant-pairs analyses.</w:t>
      </w:r>
    </w:p>
    <w:p>
      <w:r>
        <w:t>File: additional_files/Additional_file_1_Supplementary_tables.xlsx</w:t>
      </w:r>
    </w:p>
    <w:p>
      <w:pPr>
        <w:pStyle w:val="Heading3"/>
      </w:pPr>
      <w:r>
        <w:t>Supplementary Table S10. Cross-outcome focus table</w:t>
      </w:r>
    </w:p>
    <w:p>
      <w:r>
        <w:t>Focused shortlist context for BIN1, CEACAM16-AS1, and ZNF227 across disease-risk and amyloid evidence layers.</w:t>
      </w:r>
    </w:p>
    <w:p>
      <w:r>
        <w:t>File: additional_files/Additional_file_1_Supplementary_tables.xlsx</w:t>
      </w:r>
    </w:p>
    <w:p>
      <w:pPr>
        <w:pStyle w:val="Heading3"/>
      </w:pPr>
      <w:r>
        <w:t>Supplementary Table S11. Focused colocalization full summary</w:t>
      </w:r>
    </w:p>
    <w:p>
      <w:r>
        <w:t>Focused-colocalization posterior values, shared-variant counts, and top-variant details for the locked panel.</w:t>
      </w:r>
    </w:p>
    <w:p>
      <w:r>
        <w:t>File: additional_files/Additional_file_1_Supplementary_tables.xlsx</w:t>
      </w:r>
    </w:p>
    <w:p>
      <w:pPr>
        <w:pStyle w:val="Heading3"/>
      </w:pPr>
      <w:r>
        <w:t>Supplementary Table S12. APOE-region colocalization sensitivity</w:t>
      </w:r>
    </w:p>
    <w:p>
      <w:r>
        <w:t>ZNF227 amyloid posterior probabilities and top H4-weighted variants under APOE-region exclusion scenarios.</w:t>
      </w:r>
    </w:p>
    <w:p>
      <w:r>
        <w:t>File: additional_files/Additional_file_1_Supplementary_tables.xlsx</w:t>
      </w:r>
    </w:p>
    <w:p>
      <w:pPr>
        <w:pStyle w:val="Heading3"/>
      </w:pPr>
      <w:r>
        <w:t>Supplementary Table S13. Manuscript-facing shortlist</w:t>
      </w:r>
    </w:p>
    <w:p>
      <w:r>
        <w:t>Final three-gene evidence matrix and shortlist rationale used for the manuscript interpretation.</w:t>
      </w:r>
    </w:p>
    <w:p>
      <w:r>
        <w:t>File: additional_files/Additional_file_1_Supplementary_tables.xlsx</w:t>
      </w:r>
    </w:p>
    <w:p>
      <w:pPr>
        <w:pStyle w:val="Heading2"/>
      </w:pPr>
      <w:r>
        <w:t>Supplementary Figures</w:t>
      </w:r>
    </w:p>
    <w:p>
      <w:pPr>
        <w:pStyle w:val="Heading3"/>
      </w:pPr>
      <w:r>
        <w:t>Supplementary Figure S1. Outcome backbone and analysis coverage</w:t>
      </w:r>
    </w:p>
    <w:p>
      <w:r>
        <w:t>Primary file: additional_files/Additional_file_2_Supplementary_figures.pdf (page 1).</w:t>
      </w:r>
    </w:p>
    <w:p>
      <w:pPr>
        <w:pStyle w:val="Heading3"/>
      </w:pPr>
      <w:r>
        <w:t>Supplementary Figure S2. Significant-pairs sensitivity gains across whole blood and brain tissues</w:t>
      </w:r>
    </w:p>
    <w:p>
      <w:r>
        <w:t>Primary file: additional_files/Additional_file_2_Supplementary_figures.pdf (page 2).</w:t>
      </w:r>
    </w:p>
    <w:p>
      <w:pPr>
        <w:pStyle w:val="Heading3"/>
      </w:pPr>
      <w:r>
        <w:t>Supplementary Figure S3. Focused colocalization full technical support</w:t>
      </w:r>
    </w:p>
    <w:p>
      <w:r>
        <w:t>Primary file: additional_files/Additional_file_2_Supplementary_figures.pdf (page 3).</w:t>
      </w:r>
    </w:p>
    <w:p>
      <w:pPr>
        <w:pStyle w:val="Heading3"/>
      </w:pPr>
      <w:r>
        <w:t>Supplementary Figure S4. MetaBrain support detail for the external brain-eQTL layer</w:t>
      </w:r>
    </w:p>
    <w:p>
      <w:r>
        <w:t>Primary file: additional_files/Additional_file_2_Supplementary_figures.pdf (page 4).</w:t>
      </w:r>
    </w:p>
    <w:p>
      <w:pPr>
        <w:pStyle w:val="Heading2"/>
      </w:pPr>
      <w:r>
        <w:t>Source Data</w:t>
      </w:r>
    </w:p>
    <w:p>
      <w:r>
        <w:t>Main figure source data: within additional_files/Additional_file_3_Figure_source_data.zip, main_source_data/ and source_data/source_data_manifest.tsv.</w:t>
      </w:r>
    </w:p>
    <w:p>
      <w:r>
        <w:t>Supplementary figure source data: within additional_files/Additional_file_3_Figure_source_data.zip, supplement_source_data/ and supplement_figures/supplement_source_data_manifest.tsv.</w:t>
      </w:r>
    </w:p>
    <w:p>
      <w:r>
        <w:t>Figure source-data archive: additional_files/Additional_file_3_Figure_source_data.zip. TSVs are canonical; see package_inventory.tsv.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Supplementary Material Index</dc:title>
  <dc:subject/>
  <dc:creator/>
  <cp:keywords/>
  <dc:description/>
  <cp:lastModifiedBy/>
  <cp:revision>1</cp:revision>
  <dcterms:created xsi:type="dcterms:W3CDTF">2026-06-05T00:00:00Z</dcterms:created>
  <dcterms:modified xsi:type="dcterms:W3CDTF">2026-06-05T00:00:00Z</dcterms:modified>
  <cp:category/>
  <cp:contentStatus/>
  <dc:identifier/>
</cp:coreProperties>
</file>