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4462" w14:textId="5DCCC8DC" w:rsidR="008870A3" w:rsidRPr="008870A3" w:rsidRDefault="008870A3" w:rsidP="009E201B">
      <w:pPr>
        <w:pStyle w:val="Heading1"/>
        <w:spacing w:before="120"/>
        <w:jc w:val="left"/>
        <w:rPr>
          <w:rFonts w:ascii="Times New Roman" w:eastAsia="맑은 고딕" w:hAnsi="Times New Roman" w:cs="Times New Roman" w:hint="eastAsia"/>
          <w:b/>
          <w:bCs/>
          <w:snapToGrid/>
          <w:color w:val="000000" w:themeColor="text1"/>
          <w:spacing w:val="0"/>
          <w:kern w:val="0"/>
          <w:sz w:val="24"/>
          <w:szCs w:val="24"/>
          <w:lang w:eastAsia="en-US"/>
          <w14:ligatures w14:val="none"/>
        </w:rPr>
      </w:pPr>
      <w:r w:rsidRPr="008870A3">
        <w:rPr>
          <w:rFonts w:ascii="Times New Roman" w:eastAsia="맑은 고딕" w:hAnsi="Times New Roman" w:cs="Times New Roman" w:hint="eastAsia"/>
          <w:b/>
          <w:bCs/>
          <w:snapToGrid/>
          <w:color w:val="000000" w:themeColor="text1"/>
          <w:spacing w:val="0"/>
          <w:kern w:val="0"/>
          <w:sz w:val="24"/>
          <w:szCs w:val="24"/>
          <w:lang w:eastAsia="en-US"/>
          <w14:ligatures w14:val="none"/>
        </w:rPr>
        <w:t>Supplementary files</w:t>
      </w:r>
    </w:p>
    <w:p w14:paraId="46922A0A" w14:textId="77777777" w:rsidR="008870A3" w:rsidRPr="00082181" w:rsidRDefault="008870A3" w:rsidP="008870A3">
      <w:pPr>
        <w:jc w:val="both"/>
        <w:rPr>
          <w:rFonts w:cs="Times New Roman"/>
          <w:color w:val="000000" w:themeColor="text1"/>
        </w:rPr>
      </w:pPr>
      <w:r w:rsidRPr="008870A3">
        <w:rPr>
          <w:rFonts w:cs="Times New Roman"/>
          <w:b/>
          <w:bCs/>
          <w:color w:val="000000" w:themeColor="text1"/>
        </w:rPr>
        <w:t>Supplementary Table 1.</w:t>
      </w:r>
      <w:r w:rsidRPr="00082181">
        <w:rPr>
          <w:rFonts w:cs="Times New Roman"/>
          <w:color w:val="000000" w:themeColor="text1"/>
        </w:rPr>
        <w:t xml:space="preserve"> Variance inflation factors for the preferred model (M2)</w:t>
      </w:r>
    </w:p>
    <w:tbl>
      <w:tblPr>
        <w:tblStyle w:val="TableGrid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5"/>
      </w:tblGrid>
      <w:tr w:rsidR="008870A3" w:rsidRPr="00082181" w14:paraId="2D9D0C6F" w14:textId="77777777" w:rsidTr="004C0C89">
        <w:trPr>
          <w:jc w:val="center"/>
        </w:trPr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0638ECE" w14:textId="77777777" w:rsidR="008870A3" w:rsidRPr="00082181" w:rsidRDefault="008870A3" w:rsidP="004C0C8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Variable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66A787C" w14:textId="77777777" w:rsidR="008870A3" w:rsidRPr="00082181" w:rsidRDefault="008870A3" w:rsidP="004C0C8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VIF</w:t>
            </w:r>
          </w:p>
        </w:tc>
      </w:tr>
      <w:tr w:rsidR="008870A3" w:rsidRPr="00082181" w14:paraId="2CC7E51D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auto"/>
              <w:left w:val="nil"/>
              <w:bottom w:val="nil"/>
            </w:tcBorders>
          </w:tcPr>
          <w:p w14:paraId="7CF2BA90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Specialist density (per 100 beds)</w:t>
            </w:r>
          </w:p>
        </w:tc>
        <w:tc>
          <w:tcPr>
            <w:tcW w:w="4703" w:type="dxa"/>
            <w:tcBorders>
              <w:top w:val="single" w:sz="4" w:space="0" w:color="auto"/>
              <w:bottom w:val="nil"/>
              <w:right w:val="nil"/>
            </w:tcBorders>
          </w:tcPr>
          <w:p w14:paraId="06EC2804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70A3" w:rsidRPr="00082181" w14:paraId="44FC000C" w14:textId="77777777" w:rsidTr="00ED37B7">
        <w:trPr>
          <w:jc w:val="center"/>
        </w:trPr>
        <w:tc>
          <w:tcPr>
            <w:tcW w:w="4703" w:type="dxa"/>
            <w:tcBorders>
              <w:top w:val="nil"/>
              <w:left w:val="nil"/>
              <w:bottom w:val="single" w:sz="4" w:space="0" w:color="E8E8E8" w:themeColor="background2"/>
            </w:tcBorders>
          </w:tcPr>
          <w:p w14:paraId="0BAD6434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Thoracic surgery</w:t>
            </w:r>
          </w:p>
        </w:tc>
        <w:tc>
          <w:tcPr>
            <w:tcW w:w="4703" w:type="dxa"/>
            <w:tcBorders>
              <w:top w:val="nil"/>
              <w:bottom w:val="single" w:sz="4" w:space="0" w:color="E8E8E8" w:themeColor="background2"/>
              <w:right w:val="nil"/>
            </w:tcBorders>
          </w:tcPr>
          <w:p w14:paraId="15E9CA21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2.12</w:t>
            </w:r>
          </w:p>
        </w:tc>
      </w:tr>
      <w:tr w:rsidR="008870A3" w:rsidRPr="00082181" w14:paraId="098054DB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129A9EB5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General surgery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50C75122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2.45</w:t>
            </w:r>
          </w:p>
        </w:tc>
      </w:tr>
      <w:tr w:rsidR="008870A3" w:rsidRPr="00082181" w14:paraId="4A4D2393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1B43FE52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Orthopedics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1A806270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1.97</w:t>
            </w:r>
          </w:p>
        </w:tc>
      </w:tr>
      <w:tr w:rsidR="008870A3" w:rsidRPr="00082181" w14:paraId="0DF98EB8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0C5AA3C9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Otorhinolaryngology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0C4A0048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4.14</w:t>
            </w:r>
          </w:p>
        </w:tc>
      </w:tr>
      <w:tr w:rsidR="008870A3" w:rsidRPr="00082181" w14:paraId="1AB0ADFF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39E4E40A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Obstetrics &amp; gynecology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1D0D1A25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3.03</w:t>
            </w:r>
          </w:p>
        </w:tc>
      </w:tr>
      <w:tr w:rsidR="008870A3" w:rsidRPr="00082181" w14:paraId="3AE91048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070FDE17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Urology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06C7D2A7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3.25</w:t>
            </w:r>
          </w:p>
        </w:tc>
      </w:tr>
      <w:tr w:rsidR="008870A3" w:rsidRPr="00082181" w14:paraId="44C0F92C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1A227C2A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Neurosurgery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38022136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1.48</w:t>
            </w:r>
          </w:p>
        </w:tc>
      </w:tr>
      <w:tr w:rsidR="008870A3" w:rsidRPr="00082181" w14:paraId="464D18E1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3A23DDAF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Plastic surgery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0CFC4E1B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2.13</w:t>
            </w:r>
          </w:p>
        </w:tc>
      </w:tr>
      <w:tr w:rsidR="008870A3" w:rsidRPr="00082181" w14:paraId="03C9B7C3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16C05CFD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Internal medicine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6CBC02F1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9.51</w:t>
            </w:r>
          </w:p>
        </w:tc>
      </w:tr>
      <w:tr w:rsidR="008870A3" w:rsidRPr="00082181" w14:paraId="797673EF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6C9B7001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Emergency medicine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2224D119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1.60</w:t>
            </w:r>
          </w:p>
        </w:tc>
      </w:tr>
      <w:tr w:rsidR="008870A3" w:rsidRPr="00082181" w14:paraId="281CC84A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504A9F72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Radiology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59D3A98F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6.01</w:t>
            </w:r>
          </w:p>
        </w:tc>
      </w:tr>
      <w:tr w:rsidR="008870A3" w:rsidRPr="00082181" w14:paraId="229F65F6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733C8397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Pediatrics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73912759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3.53</w:t>
            </w:r>
          </w:p>
        </w:tc>
      </w:tr>
      <w:tr w:rsidR="008870A3" w:rsidRPr="00082181" w14:paraId="00FBEA8D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5817661B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Neurology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14B50E8D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3.19</w:t>
            </w:r>
          </w:p>
        </w:tc>
      </w:tr>
      <w:tr w:rsidR="008870A3" w:rsidRPr="00082181" w14:paraId="79651427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5B61E6F5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Psychiatry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55E626A3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1.77</w:t>
            </w:r>
          </w:p>
        </w:tc>
      </w:tr>
      <w:tr w:rsidR="008870A3" w:rsidRPr="00082181" w14:paraId="0895922F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35C30D50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Family medicine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16E27455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1.45</w:t>
            </w:r>
          </w:p>
        </w:tc>
      </w:tr>
      <w:tr w:rsidR="008870A3" w:rsidRPr="00082181" w14:paraId="085C2380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6D15DC7A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Dermatology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7AB8387E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3.26</w:t>
            </w:r>
          </w:p>
        </w:tc>
      </w:tr>
      <w:tr w:rsidR="008870A3" w:rsidRPr="00082181" w14:paraId="1F2C1A8C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51CAA45D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Rehabilitation medicine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66106CD5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1.63</w:t>
            </w:r>
          </w:p>
        </w:tc>
      </w:tr>
      <w:tr w:rsidR="008870A3" w:rsidRPr="00082181" w14:paraId="4EE6E64E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7A03274D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Ophthalmology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6607A8E2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2.66</w:t>
            </w:r>
          </w:p>
        </w:tc>
      </w:tr>
      <w:tr w:rsidR="008870A3" w:rsidRPr="00082181" w14:paraId="3EE6AB20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0B1E1003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Hospital-level covariates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1B58F61E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70A3" w:rsidRPr="00082181" w14:paraId="4A04E5DD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323FB661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Inpatient revenue share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51447337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1.35</w:t>
            </w:r>
          </w:p>
        </w:tc>
      </w:tr>
      <w:tr w:rsidR="008870A3" w:rsidRPr="00082181" w14:paraId="4B7518C3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38F323CE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Nursing grade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62B16B7A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1.98</w:t>
            </w:r>
          </w:p>
        </w:tc>
      </w:tr>
      <w:tr w:rsidR="008870A3" w:rsidRPr="00082181" w14:paraId="280FF946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6643CAD4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Imaging equipment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51C906A0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3.02</w:t>
            </w:r>
          </w:p>
        </w:tc>
      </w:tr>
      <w:tr w:rsidR="008870A3" w:rsidRPr="00082181" w14:paraId="5406E5E7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07DAC168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General hospital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6E3A777D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2.01</w:t>
            </w:r>
          </w:p>
        </w:tc>
      </w:tr>
      <w:tr w:rsidR="008870A3" w:rsidRPr="00082181" w14:paraId="2AE7D774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</w:tcBorders>
          </w:tcPr>
          <w:p w14:paraId="27AEB38C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Metropolitan area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E8E8E8" w:themeColor="background2"/>
              <w:right w:val="nil"/>
            </w:tcBorders>
          </w:tcPr>
          <w:p w14:paraId="742AD986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1.34</w:t>
            </w:r>
          </w:p>
        </w:tc>
      </w:tr>
      <w:tr w:rsidR="008870A3" w:rsidRPr="00082181" w14:paraId="7BA4B505" w14:textId="77777777" w:rsidTr="00ED37B7">
        <w:trPr>
          <w:jc w:val="center"/>
        </w:trPr>
        <w:tc>
          <w:tcPr>
            <w:tcW w:w="4703" w:type="dxa"/>
            <w:tcBorders>
              <w:top w:val="single" w:sz="4" w:space="0" w:color="E8E8E8" w:themeColor="background2"/>
              <w:left w:val="nil"/>
              <w:bottom w:val="single" w:sz="4" w:space="0" w:color="auto"/>
            </w:tcBorders>
          </w:tcPr>
          <w:p w14:paraId="1B4134AA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Private hospital</w:t>
            </w:r>
          </w:p>
        </w:tc>
        <w:tc>
          <w:tcPr>
            <w:tcW w:w="4703" w:type="dxa"/>
            <w:tcBorders>
              <w:top w:val="single" w:sz="4" w:space="0" w:color="E8E8E8" w:themeColor="background2"/>
              <w:bottom w:val="single" w:sz="4" w:space="0" w:color="auto"/>
              <w:right w:val="nil"/>
            </w:tcBorders>
          </w:tcPr>
          <w:p w14:paraId="2F8E2817" w14:textId="77777777" w:rsidR="008870A3" w:rsidRPr="00082181" w:rsidRDefault="008870A3" w:rsidP="008870A3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1.31</w:t>
            </w:r>
          </w:p>
        </w:tc>
      </w:tr>
    </w:tbl>
    <w:p w14:paraId="78C189A2" w14:textId="77777777" w:rsidR="008870A3" w:rsidRPr="00082181" w:rsidRDefault="008870A3" w:rsidP="008870A3">
      <w:pPr>
        <w:jc w:val="both"/>
        <w:rPr>
          <w:rFonts w:cs="Times New Roman"/>
          <w:i/>
          <w:iCs/>
          <w:color w:val="000000" w:themeColor="text1"/>
        </w:rPr>
      </w:pPr>
      <w:r w:rsidRPr="00082181">
        <w:rPr>
          <w:rFonts w:cs="Times New Roman"/>
          <w:i/>
          <w:iCs/>
          <w:color w:val="000000" w:themeColor="text1"/>
        </w:rPr>
        <w:t>Variance inflation factors from the preferred model (M2); year fixed effects and the intercept are omitted. All values are below 10, indicating no severe multicollinearity.</w:t>
      </w:r>
      <w:r w:rsidRPr="00082181">
        <w:rPr>
          <w:rFonts w:cs="Times New Roman"/>
          <w:i/>
          <w:iCs/>
          <w:color w:val="000000" w:themeColor="text1"/>
        </w:rPr>
        <w:br w:type="page"/>
      </w:r>
    </w:p>
    <w:p w14:paraId="33C9FFC4" w14:textId="77777777" w:rsidR="008870A3" w:rsidRPr="00082181" w:rsidRDefault="008870A3" w:rsidP="008870A3">
      <w:pPr>
        <w:jc w:val="both"/>
        <w:rPr>
          <w:rFonts w:cs="Times New Roman"/>
          <w:color w:val="000000" w:themeColor="text1"/>
        </w:rPr>
      </w:pPr>
      <w:r w:rsidRPr="008870A3">
        <w:rPr>
          <w:rFonts w:cs="Times New Roman"/>
          <w:b/>
          <w:bCs/>
          <w:color w:val="000000" w:themeColor="text1"/>
        </w:rPr>
        <w:lastRenderedPageBreak/>
        <w:t>Supplementary Table 2.</w:t>
      </w:r>
      <w:r w:rsidRPr="00082181">
        <w:rPr>
          <w:rFonts w:cs="Times New Roman"/>
          <w:color w:val="000000" w:themeColor="text1"/>
        </w:rPr>
        <w:t xml:space="preserve"> Joint Wald tests of heterogeneity across the 18 specialty coefficients</w:t>
      </w:r>
    </w:p>
    <w:tbl>
      <w:tblPr>
        <w:tblStyle w:val="TableGrid"/>
        <w:tblW w:w="97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606"/>
        <w:gridCol w:w="1871"/>
        <w:gridCol w:w="1869"/>
        <w:gridCol w:w="1873"/>
      </w:tblGrid>
      <w:tr w:rsidR="008870A3" w:rsidRPr="00082181" w14:paraId="3EBABF30" w14:textId="77777777" w:rsidTr="008870A3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765DC0A" w14:textId="77777777" w:rsidR="008870A3" w:rsidRPr="00082181" w:rsidRDefault="008870A3" w:rsidP="008870A3">
            <w:pPr>
              <w:spacing w:before="20" w:after="2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Outcome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49B763AB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Model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1B777083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50241FD0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df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14E560AE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P value</w:t>
            </w:r>
          </w:p>
        </w:tc>
      </w:tr>
      <w:tr w:rsidR="008870A3" w:rsidRPr="00082181" w14:paraId="046DC1F2" w14:textId="77777777" w:rsidTr="008870A3">
        <w:trPr>
          <w:jc w:val="center"/>
        </w:trPr>
        <w:tc>
          <w:tcPr>
            <w:tcW w:w="2520" w:type="dxa"/>
            <w:tcBorders>
              <w:top w:val="single" w:sz="4" w:space="0" w:color="auto"/>
            </w:tcBorders>
          </w:tcPr>
          <w:p w14:paraId="1D457552" w14:textId="77777777" w:rsidR="008870A3" w:rsidRPr="00082181" w:rsidRDefault="008870A3" w:rsidP="008870A3">
            <w:pPr>
              <w:spacing w:before="20" w:after="2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  <w:lang w:eastAsia="ko-KR"/>
              </w:rPr>
              <w:t>Supply expense ratio(%)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0CB29F50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M1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3B966F58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10.99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153A4E0D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78D0FC58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8870A3" w:rsidRPr="00082181" w14:paraId="59F8F0DE" w14:textId="77777777" w:rsidTr="008870A3">
        <w:trPr>
          <w:jc w:val="center"/>
        </w:trPr>
        <w:tc>
          <w:tcPr>
            <w:tcW w:w="2520" w:type="dxa"/>
          </w:tcPr>
          <w:p w14:paraId="01B60BB4" w14:textId="77777777" w:rsidR="008870A3" w:rsidRPr="00082181" w:rsidRDefault="008870A3" w:rsidP="008870A3">
            <w:pPr>
              <w:spacing w:before="20" w:after="2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  <w:lang w:eastAsia="ko-KR"/>
              </w:rPr>
              <w:t>Supply expense ratio(%)</w:t>
            </w:r>
          </w:p>
        </w:tc>
        <w:tc>
          <w:tcPr>
            <w:tcW w:w="1606" w:type="dxa"/>
          </w:tcPr>
          <w:p w14:paraId="3FEBA101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M2</w:t>
            </w:r>
          </w:p>
        </w:tc>
        <w:tc>
          <w:tcPr>
            <w:tcW w:w="1871" w:type="dxa"/>
          </w:tcPr>
          <w:p w14:paraId="4D8C6813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3.72</w:t>
            </w:r>
          </w:p>
        </w:tc>
        <w:tc>
          <w:tcPr>
            <w:tcW w:w="1869" w:type="dxa"/>
          </w:tcPr>
          <w:p w14:paraId="1E81810A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73" w:type="dxa"/>
          </w:tcPr>
          <w:p w14:paraId="694011D4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8870A3" w:rsidRPr="00082181" w14:paraId="0992ACF0" w14:textId="77777777" w:rsidTr="008870A3">
        <w:trPr>
          <w:jc w:val="center"/>
        </w:trPr>
        <w:tc>
          <w:tcPr>
            <w:tcW w:w="2520" w:type="dxa"/>
          </w:tcPr>
          <w:p w14:paraId="3E3D6258" w14:textId="77777777" w:rsidR="008870A3" w:rsidRPr="00082181" w:rsidRDefault="008870A3" w:rsidP="008870A3">
            <w:pPr>
              <w:spacing w:before="20" w:after="2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  <w:lang w:eastAsia="ko-KR"/>
              </w:rPr>
              <w:t>Supply expense ratio(%)</w:t>
            </w:r>
          </w:p>
        </w:tc>
        <w:tc>
          <w:tcPr>
            <w:tcW w:w="1606" w:type="dxa"/>
          </w:tcPr>
          <w:p w14:paraId="53F2A0CF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M3</w:t>
            </w:r>
          </w:p>
        </w:tc>
        <w:tc>
          <w:tcPr>
            <w:tcW w:w="1871" w:type="dxa"/>
          </w:tcPr>
          <w:p w14:paraId="1E10130C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1869" w:type="dxa"/>
          </w:tcPr>
          <w:p w14:paraId="69B771C6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73" w:type="dxa"/>
          </w:tcPr>
          <w:p w14:paraId="3D949E88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8870A3" w:rsidRPr="00082181" w14:paraId="388AEF5D" w14:textId="77777777" w:rsidTr="008870A3">
        <w:trPr>
          <w:jc w:val="center"/>
        </w:trPr>
        <w:tc>
          <w:tcPr>
            <w:tcW w:w="2520" w:type="dxa"/>
          </w:tcPr>
          <w:p w14:paraId="5B012B62" w14:textId="77777777" w:rsidR="008870A3" w:rsidRPr="00082181" w:rsidRDefault="008870A3" w:rsidP="008870A3">
            <w:pPr>
              <w:spacing w:before="20" w:after="2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Log total supply expenses</w:t>
            </w:r>
          </w:p>
        </w:tc>
        <w:tc>
          <w:tcPr>
            <w:tcW w:w="1606" w:type="dxa"/>
          </w:tcPr>
          <w:p w14:paraId="56EA3148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M1</w:t>
            </w:r>
          </w:p>
        </w:tc>
        <w:tc>
          <w:tcPr>
            <w:tcW w:w="1871" w:type="dxa"/>
          </w:tcPr>
          <w:p w14:paraId="71717976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10.68</w:t>
            </w:r>
          </w:p>
        </w:tc>
        <w:tc>
          <w:tcPr>
            <w:tcW w:w="1869" w:type="dxa"/>
          </w:tcPr>
          <w:p w14:paraId="294D89B2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73" w:type="dxa"/>
          </w:tcPr>
          <w:p w14:paraId="1EA845D0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8870A3" w:rsidRPr="00082181" w14:paraId="6DE3D7E8" w14:textId="77777777" w:rsidTr="008870A3">
        <w:trPr>
          <w:jc w:val="center"/>
        </w:trPr>
        <w:tc>
          <w:tcPr>
            <w:tcW w:w="2520" w:type="dxa"/>
          </w:tcPr>
          <w:p w14:paraId="450DA278" w14:textId="77777777" w:rsidR="008870A3" w:rsidRPr="00082181" w:rsidRDefault="008870A3" w:rsidP="008870A3">
            <w:pPr>
              <w:spacing w:before="20" w:after="2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Log total supply expenses</w:t>
            </w:r>
          </w:p>
        </w:tc>
        <w:tc>
          <w:tcPr>
            <w:tcW w:w="1606" w:type="dxa"/>
          </w:tcPr>
          <w:p w14:paraId="371EADB6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M2</w:t>
            </w:r>
          </w:p>
        </w:tc>
        <w:tc>
          <w:tcPr>
            <w:tcW w:w="1871" w:type="dxa"/>
          </w:tcPr>
          <w:p w14:paraId="2EFAE9F9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4.98</w:t>
            </w:r>
          </w:p>
        </w:tc>
        <w:tc>
          <w:tcPr>
            <w:tcW w:w="1869" w:type="dxa"/>
          </w:tcPr>
          <w:p w14:paraId="6AEEBA8A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73" w:type="dxa"/>
          </w:tcPr>
          <w:p w14:paraId="63772C1A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8870A3" w:rsidRPr="00082181" w14:paraId="6DAC3128" w14:textId="77777777" w:rsidTr="008870A3">
        <w:trPr>
          <w:jc w:val="center"/>
        </w:trPr>
        <w:tc>
          <w:tcPr>
            <w:tcW w:w="2520" w:type="dxa"/>
            <w:tcBorders>
              <w:bottom w:val="single" w:sz="4" w:space="0" w:color="auto"/>
            </w:tcBorders>
          </w:tcPr>
          <w:p w14:paraId="58DEBFCA" w14:textId="77777777" w:rsidR="008870A3" w:rsidRPr="00082181" w:rsidRDefault="008870A3" w:rsidP="008870A3">
            <w:pPr>
              <w:spacing w:before="20" w:after="2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Log total supply expenses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7470806C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M3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1AFB997C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3.03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413BF367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33F58997" w14:textId="77777777" w:rsidR="008870A3" w:rsidRPr="00082181" w:rsidRDefault="008870A3" w:rsidP="008870A3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</w:tbl>
    <w:p w14:paraId="01E6BA6E" w14:textId="77777777" w:rsidR="008870A3" w:rsidRPr="00082181" w:rsidRDefault="008870A3" w:rsidP="008870A3">
      <w:pPr>
        <w:jc w:val="both"/>
        <w:rPr>
          <w:rFonts w:cs="Times New Roman"/>
          <w:i/>
          <w:iCs/>
          <w:color w:val="000000" w:themeColor="text1"/>
        </w:rPr>
      </w:pPr>
      <w:r w:rsidRPr="00082181">
        <w:rPr>
          <w:rFonts w:cs="Times New Roman"/>
          <w:i/>
          <w:iCs/>
          <w:color w:val="000000" w:themeColor="text1"/>
        </w:rPr>
        <w:t>Each row tests the null hypothesis that all 18 specialty-density coefficients are equal within the indicated model. Rejection indicates that the association between specialist density and the outcome differed across specialties.</w:t>
      </w:r>
      <w:r w:rsidRPr="00082181">
        <w:rPr>
          <w:rFonts w:cs="Times New Roman"/>
          <w:i/>
          <w:iCs/>
          <w:color w:val="000000" w:themeColor="text1"/>
        </w:rPr>
        <w:br w:type="page"/>
      </w:r>
    </w:p>
    <w:p w14:paraId="0B8ABAD9" w14:textId="77777777" w:rsidR="008870A3" w:rsidRPr="00082181" w:rsidRDefault="008870A3" w:rsidP="008870A3">
      <w:pPr>
        <w:jc w:val="both"/>
        <w:rPr>
          <w:rFonts w:cs="Times New Roman"/>
          <w:color w:val="000000" w:themeColor="text1"/>
        </w:rPr>
      </w:pPr>
      <w:r w:rsidRPr="00082181">
        <w:rPr>
          <w:rFonts w:cs="Times New Roman"/>
          <w:color w:val="000000" w:themeColor="text1"/>
        </w:rPr>
        <w:lastRenderedPageBreak/>
        <w:t>Supplementary Table 3. Supply expense structure by region, foundation type, and hospital type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080"/>
        <w:gridCol w:w="1181"/>
        <w:gridCol w:w="757"/>
        <w:gridCol w:w="1310"/>
        <w:gridCol w:w="1343"/>
        <w:gridCol w:w="1529"/>
      </w:tblGrid>
      <w:tr w:rsidR="008870A3" w:rsidRPr="00082181" w14:paraId="09832335" w14:textId="77777777" w:rsidTr="001733B4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EC2BE" w14:textId="77777777" w:rsidR="008870A3" w:rsidRPr="00082181" w:rsidRDefault="008870A3" w:rsidP="00ED37B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Region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1CE6D" w14:textId="77777777" w:rsidR="008870A3" w:rsidRPr="00082181" w:rsidRDefault="008870A3" w:rsidP="00ED37B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Foundation type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90D3C" w14:textId="77777777" w:rsidR="008870A3" w:rsidRPr="00082181" w:rsidRDefault="008870A3" w:rsidP="00ED37B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Hospital type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D5DFC" w14:textId="77777777" w:rsidR="008870A3" w:rsidRPr="00082181" w:rsidRDefault="008870A3" w:rsidP="00ED37B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B664F" w14:textId="77777777" w:rsidR="008870A3" w:rsidRPr="00082181" w:rsidRDefault="008870A3" w:rsidP="00ED37B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Supply expense ratio, mean (SD)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0D5C5" w14:textId="77777777" w:rsidR="008870A3" w:rsidRPr="00082181" w:rsidRDefault="008870A3" w:rsidP="00ED37B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Log total supply expenses, mean (SD)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59DCB" w14:textId="77777777" w:rsidR="008870A3" w:rsidRPr="00082181" w:rsidRDefault="008870A3" w:rsidP="00ED37B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b/>
                <w:color w:val="000000" w:themeColor="text1"/>
              </w:rPr>
              <w:t>Total specialist density, mean (SD)</w:t>
            </w:r>
          </w:p>
        </w:tc>
      </w:tr>
      <w:tr w:rsidR="008870A3" w:rsidRPr="00082181" w14:paraId="47EA5649" w14:textId="77777777" w:rsidTr="001733B4">
        <w:tc>
          <w:tcPr>
            <w:tcW w:w="2250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A4D0D" w14:textId="77777777" w:rsidR="008870A3" w:rsidRPr="00082181" w:rsidRDefault="008870A3" w:rsidP="001733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Non-metropolitan area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A96F2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Public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DAB70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Tertiary general</w:t>
            </w:r>
          </w:p>
        </w:tc>
        <w:tc>
          <w:tcPr>
            <w:tcW w:w="757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6E5B8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78B66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34.60 (4.97)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BB3CD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25.57 (0.22)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DA11C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23.43 (3.24)</w:t>
            </w:r>
          </w:p>
        </w:tc>
      </w:tr>
      <w:tr w:rsidR="008870A3" w:rsidRPr="00082181" w14:paraId="1D84C22F" w14:textId="77777777" w:rsidTr="001733B4">
        <w:tc>
          <w:tcPr>
            <w:tcW w:w="22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0152" w14:textId="77777777" w:rsidR="008870A3" w:rsidRPr="00082181" w:rsidRDefault="008870A3" w:rsidP="001733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Metropolitan area</w:t>
            </w:r>
          </w:p>
        </w:tc>
        <w:tc>
          <w:tcPr>
            <w:tcW w:w="10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84F41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Public</w:t>
            </w:r>
          </w:p>
        </w:tc>
        <w:tc>
          <w:tcPr>
            <w:tcW w:w="1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52763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Tertiary general</w:t>
            </w:r>
          </w:p>
        </w:tc>
        <w:tc>
          <w:tcPr>
            <w:tcW w:w="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4D257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61120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34.14 (0.88)</w:t>
            </w:r>
          </w:p>
        </w:tc>
        <w:tc>
          <w:tcPr>
            <w:tcW w:w="13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BB0F8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26.60 (0.24)</w:t>
            </w:r>
          </w:p>
        </w:tc>
        <w:tc>
          <w:tcPr>
            <w:tcW w:w="15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10AB7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42.99 (3.87)</w:t>
            </w:r>
          </w:p>
        </w:tc>
      </w:tr>
      <w:tr w:rsidR="008870A3" w:rsidRPr="00082181" w14:paraId="647328E6" w14:textId="77777777" w:rsidTr="001733B4">
        <w:tc>
          <w:tcPr>
            <w:tcW w:w="22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A454B" w14:textId="77777777" w:rsidR="008870A3" w:rsidRPr="00082181" w:rsidRDefault="008870A3" w:rsidP="001733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Non-metropolitan area</w:t>
            </w:r>
          </w:p>
        </w:tc>
        <w:tc>
          <w:tcPr>
            <w:tcW w:w="10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0F4E9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Private</w:t>
            </w:r>
          </w:p>
        </w:tc>
        <w:tc>
          <w:tcPr>
            <w:tcW w:w="1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05DFF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Tertiary general</w:t>
            </w:r>
          </w:p>
        </w:tc>
        <w:tc>
          <w:tcPr>
            <w:tcW w:w="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2C0D2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3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C398B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34.89 (2.35)</w:t>
            </w:r>
          </w:p>
        </w:tc>
        <w:tc>
          <w:tcPr>
            <w:tcW w:w="13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849A2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25.41 (0.19)</w:t>
            </w:r>
          </w:p>
        </w:tc>
        <w:tc>
          <w:tcPr>
            <w:tcW w:w="15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DB846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22.58 (2.59)</w:t>
            </w:r>
          </w:p>
        </w:tc>
      </w:tr>
      <w:tr w:rsidR="008870A3" w:rsidRPr="00082181" w14:paraId="7D826A00" w14:textId="77777777" w:rsidTr="001733B4">
        <w:tc>
          <w:tcPr>
            <w:tcW w:w="22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4E6BB" w14:textId="77777777" w:rsidR="008870A3" w:rsidRPr="00082181" w:rsidRDefault="008870A3" w:rsidP="001733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Metropolitan area</w:t>
            </w:r>
          </w:p>
        </w:tc>
        <w:tc>
          <w:tcPr>
            <w:tcW w:w="10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47258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Private</w:t>
            </w:r>
          </w:p>
        </w:tc>
        <w:tc>
          <w:tcPr>
            <w:tcW w:w="1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36EB6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Tertiary general</w:t>
            </w:r>
          </w:p>
        </w:tc>
        <w:tc>
          <w:tcPr>
            <w:tcW w:w="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B26AA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13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72CD7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34.28 (4.06)</w:t>
            </w:r>
          </w:p>
        </w:tc>
        <w:tc>
          <w:tcPr>
            <w:tcW w:w="13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FE8DB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25.88 (0.64)</w:t>
            </w:r>
          </w:p>
        </w:tc>
        <w:tc>
          <w:tcPr>
            <w:tcW w:w="15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4EE9A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29.58 (5.51)</w:t>
            </w:r>
          </w:p>
        </w:tc>
      </w:tr>
      <w:tr w:rsidR="008870A3" w:rsidRPr="00082181" w14:paraId="4A515F35" w14:textId="77777777" w:rsidTr="001733B4">
        <w:tc>
          <w:tcPr>
            <w:tcW w:w="22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97CF6" w14:textId="77777777" w:rsidR="008870A3" w:rsidRPr="00082181" w:rsidRDefault="008870A3" w:rsidP="001733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Non-metropolitan area</w:t>
            </w:r>
          </w:p>
        </w:tc>
        <w:tc>
          <w:tcPr>
            <w:tcW w:w="10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B9FB1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Public</w:t>
            </w:r>
          </w:p>
        </w:tc>
        <w:tc>
          <w:tcPr>
            <w:tcW w:w="1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A1739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General</w:t>
            </w:r>
          </w:p>
        </w:tc>
        <w:tc>
          <w:tcPr>
            <w:tcW w:w="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9E250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13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BF387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13.88 (6.31)</w:t>
            </w:r>
          </w:p>
        </w:tc>
        <w:tc>
          <w:tcPr>
            <w:tcW w:w="13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A3B10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22.42 (0.84)</w:t>
            </w:r>
          </w:p>
        </w:tc>
        <w:tc>
          <w:tcPr>
            <w:tcW w:w="15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8B76C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11.08 (5.62)</w:t>
            </w:r>
          </w:p>
        </w:tc>
      </w:tr>
      <w:tr w:rsidR="008870A3" w:rsidRPr="00082181" w14:paraId="57D317B6" w14:textId="77777777" w:rsidTr="001733B4">
        <w:tc>
          <w:tcPr>
            <w:tcW w:w="22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E5E34" w14:textId="77777777" w:rsidR="008870A3" w:rsidRPr="00082181" w:rsidRDefault="008870A3" w:rsidP="001733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Metropolitan area</w:t>
            </w:r>
          </w:p>
        </w:tc>
        <w:tc>
          <w:tcPr>
            <w:tcW w:w="10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0C496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Public</w:t>
            </w:r>
          </w:p>
        </w:tc>
        <w:tc>
          <w:tcPr>
            <w:tcW w:w="1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28435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General</w:t>
            </w:r>
          </w:p>
        </w:tc>
        <w:tc>
          <w:tcPr>
            <w:tcW w:w="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6DDAA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13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2989F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13.79 (9.27)</w:t>
            </w:r>
          </w:p>
        </w:tc>
        <w:tc>
          <w:tcPr>
            <w:tcW w:w="13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6121B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22.87 (1.50)</w:t>
            </w:r>
          </w:p>
        </w:tc>
        <w:tc>
          <w:tcPr>
            <w:tcW w:w="15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189DF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17.21 (6.86)</w:t>
            </w:r>
          </w:p>
        </w:tc>
      </w:tr>
      <w:tr w:rsidR="008870A3" w:rsidRPr="00082181" w14:paraId="27FFF733" w14:textId="77777777" w:rsidTr="001733B4">
        <w:tc>
          <w:tcPr>
            <w:tcW w:w="22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189F1" w14:textId="77777777" w:rsidR="008870A3" w:rsidRPr="00082181" w:rsidRDefault="008870A3" w:rsidP="001733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Non-metropolitan area</w:t>
            </w:r>
          </w:p>
        </w:tc>
        <w:tc>
          <w:tcPr>
            <w:tcW w:w="10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5C0CF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Private</w:t>
            </w:r>
          </w:p>
        </w:tc>
        <w:tc>
          <w:tcPr>
            <w:tcW w:w="1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2B25F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General</w:t>
            </w:r>
          </w:p>
        </w:tc>
        <w:tc>
          <w:tcPr>
            <w:tcW w:w="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1B2F1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434</w:t>
            </w:r>
          </w:p>
        </w:tc>
        <w:tc>
          <w:tcPr>
            <w:tcW w:w="13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A8585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22.62 (5.61)</w:t>
            </w:r>
          </w:p>
        </w:tc>
        <w:tc>
          <w:tcPr>
            <w:tcW w:w="13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0FB1B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23.23 (0.95)</w:t>
            </w:r>
          </w:p>
        </w:tc>
        <w:tc>
          <w:tcPr>
            <w:tcW w:w="15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E3910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12.85 (9.92)</w:t>
            </w:r>
          </w:p>
        </w:tc>
      </w:tr>
      <w:tr w:rsidR="008870A3" w:rsidRPr="00082181" w14:paraId="13225EC9" w14:textId="77777777" w:rsidTr="001733B4">
        <w:tc>
          <w:tcPr>
            <w:tcW w:w="22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B37F2" w14:textId="77777777" w:rsidR="008870A3" w:rsidRPr="00082181" w:rsidRDefault="008870A3" w:rsidP="001733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Metropolitan area</w:t>
            </w:r>
          </w:p>
        </w:tc>
        <w:tc>
          <w:tcPr>
            <w:tcW w:w="10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DFF48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Private</w:t>
            </w:r>
          </w:p>
        </w:tc>
        <w:tc>
          <w:tcPr>
            <w:tcW w:w="1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721C1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General</w:t>
            </w:r>
          </w:p>
        </w:tc>
        <w:tc>
          <w:tcPr>
            <w:tcW w:w="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6D696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304</w:t>
            </w:r>
          </w:p>
        </w:tc>
        <w:tc>
          <w:tcPr>
            <w:tcW w:w="13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2FA81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23.46 (6.64)</w:t>
            </w:r>
          </w:p>
        </w:tc>
        <w:tc>
          <w:tcPr>
            <w:tcW w:w="13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101AE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23.56 (1.12)</w:t>
            </w:r>
          </w:p>
        </w:tc>
        <w:tc>
          <w:tcPr>
            <w:tcW w:w="15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A2962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18.56 (9.14)</w:t>
            </w:r>
          </w:p>
        </w:tc>
      </w:tr>
      <w:tr w:rsidR="008870A3" w:rsidRPr="00082181" w14:paraId="3452F5D2" w14:textId="77777777" w:rsidTr="001733B4">
        <w:tc>
          <w:tcPr>
            <w:tcW w:w="225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AF1C1" w14:textId="77777777" w:rsidR="008870A3" w:rsidRPr="00082181" w:rsidRDefault="008870A3" w:rsidP="001733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93D72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7316E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01BD5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1119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8902D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23.08 (8.56)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FC0FF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23.59 (1.38)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BEEC0" w14:textId="77777777" w:rsidR="008870A3" w:rsidRPr="00082181" w:rsidRDefault="008870A3" w:rsidP="009E2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181">
              <w:rPr>
                <w:rFonts w:ascii="Times New Roman" w:hAnsi="Times New Roman" w:cs="Times New Roman"/>
                <w:color w:val="000000" w:themeColor="text1"/>
              </w:rPr>
              <w:t>16.70 (10.02)</w:t>
            </w:r>
          </w:p>
        </w:tc>
      </w:tr>
    </w:tbl>
    <w:p w14:paraId="6DAD4A5C" w14:textId="77777777" w:rsidR="008870A3" w:rsidRPr="00082181" w:rsidRDefault="008870A3" w:rsidP="008870A3">
      <w:pPr>
        <w:jc w:val="both"/>
        <w:rPr>
          <w:rFonts w:cs="Times New Roman"/>
          <w:i/>
          <w:iCs/>
          <w:color w:val="000000" w:themeColor="text1"/>
        </w:rPr>
      </w:pPr>
      <w:r w:rsidRPr="00082181">
        <w:rPr>
          <w:rFonts w:cs="Times New Roman"/>
          <w:i/>
          <w:iCs/>
          <w:color w:val="000000" w:themeColor="text1"/>
        </w:rPr>
        <w:t>Values are means and standard deviations unless otherwise indicated.</w:t>
      </w:r>
    </w:p>
    <w:p w14:paraId="6A7D207D" w14:textId="77777777" w:rsidR="008870A3" w:rsidRPr="008870A3" w:rsidRDefault="008870A3">
      <w:pPr>
        <w:rPr>
          <w:rFonts w:hint="eastAsia"/>
        </w:rPr>
      </w:pPr>
    </w:p>
    <w:sectPr w:rsidR="008870A3" w:rsidRPr="008870A3" w:rsidSect="008870A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num w:numId="1" w16cid:durableId="1190796332">
    <w:abstractNumId w:val="3"/>
  </w:num>
  <w:num w:numId="2" w16cid:durableId="2068138942">
    <w:abstractNumId w:val="1"/>
  </w:num>
  <w:num w:numId="3" w16cid:durableId="1207984688">
    <w:abstractNumId w:val="0"/>
  </w:num>
  <w:num w:numId="4" w16cid:durableId="954406714">
    <w:abstractNumId w:val="2"/>
  </w:num>
  <w:num w:numId="5" w16cid:durableId="516773085">
    <w:abstractNumId w:val="3"/>
  </w:num>
  <w:num w:numId="6" w16cid:durableId="2017883433">
    <w:abstractNumId w:val="1"/>
  </w:num>
  <w:num w:numId="7" w16cid:durableId="1186869074">
    <w:abstractNumId w:val="0"/>
  </w:num>
  <w:num w:numId="8" w16cid:durableId="1784883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A3"/>
    <w:rsid w:val="000629FE"/>
    <w:rsid w:val="00103799"/>
    <w:rsid w:val="001733B4"/>
    <w:rsid w:val="00193223"/>
    <w:rsid w:val="00366EA9"/>
    <w:rsid w:val="003C0FC2"/>
    <w:rsid w:val="003D43BB"/>
    <w:rsid w:val="004C0C89"/>
    <w:rsid w:val="00601CE4"/>
    <w:rsid w:val="00767738"/>
    <w:rsid w:val="00854847"/>
    <w:rsid w:val="008870A3"/>
    <w:rsid w:val="008A04EF"/>
    <w:rsid w:val="009E201B"/>
    <w:rsid w:val="00A751D4"/>
    <w:rsid w:val="00BD5762"/>
    <w:rsid w:val="00CC5826"/>
    <w:rsid w:val="00D027C9"/>
    <w:rsid w:val="00D20D27"/>
    <w:rsid w:val="00ED37B7"/>
    <w:rsid w:val="00FB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3043"/>
  <w15:chartTrackingRefBased/>
  <w15:docId w15:val="{DB478D9D-DF0E-495C-B526-ECEBF720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napToGrid w:val="0"/>
        <w:color w:val="000000"/>
        <w:spacing w:val="20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A3"/>
    <w:pPr>
      <w:spacing w:line="480" w:lineRule="auto"/>
    </w:pPr>
    <w:rPr>
      <w:rFonts w:eastAsia="맑은 고딕" w:cstheme="minorBidi"/>
      <w:snapToGrid/>
      <w:color w:val="auto"/>
      <w:spacing w:val="0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0A3"/>
    <w:pPr>
      <w:keepNext/>
      <w:keepLines/>
      <w:spacing w:before="360" w:after="80" w:line="260" w:lineRule="atLeast"/>
      <w:jc w:val="both"/>
      <w:outlineLvl w:val="0"/>
    </w:pPr>
    <w:rPr>
      <w:rFonts w:asciiTheme="majorHAnsi" w:eastAsiaTheme="majorEastAsia" w:hAnsiTheme="majorHAnsi" w:cstheme="majorBidi"/>
      <w:snapToGrid w:val="0"/>
      <w:color w:val="0F4761" w:themeColor="accent1" w:themeShade="BF"/>
      <w:spacing w:val="20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A3"/>
    <w:pPr>
      <w:keepNext/>
      <w:keepLines/>
      <w:spacing w:before="160" w:after="80" w:line="260" w:lineRule="atLeast"/>
      <w:jc w:val="both"/>
      <w:outlineLvl w:val="1"/>
    </w:pPr>
    <w:rPr>
      <w:rFonts w:asciiTheme="majorHAnsi" w:eastAsiaTheme="majorEastAsia" w:hAnsiTheme="majorHAnsi" w:cstheme="majorBidi"/>
      <w:snapToGrid w:val="0"/>
      <w:color w:val="0F4761" w:themeColor="accent1" w:themeShade="BF"/>
      <w:spacing w:val="20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A3"/>
    <w:pPr>
      <w:keepNext/>
      <w:keepLines/>
      <w:spacing w:before="160" w:after="80" w:line="260" w:lineRule="atLeast"/>
      <w:jc w:val="both"/>
      <w:outlineLvl w:val="2"/>
    </w:pPr>
    <w:rPr>
      <w:rFonts w:asciiTheme="minorHAnsi" w:eastAsiaTheme="majorEastAsia" w:hAnsiTheme="minorHAnsi" w:cstheme="majorBidi"/>
      <w:snapToGrid w:val="0"/>
      <w:color w:val="0F4761" w:themeColor="accent1" w:themeShade="BF"/>
      <w:spacing w:val="20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A3"/>
    <w:pPr>
      <w:keepNext/>
      <w:keepLines/>
      <w:spacing w:before="80" w:after="40" w:line="260" w:lineRule="atLeast"/>
      <w:jc w:val="both"/>
      <w:outlineLvl w:val="3"/>
    </w:pPr>
    <w:rPr>
      <w:rFonts w:asciiTheme="minorHAnsi" w:eastAsiaTheme="majorEastAsia" w:hAnsiTheme="minorHAnsi" w:cstheme="majorBidi"/>
      <w:i/>
      <w:iCs/>
      <w:snapToGrid w:val="0"/>
      <w:color w:val="0F4761" w:themeColor="accent1" w:themeShade="BF"/>
      <w:spacing w:val="20"/>
      <w:kern w:val="2"/>
      <w:sz w:val="24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A3"/>
    <w:pPr>
      <w:keepNext/>
      <w:keepLines/>
      <w:spacing w:before="80" w:after="40" w:line="260" w:lineRule="atLeast"/>
      <w:jc w:val="both"/>
      <w:outlineLvl w:val="4"/>
    </w:pPr>
    <w:rPr>
      <w:rFonts w:asciiTheme="minorHAnsi" w:eastAsiaTheme="majorEastAsia" w:hAnsiTheme="minorHAnsi" w:cstheme="majorBidi"/>
      <w:snapToGrid w:val="0"/>
      <w:color w:val="0F4761" w:themeColor="accent1" w:themeShade="BF"/>
      <w:spacing w:val="20"/>
      <w:kern w:val="2"/>
      <w:sz w:val="24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A3"/>
    <w:pPr>
      <w:keepNext/>
      <w:keepLines/>
      <w:spacing w:before="40" w:line="260" w:lineRule="atLeast"/>
      <w:jc w:val="both"/>
      <w:outlineLvl w:val="5"/>
    </w:pPr>
    <w:rPr>
      <w:rFonts w:asciiTheme="minorHAnsi" w:eastAsiaTheme="majorEastAsia" w:hAnsiTheme="minorHAnsi" w:cstheme="majorBidi"/>
      <w:i/>
      <w:iCs/>
      <w:snapToGrid w:val="0"/>
      <w:color w:val="595959" w:themeColor="text1" w:themeTint="A6"/>
      <w:spacing w:val="20"/>
      <w:kern w:val="2"/>
      <w:sz w:val="24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A3"/>
    <w:pPr>
      <w:keepNext/>
      <w:keepLines/>
      <w:spacing w:before="40" w:line="260" w:lineRule="atLeast"/>
      <w:jc w:val="both"/>
      <w:outlineLvl w:val="6"/>
    </w:pPr>
    <w:rPr>
      <w:rFonts w:asciiTheme="minorHAnsi" w:eastAsiaTheme="majorEastAsia" w:hAnsiTheme="minorHAnsi" w:cstheme="majorBidi"/>
      <w:snapToGrid w:val="0"/>
      <w:color w:val="595959" w:themeColor="text1" w:themeTint="A6"/>
      <w:spacing w:val="20"/>
      <w:kern w:val="2"/>
      <w:sz w:val="24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A3"/>
    <w:pPr>
      <w:keepNext/>
      <w:keepLines/>
      <w:spacing w:line="260" w:lineRule="atLeast"/>
      <w:jc w:val="both"/>
      <w:outlineLvl w:val="7"/>
    </w:pPr>
    <w:rPr>
      <w:rFonts w:asciiTheme="minorHAnsi" w:eastAsiaTheme="majorEastAsia" w:hAnsiTheme="minorHAnsi" w:cstheme="majorBidi"/>
      <w:i/>
      <w:iCs/>
      <w:snapToGrid w:val="0"/>
      <w:color w:val="272727" w:themeColor="text1" w:themeTint="D8"/>
      <w:spacing w:val="20"/>
      <w:kern w:val="2"/>
      <w:sz w:val="24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A3"/>
    <w:pPr>
      <w:keepNext/>
      <w:keepLines/>
      <w:spacing w:line="260" w:lineRule="atLeast"/>
      <w:jc w:val="both"/>
      <w:outlineLvl w:val="8"/>
    </w:pPr>
    <w:rPr>
      <w:rFonts w:asciiTheme="minorHAnsi" w:eastAsiaTheme="majorEastAsia" w:hAnsiTheme="minorHAnsi" w:cstheme="majorBidi"/>
      <w:snapToGrid w:val="0"/>
      <w:color w:val="272727" w:themeColor="text1" w:themeTint="D8"/>
      <w:spacing w:val="20"/>
      <w:kern w:val="2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A751D4"/>
    <w:pPr>
      <w:adjustRightInd w:val="0"/>
      <w:snapToGrid w:val="0"/>
      <w:spacing w:before="240"/>
    </w:pPr>
    <w:rPr>
      <w:rFonts w:ascii="Palatino Linotype" w:eastAsia="Times New Roman" w:hAnsi="Palatino Linotype"/>
      <w:i/>
      <w:snapToGrid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A751D4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A751D4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A751D4"/>
    <w:pPr>
      <w:adjustRightInd w:val="0"/>
      <w:snapToGrid w:val="0"/>
      <w:spacing w:line="240" w:lineRule="atLeast"/>
      <w:ind w:right="113"/>
    </w:pPr>
    <w:rPr>
      <w:rFonts w:eastAsia="Times New Roman" w:cs="Times New Roman"/>
      <w:snapToGrid w:val="0"/>
      <w:color w:val="000000"/>
      <w:spacing w:val="20"/>
      <w:kern w:val="2"/>
      <w:sz w:val="14"/>
      <w:szCs w:val="24"/>
      <w:lang w:eastAsia="de-DE" w:bidi="en-US"/>
      <w14:ligatures w14:val="standardContextual"/>
    </w:rPr>
  </w:style>
  <w:style w:type="paragraph" w:customStyle="1" w:styleId="MDPI16affiliation">
    <w:name w:val="MDPI_1.6_affiliation"/>
    <w:qFormat/>
    <w:rsid w:val="00A751D4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A751D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A751D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/>
      <w:sz w:val="18"/>
      <w:szCs w:val="22"/>
      <w:lang w:eastAsia="de-DE" w:bidi="en-US"/>
    </w:rPr>
  </w:style>
  <w:style w:type="paragraph" w:customStyle="1" w:styleId="MDPI19line">
    <w:name w:val="MDPI_1.9_line"/>
    <w:qFormat/>
    <w:rsid w:val="00A751D4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lang w:eastAsia="de-DE" w:bidi="en-US"/>
    </w:rPr>
  </w:style>
  <w:style w:type="paragraph" w:customStyle="1" w:styleId="MDPIheaderjournallogo">
    <w:name w:val="MDPI_header_journal_logo"/>
    <w:qFormat/>
    <w:rsid w:val="00A751D4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A751D4"/>
    <w:pPr>
      <w:ind w:firstLine="0"/>
    </w:pPr>
  </w:style>
  <w:style w:type="paragraph" w:customStyle="1" w:styleId="MDPI31text">
    <w:name w:val="MDPI_3.1_text"/>
    <w:qFormat/>
    <w:rsid w:val="00A751D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/>
      <w:szCs w:val="22"/>
      <w:lang w:eastAsia="de-DE" w:bidi="en-US"/>
    </w:rPr>
  </w:style>
  <w:style w:type="paragraph" w:customStyle="1" w:styleId="MDPI33textspaceafter">
    <w:name w:val="MDPI_3.3_text_space_after"/>
    <w:qFormat/>
    <w:rsid w:val="00A751D4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/>
      <w:szCs w:val="22"/>
      <w:lang w:eastAsia="de-DE" w:bidi="en-US"/>
    </w:rPr>
  </w:style>
  <w:style w:type="paragraph" w:customStyle="1" w:styleId="MDPI34textspacebefore">
    <w:name w:val="MDPI_3.4_text_space_before"/>
    <w:qFormat/>
    <w:rsid w:val="00A751D4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/>
      <w:szCs w:val="22"/>
      <w:lang w:eastAsia="de-DE" w:bidi="en-US"/>
    </w:rPr>
  </w:style>
  <w:style w:type="paragraph" w:customStyle="1" w:styleId="MDPI35textbeforelist">
    <w:name w:val="MDPI_3.5_text_before_list"/>
    <w:qFormat/>
    <w:rsid w:val="00A751D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/>
      <w:szCs w:val="22"/>
      <w:lang w:eastAsia="de-DE" w:bidi="en-US"/>
    </w:rPr>
  </w:style>
  <w:style w:type="paragraph" w:customStyle="1" w:styleId="MDPI36textafterlist">
    <w:name w:val="MDPI_3.6_text_after_list"/>
    <w:qFormat/>
    <w:rsid w:val="00A751D4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/>
      <w:szCs w:val="22"/>
      <w:lang w:eastAsia="de-DE" w:bidi="en-US"/>
    </w:rPr>
  </w:style>
  <w:style w:type="paragraph" w:customStyle="1" w:styleId="MDPI37itemize">
    <w:name w:val="MDPI_3.7_itemize"/>
    <w:qFormat/>
    <w:rsid w:val="00A751D4"/>
    <w:pPr>
      <w:numPr>
        <w:numId w:val="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szCs w:val="22"/>
      <w:lang w:eastAsia="de-DE" w:bidi="en-US"/>
    </w:rPr>
  </w:style>
  <w:style w:type="paragraph" w:customStyle="1" w:styleId="MDPI38bullet">
    <w:name w:val="MDPI_3.8_bullet"/>
    <w:qFormat/>
    <w:rsid w:val="00A751D4"/>
    <w:pPr>
      <w:numPr>
        <w:numId w:val="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szCs w:val="22"/>
      <w:lang w:eastAsia="de-DE" w:bidi="en-US"/>
    </w:rPr>
  </w:style>
  <w:style w:type="paragraph" w:customStyle="1" w:styleId="MDPI39equation">
    <w:name w:val="MDPI_3.9_equation"/>
    <w:qFormat/>
    <w:rsid w:val="00A751D4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/>
      <w:szCs w:val="22"/>
      <w:lang w:eastAsia="de-DE" w:bidi="en-US"/>
    </w:rPr>
  </w:style>
  <w:style w:type="paragraph" w:customStyle="1" w:styleId="MDPI3aequationnumber">
    <w:name w:val="MDPI_3.a_equation_number"/>
    <w:qFormat/>
    <w:rsid w:val="00A751D4"/>
    <w:pPr>
      <w:spacing w:before="120" w:after="120"/>
      <w:jc w:val="right"/>
    </w:pPr>
    <w:rPr>
      <w:rFonts w:ascii="Palatino Linotype" w:eastAsia="Times New Roman" w:hAnsi="Palatino Linotype"/>
      <w:snapToGrid/>
      <w:szCs w:val="22"/>
      <w:lang w:eastAsia="de-DE" w:bidi="en-US"/>
    </w:rPr>
  </w:style>
  <w:style w:type="paragraph" w:customStyle="1" w:styleId="MDPI41tablecaption">
    <w:name w:val="MDPI_4.1_table_caption"/>
    <w:qFormat/>
    <w:rsid w:val="00A751D4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751D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/>
      <w:lang w:eastAsia="de-DE" w:bidi="en-US"/>
    </w:rPr>
  </w:style>
  <w:style w:type="paragraph" w:customStyle="1" w:styleId="MDPI43tablefooter">
    <w:name w:val="MDPI_4.3_table_footer"/>
    <w:next w:val="MDPI31text"/>
    <w:qFormat/>
    <w:rsid w:val="00A751D4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A751D4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paragraph" w:customStyle="1" w:styleId="MDPI52figure">
    <w:name w:val="MDPI_5.2_figure"/>
    <w:qFormat/>
    <w:rsid w:val="00A751D4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/>
      <w:lang w:eastAsia="de-DE" w:bidi="en-US"/>
    </w:rPr>
  </w:style>
  <w:style w:type="paragraph" w:customStyle="1" w:styleId="MDPI81theorem">
    <w:name w:val="MDPI_8.1_theorem"/>
    <w:qFormat/>
    <w:rsid w:val="00A751D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/>
      <w:szCs w:val="22"/>
      <w:lang w:eastAsia="de-DE" w:bidi="en-US"/>
    </w:rPr>
  </w:style>
  <w:style w:type="paragraph" w:customStyle="1" w:styleId="MDPI82proof">
    <w:name w:val="MDPI_8.2_proof"/>
    <w:qFormat/>
    <w:rsid w:val="00A751D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/>
      <w:szCs w:val="22"/>
      <w:lang w:eastAsia="de-DE" w:bidi="en-US"/>
    </w:rPr>
  </w:style>
  <w:style w:type="paragraph" w:customStyle="1" w:styleId="MDPI23heading3">
    <w:name w:val="MDPI_2.3_heading3"/>
    <w:qFormat/>
    <w:rsid w:val="00A751D4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/>
      <w:szCs w:val="22"/>
      <w:lang w:eastAsia="de-DE" w:bidi="en-US"/>
    </w:rPr>
  </w:style>
  <w:style w:type="paragraph" w:customStyle="1" w:styleId="MDPI21heading1">
    <w:name w:val="MDPI_2.1_heading1"/>
    <w:qFormat/>
    <w:rsid w:val="00A751D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/>
      <w:szCs w:val="22"/>
      <w:lang w:eastAsia="de-DE" w:bidi="en-US"/>
    </w:rPr>
  </w:style>
  <w:style w:type="paragraph" w:customStyle="1" w:styleId="MDPI22heading2">
    <w:name w:val="MDPI_2.2_heading2"/>
    <w:qFormat/>
    <w:rsid w:val="00A751D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/>
      <w:szCs w:val="22"/>
      <w:lang w:eastAsia="de-DE" w:bidi="en-US"/>
    </w:rPr>
  </w:style>
  <w:style w:type="paragraph" w:customStyle="1" w:styleId="MDPI71References">
    <w:name w:val="MDPI_7.1_References"/>
    <w:qFormat/>
    <w:rsid w:val="00A751D4"/>
    <w:pPr>
      <w:numPr>
        <w:numId w:val="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sz w:val="18"/>
      <w:lang w:eastAsia="de-DE" w:bidi="en-US"/>
    </w:rPr>
  </w:style>
  <w:style w:type="paragraph" w:customStyle="1" w:styleId="MDPI61Citation">
    <w:name w:val="MDPI_6.1_Citation"/>
    <w:qFormat/>
    <w:rsid w:val="00A751D4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A751D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/>
      <w:sz w:val="18"/>
      <w:lang w:eastAsia="en-US" w:bidi="en-US"/>
    </w:rPr>
  </w:style>
  <w:style w:type="paragraph" w:customStyle="1" w:styleId="MDPI63Notes">
    <w:name w:val="MDPI_6.3_Notes"/>
    <w:qFormat/>
    <w:rsid w:val="00A751D4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/>
      <w:sz w:val="14"/>
      <w:lang w:eastAsia="en-US" w:bidi="en-US"/>
    </w:rPr>
  </w:style>
  <w:style w:type="paragraph" w:customStyle="1" w:styleId="MDPI15academiceditor">
    <w:name w:val="MDPI_1.5_academic_editor"/>
    <w:qFormat/>
    <w:rsid w:val="00A751D4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A751D4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szCs w:val="22"/>
      <w:lang w:eastAsia="de-DE" w:bidi="en-US"/>
    </w:rPr>
  </w:style>
  <w:style w:type="paragraph" w:customStyle="1" w:styleId="MDPI411onetablecaption">
    <w:name w:val="MDPI_4.1.1_one_table_caption"/>
    <w:qFormat/>
    <w:rsid w:val="00A751D4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A751D4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72Copyright">
    <w:name w:val="MDPI_7.2_Copyright"/>
    <w:qFormat/>
    <w:rsid w:val="00A751D4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/>
      <w:spacing w:val="-2"/>
      <w:sz w:val="14"/>
      <w:lang w:val="en-GB" w:eastAsia="en-GB"/>
    </w:rPr>
  </w:style>
  <w:style w:type="paragraph" w:customStyle="1" w:styleId="MDPIequationFram">
    <w:name w:val="MDPI_equationFram"/>
    <w:qFormat/>
    <w:rsid w:val="00A751D4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/>
      <w:szCs w:val="22"/>
      <w:lang w:eastAsia="de-DE" w:bidi="en-US"/>
    </w:rPr>
  </w:style>
  <w:style w:type="paragraph" w:customStyle="1" w:styleId="MDPIfooter">
    <w:name w:val="MDPI_footer"/>
    <w:qFormat/>
    <w:rsid w:val="00A751D4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lang w:eastAsia="de-DE"/>
    </w:rPr>
  </w:style>
  <w:style w:type="paragraph" w:customStyle="1" w:styleId="MDPIfooterfirstpage">
    <w:name w:val="MDPI_footer_firstpage"/>
    <w:qFormat/>
    <w:rsid w:val="00A751D4"/>
    <w:pPr>
      <w:tabs>
        <w:tab w:val="right" w:pos="8845"/>
      </w:tabs>
      <w:spacing w:line="160" w:lineRule="exact"/>
    </w:pPr>
    <w:rPr>
      <w:rFonts w:ascii="Palatino Linotype" w:eastAsia="Times New Roman" w:hAnsi="Palatino Linotype"/>
      <w:sz w:val="16"/>
      <w:lang w:eastAsia="de-DE"/>
    </w:rPr>
  </w:style>
  <w:style w:type="paragraph" w:customStyle="1" w:styleId="MDPIheader">
    <w:name w:val="MDPI_header"/>
    <w:qFormat/>
    <w:rsid w:val="00A751D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sz w:val="16"/>
      <w:lang w:eastAsia="de-DE"/>
    </w:rPr>
  </w:style>
  <w:style w:type="paragraph" w:customStyle="1" w:styleId="MDPIheadermdpilogo">
    <w:name w:val="MDPI_header_mdpi_logo"/>
    <w:qFormat/>
    <w:rsid w:val="00A751D4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szCs w:val="22"/>
      <w:lang w:eastAsia="de-CH"/>
    </w:rPr>
  </w:style>
  <w:style w:type="paragraph" w:customStyle="1" w:styleId="MDPItext">
    <w:name w:val="MDPI_text"/>
    <w:qFormat/>
    <w:rsid w:val="00A751D4"/>
    <w:pPr>
      <w:spacing w:line="260" w:lineRule="atLeast"/>
      <w:ind w:left="425" w:right="425" w:firstLine="284"/>
      <w:jc w:val="both"/>
    </w:pPr>
    <w:rPr>
      <w:rFonts w:eastAsia="Times New Roman"/>
      <w:noProof/>
      <w:snapToGrid/>
      <w:sz w:val="22"/>
      <w:szCs w:val="22"/>
      <w:lang w:eastAsia="de-DE" w:bidi="en-US"/>
    </w:rPr>
  </w:style>
  <w:style w:type="paragraph" w:customStyle="1" w:styleId="MDPItitle">
    <w:name w:val="MDPI_title"/>
    <w:qFormat/>
    <w:rsid w:val="00A751D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/>
      <w:sz w:val="36"/>
      <w:lang w:eastAsia="de-DE" w:bidi="en-US"/>
    </w:rPr>
  </w:style>
  <w:style w:type="paragraph" w:customStyle="1" w:styleId="MsoFootnoteText0">
    <w:name w:val="MsoFootnoteText"/>
    <w:basedOn w:val="NormalWeb"/>
    <w:qFormat/>
    <w:rsid w:val="00A751D4"/>
  </w:style>
  <w:style w:type="paragraph" w:styleId="NormalWeb">
    <w:name w:val="Normal (Web)"/>
    <w:basedOn w:val="Normal"/>
    <w:uiPriority w:val="99"/>
    <w:semiHidden/>
    <w:unhideWhenUsed/>
    <w:rsid w:val="00A751D4"/>
    <w:pPr>
      <w:spacing w:line="260" w:lineRule="atLeast"/>
      <w:jc w:val="both"/>
    </w:pPr>
    <w:rPr>
      <w:rFonts w:eastAsia="SimSun" w:cs="Times New Roman"/>
      <w:snapToGrid w:val="0"/>
      <w:color w:val="000000"/>
      <w:spacing w:val="20"/>
      <w:kern w:val="2"/>
      <w:sz w:val="24"/>
      <w:szCs w:val="24"/>
      <w:lang w:eastAsia="ko-KR"/>
      <w14:ligatures w14:val="standardContextual"/>
    </w:rPr>
  </w:style>
  <w:style w:type="paragraph" w:customStyle="1" w:styleId="MDPI71FootNotes">
    <w:name w:val="MDPI_7.1_FootNotes"/>
    <w:qFormat/>
    <w:rsid w:val="00A751D4"/>
    <w:pPr>
      <w:numPr>
        <w:numId w:val="8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sz w:val="18"/>
    </w:rPr>
  </w:style>
  <w:style w:type="paragraph" w:customStyle="1" w:styleId="Style1">
    <w:name w:val="Style1"/>
    <w:basedOn w:val="NoSpacing"/>
    <w:link w:val="Style1Char"/>
    <w:qFormat/>
    <w:rsid w:val="00A751D4"/>
    <w:pPr>
      <w:jc w:val="left"/>
    </w:pPr>
    <w:rPr>
      <w:spacing w:val="-24"/>
      <w:kern w:val="24"/>
      <w:position w:val="2"/>
    </w:rPr>
  </w:style>
  <w:style w:type="character" w:customStyle="1" w:styleId="Style1Char">
    <w:name w:val="Style1 Char"/>
    <w:basedOn w:val="NoSpacingChar"/>
    <w:link w:val="Style1"/>
    <w:rsid w:val="00A751D4"/>
    <w:rPr>
      <w:rFonts w:ascii="Palatino Linotype" w:hAnsi="Palatino Linotype"/>
      <w:noProof/>
      <w:spacing w:val="-24"/>
      <w:kern w:val="24"/>
      <w:position w:val="2"/>
    </w:rPr>
  </w:style>
  <w:style w:type="paragraph" w:styleId="NoSpacing">
    <w:name w:val="No Spacing"/>
    <w:link w:val="NoSpacingChar"/>
    <w:uiPriority w:val="1"/>
    <w:qFormat/>
    <w:rsid w:val="00A751D4"/>
    <w:pPr>
      <w:jc w:val="both"/>
    </w:pPr>
    <w:rPr>
      <w:rFonts w:ascii="Palatino Linotype" w:hAnsi="Palatino Linotype"/>
      <w:noProof/>
    </w:rPr>
  </w:style>
  <w:style w:type="character" w:styleId="Emphasis">
    <w:name w:val="Emphasis"/>
    <w:basedOn w:val="DefaultParagraphFont"/>
    <w:uiPriority w:val="20"/>
    <w:qFormat/>
    <w:rsid w:val="00A751D4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A751D4"/>
    <w:rPr>
      <w:rFonts w:ascii="Palatino Linotype" w:hAnsi="Palatino Linotype"/>
      <w:noProof/>
    </w:rPr>
  </w:style>
  <w:style w:type="paragraph" w:styleId="ListParagraph">
    <w:name w:val="List Paragraph"/>
    <w:basedOn w:val="Normal"/>
    <w:uiPriority w:val="34"/>
    <w:qFormat/>
    <w:rsid w:val="00A751D4"/>
    <w:pPr>
      <w:widowControl w:val="0"/>
      <w:wordWrap w:val="0"/>
      <w:autoSpaceDE w:val="0"/>
      <w:autoSpaceDN w:val="0"/>
      <w:spacing w:after="160" w:line="256" w:lineRule="auto"/>
      <w:ind w:left="720"/>
      <w:contextualSpacing/>
      <w:jc w:val="both"/>
    </w:pPr>
    <w:rPr>
      <w:rFonts w:asciiTheme="minorHAnsi" w:eastAsiaTheme="minorEastAsia" w:hAnsiTheme="minorHAnsi"/>
      <w:snapToGrid w:val="0"/>
      <w:spacing w:val="20"/>
      <w:kern w:val="2"/>
      <w:sz w:val="24"/>
      <w:lang w:eastAsia="ko-KR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8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0A3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70A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A3"/>
    <w:pPr>
      <w:numPr>
        <w:ilvl w:val="1"/>
      </w:numPr>
      <w:spacing w:after="160" w:line="260" w:lineRule="atLeast"/>
      <w:jc w:val="both"/>
    </w:pPr>
    <w:rPr>
      <w:rFonts w:asciiTheme="minorHAnsi" w:eastAsiaTheme="majorEastAsia" w:hAnsiTheme="minorHAnsi" w:cstheme="majorBidi"/>
      <w:snapToGrid w:val="0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70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0A3"/>
    <w:pPr>
      <w:spacing w:before="160" w:after="160" w:line="260" w:lineRule="atLeast"/>
      <w:jc w:val="center"/>
    </w:pPr>
    <w:rPr>
      <w:rFonts w:eastAsia="SimSun" w:cs="Times New Roman"/>
      <w:i/>
      <w:iCs/>
      <w:snapToGrid w:val="0"/>
      <w:color w:val="404040" w:themeColor="text1" w:themeTint="BF"/>
      <w:spacing w:val="20"/>
      <w:kern w:val="2"/>
      <w:sz w:val="24"/>
      <w:szCs w:val="24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70A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87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60" w:lineRule="atLeast"/>
      <w:ind w:left="864" w:right="864"/>
      <w:jc w:val="center"/>
    </w:pPr>
    <w:rPr>
      <w:rFonts w:eastAsia="SimSun" w:cs="Times New Roman"/>
      <w:i/>
      <w:iCs/>
      <w:snapToGrid w:val="0"/>
      <w:color w:val="0F4761" w:themeColor="accent1" w:themeShade="BF"/>
      <w:spacing w:val="20"/>
      <w:kern w:val="2"/>
      <w:sz w:val="24"/>
      <w:szCs w:val="24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0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870A3"/>
    <w:rPr>
      <w:rFonts w:asciiTheme="minorHAnsi" w:eastAsiaTheme="minorEastAsia" w:hAnsiTheme="minorHAnsi" w:cstheme="minorBidi"/>
      <w:snapToGrid/>
      <w:color w:val="auto"/>
      <w:spacing w:val="0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356</Words>
  <Characters>2165</Characters>
  <Application>Microsoft Office Word</Application>
  <DocSecurity>0</DocSecurity>
  <Lines>216</Lines>
  <Paragraphs>180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 R</dc:creator>
  <cp:keywords/>
  <dc:description/>
  <cp:lastModifiedBy>VASU R</cp:lastModifiedBy>
  <cp:revision>6</cp:revision>
  <dcterms:created xsi:type="dcterms:W3CDTF">2026-06-11T11:58:00Z</dcterms:created>
  <dcterms:modified xsi:type="dcterms:W3CDTF">2026-06-11T12:04:00Z</dcterms:modified>
</cp:coreProperties>
</file>