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8AF" w:rsidRPr="003D4483" w:rsidRDefault="00CF68AF" w:rsidP="00CF68AF">
      <w:pPr>
        <w:rPr>
          <w:rFonts w:eastAsia="Times New Roman"/>
          <w:color w:val="444444"/>
          <w:u w:val="single"/>
          <w:shd w:val="clear" w:color="auto" w:fill="FFFFFF"/>
        </w:rPr>
      </w:pPr>
      <w:r w:rsidRPr="003D4483">
        <w:rPr>
          <w:noProof/>
          <w:u w:val="single"/>
          <w:shd w:val="clear" w:color="auto" w:fill="FFFFFF"/>
          <w:lang w:val="en-GB" w:eastAsia="en-GB"/>
        </w:rPr>
        <w:drawing>
          <wp:anchor distT="0" distB="0" distL="114300" distR="114300" simplePos="0" relativeHeight="251662336" behindDoc="0" locked="0" layoutInCell="1" allowOverlap="1" wp14:anchorId="3303E1ED" wp14:editId="36FF0ECD">
            <wp:simplePos x="0" y="0"/>
            <wp:positionH relativeFrom="margin">
              <wp:posOffset>642620</wp:posOffset>
            </wp:positionH>
            <wp:positionV relativeFrom="margin">
              <wp:posOffset>8890</wp:posOffset>
            </wp:positionV>
            <wp:extent cx="596900" cy="5530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6900" cy="553085"/>
                    </a:xfrm>
                    <a:prstGeom prst="rect">
                      <a:avLst/>
                    </a:prstGeom>
                  </pic:spPr>
                </pic:pic>
              </a:graphicData>
            </a:graphic>
            <wp14:sizeRelH relativeFrom="margin">
              <wp14:pctWidth>0</wp14:pctWidth>
            </wp14:sizeRelH>
            <wp14:sizeRelV relativeFrom="margin">
              <wp14:pctHeight>0</wp14:pctHeight>
            </wp14:sizeRelV>
          </wp:anchor>
        </w:drawing>
      </w:r>
      <w:r w:rsidRPr="003D4483">
        <w:rPr>
          <w:noProof/>
          <w:lang w:val="en-GB" w:eastAsia="en-GB"/>
        </w:rPr>
        <w:drawing>
          <wp:anchor distT="0" distB="0" distL="114300" distR="114300" simplePos="0" relativeHeight="251659264" behindDoc="1" locked="0" layoutInCell="1" allowOverlap="1" wp14:anchorId="71E78FCF" wp14:editId="5B84E106">
            <wp:simplePos x="0" y="0"/>
            <wp:positionH relativeFrom="column">
              <wp:posOffset>4472305</wp:posOffset>
            </wp:positionH>
            <wp:positionV relativeFrom="paragraph">
              <wp:posOffset>17780</wp:posOffset>
            </wp:positionV>
            <wp:extent cx="1421130" cy="342265"/>
            <wp:effectExtent l="0" t="0" r="7620" b="635"/>
            <wp:wrapTight wrapText="bothSides">
              <wp:wrapPolygon edited="0">
                <wp:start x="0" y="0"/>
                <wp:lineTo x="0" y="20438"/>
                <wp:lineTo x="11292" y="20438"/>
                <wp:lineTo x="11292" y="19236"/>
                <wp:lineTo x="21426" y="12022"/>
                <wp:lineTo x="21426" y="1202"/>
                <wp:lineTo x="17083" y="0"/>
                <wp:lineTo x="0" y="0"/>
              </wp:wrapPolygon>
            </wp:wrapTight>
            <wp:docPr id="12" name="Picture 14" descr="http://multicore.doc.ic.ac.uk/images/logo_imperial_college_lond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ulticore.doc.ic.ac.uk/images/logo_imperial_college_londo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130" cy="342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483">
        <w:rPr>
          <w:noProof/>
          <w:lang w:val="en-GB" w:eastAsia="en-GB"/>
        </w:rPr>
        <mc:AlternateContent>
          <mc:Choice Requires="wps">
            <w:drawing>
              <wp:anchor distT="0" distB="0" distL="114300" distR="114300" simplePos="0" relativeHeight="251661312" behindDoc="0" locked="0" layoutInCell="1" allowOverlap="1" wp14:anchorId="13B98184" wp14:editId="4EAA72BA">
                <wp:simplePos x="0" y="0"/>
                <wp:positionH relativeFrom="column">
                  <wp:posOffset>-64116</wp:posOffset>
                </wp:positionH>
                <wp:positionV relativeFrom="paragraph">
                  <wp:posOffset>13</wp:posOffset>
                </wp:positionV>
                <wp:extent cx="761365" cy="345440"/>
                <wp:effectExtent l="0" t="0" r="0" b="10160"/>
                <wp:wrapSquare wrapText="bothSides"/>
                <wp:docPr id="8" name="Text Box 8"/>
                <wp:cNvGraphicFramePr/>
                <a:graphic xmlns:a="http://schemas.openxmlformats.org/drawingml/2006/main">
                  <a:graphicData uri="http://schemas.microsoft.com/office/word/2010/wordprocessingShape">
                    <wps:wsp>
                      <wps:cNvSpPr txBox="1"/>
                      <wps:spPr>
                        <a:xfrm>
                          <a:off x="0" y="0"/>
                          <a:ext cx="761365" cy="345440"/>
                        </a:xfrm>
                        <a:prstGeom prst="rect">
                          <a:avLst/>
                        </a:prstGeom>
                        <a:noFill/>
                        <a:ln>
                          <a:noFill/>
                        </a:ln>
                        <a:effectLst/>
                      </wps:spPr>
                      <wps:txbx>
                        <w:txbxContent>
                          <w:p w:rsidR="00CF68AF" w:rsidRPr="00BE4E1C" w:rsidRDefault="00CF68AF" w:rsidP="00CF68AF">
                            <w:r w:rsidRPr="00BE4E1C">
                              <w:t>Funders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98184" id="_x0000_t202" coordsize="21600,21600" o:spt="202" path="m,l,21600r21600,l21600,xe">
                <v:stroke joinstyle="miter"/>
                <v:path gradientshapeok="t" o:connecttype="rect"/>
              </v:shapetype>
              <v:shape id="Text Box 8" o:spid="_x0000_s1026" type="#_x0000_t202" style="position:absolute;margin-left:-5.05pt;margin-top:0;width:59.95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" filled="f" stroked="f">
                <v:textbox>
                  <w:txbxContent>
                    <w:p w:rsidR="00CF68AF" w:rsidRPr="00BE4E1C" w:rsidRDefault="00CF68AF" w:rsidP="00CF68AF">
                      <w:r w:rsidRPr="00BE4E1C">
                        <w:t>Funders</w:t>
                      </w:r>
                    </w:p>
                  </w:txbxContent>
                </v:textbox>
                <w10:wrap type="square"/>
              </v:shape>
            </w:pict>
          </mc:Fallback>
        </mc:AlternateContent>
      </w:r>
      <w:r w:rsidRPr="003D4483">
        <w:rPr>
          <w:noProof/>
          <w:lang w:val="en-GB" w:eastAsia="en-GB"/>
        </w:rPr>
        <mc:AlternateContent>
          <mc:Choice Requires="wps">
            <w:drawing>
              <wp:anchor distT="0" distB="0" distL="114300" distR="114300" simplePos="0" relativeHeight="251660288" behindDoc="0" locked="0" layoutInCell="1" allowOverlap="1" wp14:anchorId="7C00383C" wp14:editId="2F7A60DD">
                <wp:simplePos x="0" y="0"/>
                <wp:positionH relativeFrom="column">
                  <wp:posOffset>3561080</wp:posOffset>
                </wp:positionH>
                <wp:positionV relativeFrom="paragraph">
                  <wp:posOffset>19050</wp:posOffset>
                </wp:positionV>
                <wp:extent cx="761365" cy="345440"/>
                <wp:effectExtent l="0" t="0" r="0" b="10160"/>
                <wp:wrapSquare wrapText="bothSides"/>
                <wp:docPr id="7" name="Text Box 7"/>
                <wp:cNvGraphicFramePr/>
                <a:graphic xmlns:a="http://schemas.openxmlformats.org/drawingml/2006/main">
                  <a:graphicData uri="http://schemas.microsoft.com/office/word/2010/wordprocessingShape">
                    <wps:wsp>
                      <wps:cNvSpPr txBox="1"/>
                      <wps:spPr>
                        <a:xfrm>
                          <a:off x="0" y="0"/>
                          <a:ext cx="761365" cy="345440"/>
                        </a:xfrm>
                        <a:prstGeom prst="rect">
                          <a:avLst/>
                        </a:prstGeom>
                        <a:noFill/>
                        <a:ln>
                          <a:noFill/>
                        </a:ln>
                        <a:effectLst/>
                      </wps:spPr>
                      <wps:txbx>
                        <w:txbxContent>
                          <w:p w:rsidR="00CF68AF" w:rsidRPr="00BE4E1C" w:rsidRDefault="00CF68AF" w:rsidP="00CF68AF">
                            <w:r w:rsidRPr="00BE4E1C">
                              <w:t>Sponsors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0383C" id="Text Box 7" o:spid="_x0000_s1027" type="#_x0000_t202" style="position:absolute;margin-left:280.4pt;margin-top:1.5pt;width:59.95pt;height: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" filled="f" stroked="f">
                <v:textbox>
                  <w:txbxContent>
                    <w:p w:rsidR="00CF68AF" w:rsidRPr="00BE4E1C" w:rsidRDefault="00CF68AF" w:rsidP="00CF68AF">
                      <w:r w:rsidRPr="00BE4E1C">
                        <w:t>Sponsors</w:t>
                      </w:r>
                    </w:p>
                  </w:txbxContent>
                </v:textbox>
                <w10:wrap type="square"/>
              </v:shape>
            </w:pict>
          </mc:Fallback>
        </mc:AlternateContent>
      </w:r>
    </w:p>
    <w:p w:rsidR="00CF68AF" w:rsidRPr="003D4483" w:rsidRDefault="00CF68AF" w:rsidP="00CF68AF">
      <w:pPr>
        <w:pStyle w:val="TOCHeading"/>
        <w:numPr>
          <w:ilvl w:val="0"/>
          <w:numId w:val="0"/>
        </w:numPr>
        <w:ind w:left="644" w:hanging="360"/>
        <w:rPr>
          <w:rFonts w:asciiTheme="minorHAnsi" w:hAnsiTheme="minorHAnsi"/>
          <w:u w:val="single"/>
          <w:shd w:val="clear" w:color="auto" w:fill="FFFFFF"/>
        </w:rPr>
      </w:pPr>
    </w:p>
    <w:p w:rsidR="00CF68AF" w:rsidRPr="00CF68AF" w:rsidRDefault="00CF68AF" w:rsidP="00CF68AF">
      <w:pPr>
        <w:pStyle w:val="TOCHeading"/>
        <w:numPr>
          <w:ilvl w:val="0"/>
          <w:numId w:val="0"/>
        </w:numPr>
        <w:jc w:val="center"/>
        <w:rPr>
          <w:rFonts w:asciiTheme="minorHAnsi" w:hAnsiTheme="minorHAnsi"/>
          <w:iCs/>
          <w:sz w:val="48"/>
          <w:shd w:val="clear" w:color="auto" w:fill="FFFFFF"/>
        </w:rPr>
      </w:pPr>
      <w:r w:rsidRPr="00CF68AF">
        <w:rPr>
          <w:rFonts w:asciiTheme="minorHAnsi" w:hAnsiTheme="minorHAnsi"/>
          <w:iCs/>
          <w:sz w:val="48"/>
          <w:u w:val="single"/>
          <w:shd w:val="clear" w:color="auto" w:fill="FFFFFF"/>
        </w:rPr>
        <w:t>SEVU</w:t>
      </w:r>
      <w:r w:rsidRPr="00CF68AF">
        <w:rPr>
          <w:rFonts w:asciiTheme="minorHAnsi" w:hAnsiTheme="minorHAnsi"/>
          <w:iCs/>
          <w:sz w:val="48"/>
          <w:shd w:val="clear" w:color="auto" w:fill="FFFFFF"/>
        </w:rPr>
        <w:t xml:space="preserve">parin as a potential </w:t>
      </w:r>
      <w:r w:rsidRPr="00CF68AF">
        <w:rPr>
          <w:rFonts w:asciiTheme="minorHAnsi" w:hAnsiTheme="minorHAnsi"/>
          <w:iCs/>
          <w:sz w:val="48"/>
          <w:u w:val="single"/>
          <w:shd w:val="clear" w:color="auto" w:fill="FFFFFF"/>
        </w:rPr>
        <w:t>A</w:t>
      </w:r>
      <w:r w:rsidRPr="00CF68AF">
        <w:rPr>
          <w:rFonts w:asciiTheme="minorHAnsi" w:hAnsiTheme="minorHAnsi"/>
          <w:iCs/>
          <w:sz w:val="48"/>
          <w:shd w:val="clear" w:color="auto" w:fill="FFFFFF"/>
        </w:rPr>
        <w:t xml:space="preserve">djunctive </w:t>
      </w:r>
      <w:r w:rsidRPr="00CF68AF">
        <w:rPr>
          <w:rFonts w:asciiTheme="minorHAnsi" w:hAnsiTheme="minorHAnsi"/>
          <w:iCs/>
          <w:sz w:val="48"/>
          <w:u w:val="single"/>
          <w:shd w:val="clear" w:color="auto" w:fill="FFFFFF"/>
        </w:rPr>
        <w:t>T</w:t>
      </w:r>
      <w:r w:rsidRPr="00CF68AF">
        <w:rPr>
          <w:rFonts w:asciiTheme="minorHAnsi" w:hAnsiTheme="minorHAnsi"/>
          <w:iCs/>
          <w:sz w:val="48"/>
          <w:shd w:val="clear" w:color="auto" w:fill="FFFFFF"/>
        </w:rPr>
        <w:t>reatment in children with severe malaria</w:t>
      </w:r>
    </w:p>
    <w:p w:rsidR="00CF68AF" w:rsidRDefault="00CF68AF" w:rsidP="00CF68AF">
      <w:pPr>
        <w:pStyle w:val="TOCHeading"/>
        <w:numPr>
          <w:ilvl w:val="0"/>
          <w:numId w:val="0"/>
        </w:numPr>
        <w:jc w:val="center"/>
        <w:rPr>
          <w:rFonts w:asciiTheme="minorHAnsi" w:hAnsiTheme="minorHAnsi"/>
          <w:sz w:val="44"/>
          <w:szCs w:val="44"/>
          <w:shd w:val="clear" w:color="auto" w:fill="FFFFFF"/>
        </w:rPr>
      </w:pPr>
      <w:r w:rsidRPr="003D4483">
        <w:rPr>
          <w:rFonts w:asciiTheme="minorHAnsi" w:hAnsiTheme="minorHAnsi"/>
          <w:sz w:val="44"/>
          <w:szCs w:val="44"/>
          <w:shd w:val="clear" w:color="auto" w:fill="FFFFFF"/>
        </w:rPr>
        <w:t>(</w:t>
      </w:r>
      <w:r>
        <w:rPr>
          <w:rFonts w:asciiTheme="minorHAnsi" w:hAnsiTheme="minorHAnsi"/>
          <w:sz w:val="44"/>
          <w:szCs w:val="44"/>
          <w:shd w:val="clear" w:color="auto" w:fill="FFFFFF"/>
        </w:rPr>
        <w:t xml:space="preserve">SEVUSMART </w:t>
      </w:r>
      <w:r w:rsidRPr="003D4483">
        <w:rPr>
          <w:rFonts w:asciiTheme="minorHAnsi" w:hAnsiTheme="minorHAnsi"/>
          <w:sz w:val="44"/>
          <w:szCs w:val="44"/>
          <w:shd w:val="clear" w:color="auto" w:fill="FFFFFF"/>
        </w:rPr>
        <w:t>trial)</w:t>
      </w:r>
    </w:p>
    <w:p w:rsidR="00CF68AF" w:rsidRPr="004945E4" w:rsidRDefault="00CF68AF" w:rsidP="00CF68AF">
      <w:pPr>
        <w:jc w:val="center"/>
        <w:rPr>
          <w:sz w:val="3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2"/>
        <w:gridCol w:w="2199"/>
        <w:gridCol w:w="2736"/>
        <w:gridCol w:w="1253"/>
      </w:tblGrid>
      <w:tr w:rsidR="00CF68AF" w:rsidRPr="00B350C6" w:rsidTr="005106A2">
        <w:tc>
          <w:tcPr>
            <w:tcW w:w="9050" w:type="dxa"/>
            <w:gridSpan w:val="4"/>
            <w:shd w:val="clear" w:color="auto" w:fill="D9D9D9"/>
          </w:tcPr>
          <w:p w:rsidR="00CF68AF" w:rsidRPr="00B350C6" w:rsidRDefault="00CF68AF" w:rsidP="005106A2">
            <w:pPr>
              <w:spacing w:before="240" w:after="60"/>
              <w:jc w:val="center"/>
              <w:outlineLvl w:val="5"/>
              <w:rPr>
                <w:b/>
                <w:bCs/>
                <w:sz w:val="36"/>
              </w:rPr>
            </w:pPr>
            <w:r>
              <w:rPr>
                <w:b/>
                <w:bCs/>
                <w:sz w:val="36"/>
              </w:rPr>
              <w:t>Statistical Analysis Plan</w:t>
            </w:r>
          </w:p>
        </w:tc>
      </w:tr>
      <w:tr w:rsidR="00CF68AF" w:rsidRPr="00B350C6" w:rsidTr="005106A2">
        <w:trPr>
          <w:cantSplit/>
        </w:trPr>
        <w:tc>
          <w:tcPr>
            <w:tcW w:w="9050" w:type="dxa"/>
            <w:gridSpan w:val="4"/>
            <w:tcBorders>
              <w:bottom w:val="single" w:sz="4" w:space="0" w:color="auto"/>
            </w:tcBorders>
          </w:tcPr>
          <w:p w:rsidR="00CF68AF" w:rsidRPr="00B350C6" w:rsidRDefault="00CF68AF" w:rsidP="005106A2">
            <w:pPr>
              <w:spacing w:before="60" w:after="60"/>
              <w:jc w:val="center"/>
              <w:rPr>
                <w:color w:val="000000"/>
                <w:sz w:val="24"/>
              </w:rPr>
            </w:pPr>
            <w:r w:rsidRPr="00B350C6">
              <w:rPr>
                <w:color w:val="000000"/>
                <w:sz w:val="24"/>
              </w:rPr>
              <w:t>Versi</w:t>
            </w:r>
            <w:r>
              <w:rPr>
                <w:color w:val="000000"/>
                <w:sz w:val="24"/>
              </w:rPr>
              <w:t>on Number and Date: Draft 0.2</w:t>
            </w:r>
            <w:r w:rsidR="00670BE0">
              <w:rPr>
                <w:color w:val="000000"/>
                <w:sz w:val="24"/>
              </w:rPr>
              <w:t xml:space="preserve"> 18</w:t>
            </w:r>
            <w:r w:rsidR="00670BE0" w:rsidRPr="00670BE0">
              <w:rPr>
                <w:color w:val="000000"/>
                <w:sz w:val="24"/>
                <w:vertAlign w:val="superscript"/>
              </w:rPr>
              <w:t>th</w:t>
            </w:r>
            <w:r w:rsidR="00670BE0">
              <w:rPr>
                <w:color w:val="000000"/>
                <w:sz w:val="24"/>
              </w:rPr>
              <w:t xml:space="preserve"> June 2020</w:t>
            </w:r>
          </w:p>
          <w:p w:rsidR="00CF68AF" w:rsidRPr="00B350C6" w:rsidRDefault="00CF68AF" w:rsidP="00CF68AF">
            <w:pPr>
              <w:spacing w:before="60" w:after="60"/>
              <w:jc w:val="center"/>
              <w:rPr>
                <w:color w:val="000000"/>
                <w:sz w:val="24"/>
              </w:rPr>
            </w:pPr>
            <w:r w:rsidRPr="00B350C6">
              <w:rPr>
                <w:color w:val="000000"/>
                <w:sz w:val="24"/>
              </w:rPr>
              <w:t xml:space="preserve">Supersedes version: </w:t>
            </w:r>
            <w:r>
              <w:rPr>
                <w:color w:val="000000"/>
                <w:sz w:val="24"/>
              </w:rPr>
              <w:t>Draft 0.1 (protocol) 8</w:t>
            </w:r>
            <w:r w:rsidRPr="00CF68AF">
              <w:rPr>
                <w:color w:val="000000"/>
                <w:sz w:val="24"/>
                <w:vertAlign w:val="superscript"/>
              </w:rPr>
              <w:t>th</w:t>
            </w:r>
            <w:r>
              <w:rPr>
                <w:color w:val="000000"/>
                <w:sz w:val="24"/>
              </w:rPr>
              <w:t xml:space="preserve"> Feb 2019</w:t>
            </w:r>
          </w:p>
        </w:tc>
      </w:tr>
      <w:tr w:rsidR="00CF68AF" w:rsidRPr="00B350C6" w:rsidTr="00CB7852">
        <w:tblPrEx>
          <w:tblBorders>
            <w:insideH w:val="none" w:sz="0" w:space="0" w:color="auto"/>
            <w:insideV w:val="none" w:sz="0" w:space="0" w:color="auto"/>
          </w:tblBorders>
        </w:tblPrEx>
        <w:trPr>
          <w:cantSplit/>
        </w:trPr>
        <w:tc>
          <w:tcPr>
            <w:tcW w:w="3263" w:type="dxa"/>
            <w:tcBorders>
              <w:top w:val="single" w:sz="4" w:space="0" w:color="auto"/>
              <w:bottom w:val="single" w:sz="4" w:space="0" w:color="auto"/>
              <w:right w:val="single" w:sz="4" w:space="0" w:color="auto"/>
            </w:tcBorders>
          </w:tcPr>
          <w:p w:rsidR="00CF68AF" w:rsidRPr="00B350C6" w:rsidRDefault="00CF68AF" w:rsidP="005106A2">
            <w:pPr>
              <w:spacing w:before="60" w:after="60"/>
              <w:jc w:val="both"/>
              <w:rPr>
                <w:b/>
                <w:color w:val="000000"/>
                <w:sz w:val="24"/>
                <w:lang w:val="fr-FR"/>
              </w:rPr>
            </w:pPr>
            <w:proofErr w:type="spellStart"/>
            <w:r w:rsidRPr="00B350C6">
              <w:rPr>
                <w:b/>
                <w:color w:val="000000"/>
                <w:sz w:val="24"/>
                <w:lang w:val="fr-FR"/>
              </w:rPr>
              <w:t>Author</w:t>
            </w:r>
            <w:proofErr w:type="spellEnd"/>
          </w:p>
        </w:tc>
        <w:tc>
          <w:tcPr>
            <w:tcW w:w="2396" w:type="dxa"/>
            <w:tcBorders>
              <w:top w:val="single" w:sz="4" w:space="0" w:color="auto"/>
              <w:left w:val="single" w:sz="4" w:space="0" w:color="auto"/>
              <w:bottom w:val="single" w:sz="4" w:space="0" w:color="auto"/>
              <w:right w:val="single" w:sz="4" w:space="0" w:color="auto"/>
            </w:tcBorders>
          </w:tcPr>
          <w:p w:rsidR="00CF68AF" w:rsidRPr="00B350C6" w:rsidRDefault="00CF68AF" w:rsidP="005106A2">
            <w:pPr>
              <w:spacing w:before="60" w:after="60"/>
              <w:jc w:val="both"/>
              <w:rPr>
                <w:b/>
                <w:color w:val="000000"/>
                <w:sz w:val="24"/>
              </w:rPr>
            </w:pPr>
            <w:r w:rsidRPr="00B350C6">
              <w:rPr>
                <w:b/>
                <w:color w:val="000000"/>
                <w:sz w:val="24"/>
                <w:lang w:val="fr-FR"/>
              </w:rPr>
              <w:t>Position</w:t>
            </w:r>
          </w:p>
        </w:tc>
        <w:tc>
          <w:tcPr>
            <w:tcW w:w="2259" w:type="dxa"/>
            <w:tcBorders>
              <w:top w:val="single" w:sz="4" w:space="0" w:color="auto"/>
              <w:left w:val="single" w:sz="4" w:space="0" w:color="auto"/>
              <w:bottom w:val="single" w:sz="4" w:space="0" w:color="auto"/>
              <w:right w:val="single" w:sz="4" w:space="0" w:color="auto"/>
            </w:tcBorders>
          </w:tcPr>
          <w:p w:rsidR="00CF68AF" w:rsidRPr="00B350C6" w:rsidRDefault="00CF68AF" w:rsidP="005106A2">
            <w:pPr>
              <w:spacing w:before="60" w:after="60"/>
              <w:jc w:val="both"/>
              <w:rPr>
                <w:b/>
                <w:color w:val="000000"/>
                <w:sz w:val="24"/>
              </w:rPr>
            </w:pPr>
            <w:r w:rsidRPr="00B350C6">
              <w:rPr>
                <w:b/>
                <w:color w:val="000000"/>
                <w:sz w:val="24"/>
                <w:lang w:val="fr-FR"/>
              </w:rPr>
              <w:t>Signature</w:t>
            </w:r>
          </w:p>
        </w:tc>
        <w:tc>
          <w:tcPr>
            <w:tcW w:w="1132" w:type="dxa"/>
            <w:tcBorders>
              <w:top w:val="single" w:sz="4" w:space="0" w:color="auto"/>
              <w:left w:val="single" w:sz="4" w:space="0" w:color="auto"/>
              <w:bottom w:val="single" w:sz="4" w:space="0" w:color="auto"/>
            </w:tcBorders>
          </w:tcPr>
          <w:p w:rsidR="00CF68AF" w:rsidRPr="00B350C6" w:rsidRDefault="00CF68AF" w:rsidP="005106A2">
            <w:pPr>
              <w:spacing w:before="60" w:after="60"/>
              <w:jc w:val="both"/>
              <w:rPr>
                <w:b/>
                <w:color w:val="000000"/>
                <w:sz w:val="24"/>
              </w:rPr>
            </w:pPr>
            <w:r w:rsidRPr="00B350C6">
              <w:rPr>
                <w:b/>
                <w:color w:val="000000"/>
                <w:sz w:val="24"/>
                <w:lang w:val="fr-FR"/>
              </w:rPr>
              <w:t>Date</w:t>
            </w:r>
          </w:p>
        </w:tc>
      </w:tr>
      <w:tr w:rsidR="00CF68AF" w:rsidRPr="00B350C6" w:rsidTr="00CB7852">
        <w:tblPrEx>
          <w:tblBorders>
            <w:insideH w:val="none" w:sz="0" w:space="0" w:color="auto"/>
            <w:insideV w:val="none" w:sz="0" w:space="0" w:color="auto"/>
          </w:tblBorders>
        </w:tblPrEx>
        <w:trPr>
          <w:cantSplit/>
        </w:trPr>
        <w:tc>
          <w:tcPr>
            <w:tcW w:w="3263" w:type="dxa"/>
            <w:tcBorders>
              <w:top w:val="single" w:sz="4" w:space="0" w:color="auto"/>
              <w:bottom w:val="single" w:sz="4" w:space="0" w:color="auto"/>
              <w:right w:val="single" w:sz="4" w:space="0" w:color="auto"/>
            </w:tcBorders>
          </w:tcPr>
          <w:p w:rsidR="00CF68AF" w:rsidRPr="00B350C6" w:rsidRDefault="00CF68AF" w:rsidP="005106A2">
            <w:pPr>
              <w:spacing w:before="60" w:after="60"/>
              <w:jc w:val="both"/>
              <w:rPr>
                <w:color w:val="000000"/>
                <w:sz w:val="24"/>
              </w:rPr>
            </w:pPr>
            <w:r>
              <w:rPr>
                <w:color w:val="000000"/>
                <w:sz w:val="24"/>
              </w:rPr>
              <w:t>Elizabeth George</w:t>
            </w:r>
          </w:p>
        </w:tc>
        <w:tc>
          <w:tcPr>
            <w:tcW w:w="2396" w:type="dxa"/>
            <w:tcBorders>
              <w:top w:val="single" w:sz="4" w:space="0" w:color="auto"/>
              <w:left w:val="single" w:sz="4" w:space="0" w:color="auto"/>
              <w:bottom w:val="single" w:sz="4" w:space="0" w:color="auto"/>
              <w:right w:val="single" w:sz="4" w:space="0" w:color="auto"/>
            </w:tcBorders>
          </w:tcPr>
          <w:p w:rsidR="00CF68AF" w:rsidRPr="00B350C6" w:rsidRDefault="00CF68AF" w:rsidP="005106A2">
            <w:pPr>
              <w:spacing w:before="60" w:after="60"/>
              <w:jc w:val="both"/>
              <w:rPr>
                <w:color w:val="000000"/>
                <w:sz w:val="24"/>
              </w:rPr>
            </w:pPr>
            <w:r>
              <w:rPr>
                <w:color w:val="000000"/>
                <w:sz w:val="24"/>
              </w:rPr>
              <w:t>Trial</w:t>
            </w:r>
            <w:r w:rsidRPr="00B350C6">
              <w:rPr>
                <w:color w:val="000000"/>
                <w:sz w:val="24"/>
              </w:rPr>
              <w:t xml:space="preserve"> Statistician</w:t>
            </w:r>
          </w:p>
        </w:tc>
        <w:tc>
          <w:tcPr>
            <w:tcW w:w="2259" w:type="dxa"/>
            <w:tcBorders>
              <w:top w:val="single" w:sz="4" w:space="0" w:color="auto"/>
              <w:left w:val="single" w:sz="4" w:space="0" w:color="auto"/>
              <w:bottom w:val="single" w:sz="4" w:space="0" w:color="auto"/>
              <w:right w:val="single" w:sz="4" w:space="0" w:color="auto"/>
            </w:tcBorders>
          </w:tcPr>
          <w:p w:rsidR="00CF68AF" w:rsidRPr="00B350C6" w:rsidRDefault="009F58D6" w:rsidP="005106A2">
            <w:pPr>
              <w:spacing w:before="60" w:after="60"/>
              <w:jc w:val="both"/>
              <w:rPr>
                <w:color w:val="000000"/>
                <w:sz w:val="24"/>
              </w:rPr>
            </w:pPr>
            <w:r>
              <w:rPr>
                <w:noProof/>
                <w:color w:val="000000"/>
                <w:sz w:val="24"/>
                <w:lang w:val="en-GB" w:eastAsia="en-GB"/>
              </w:rPr>
              <w:drawing>
                <wp:inline distT="0" distB="0" distL="0" distR="0">
                  <wp:extent cx="866775" cy="5534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_George.PNG"/>
                          <pic:cNvPicPr/>
                        </pic:nvPicPr>
                        <pic:blipFill>
                          <a:blip r:embed="rId9">
                            <a:extLst>
                              <a:ext uri="{28A0092B-C50C-407E-A947-70E740481C1C}">
                                <a14:useLocalDpi xmlns:a14="http://schemas.microsoft.com/office/drawing/2010/main" val="0"/>
                              </a:ext>
                            </a:extLst>
                          </a:blip>
                          <a:stretch>
                            <a:fillRect/>
                          </a:stretch>
                        </pic:blipFill>
                        <pic:spPr>
                          <a:xfrm>
                            <a:off x="0" y="0"/>
                            <a:ext cx="874805" cy="558530"/>
                          </a:xfrm>
                          <a:prstGeom prst="rect">
                            <a:avLst/>
                          </a:prstGeom>
                        </pic:spPr>
                      </pic:pic>
                    </a:graphicData>
                  </a:graphic>
                </wp:inline>
              </w:drawing>
            </w:r>
          </w:p>
        </w:tc>
        <w:tc>
          <w:tcPr>
            <w:tcW w:w="1132" w:type="dxa"/>
            <w:tcBorders>
              <w:top w:val="single" w:sz="4" w:space="0" w:color="auto"/>
              <w:left w:val="single" w:sz="4" w:space="0" w:color="auto"/>
              <w:bottom w:val="single" w:sz="4" w:space="0" w:color="auto"/>
            </w:tcBorders>
          </w:tcPr>
          <w:p w:rsidR="00CF68AF" w:rsidRPr="00B350C6" w:rsidRDefault="009F58D6" w:rsidP="005106A2">
            <w:pPr>
              <w:spacing w:before="60" w:after="60"/>
              <w:jc w:val="both"/>
              <w:rPr>
                <w:color w:val="000000"/>
                <w:sz w:val="24"/>
              </w:rPr>
            </w:pPr>
            <w:r>
              <w:rPr>
                <w:color w:val="000000"/>
                <w:sz w:val="24"/>
              </w:rPr>
              <w:t>2/9/2020</w:t>
            </w:r>
          </w:p>
        </w:tc>
      </w:tr>
      <w:tr w:rsidR="00CF68AF" w:rsidRPr="00B350C6" w:rsidTr="00CB7852">
        <w:tblPrEx>
          <w:tblBorders>
            <w:insideH w:val="none" w:sz="0" w:space="0" w:color="auto"/>
            <w:insideV w:val="none" w:sz="0" w:space="0" w:color="auto"/>
          </w:tblBorders>
        </w:tblPrEx>
        <w:trPr>
          <w:cantSplit/>
        </w:trPr>
        <w:tc>
          <w:tcPr>
            <w:tcW w:w="3263" w:type="dxa"/>
            <w:tcBorders>
              <w:top w:val="single" w:sz="4" w:space="0" w:color="auto"/>
              <w:bottom w:val="single" w:sz="4" w:space="0" w:color="auto"/>
              <w:right w:val="single" w:sz="4" w:space="0" w:color="auto"/>
            </w:tcBorders>
          </w:tcPr>
          <w:p w:rsidR="00CF68AF" w:rsidRPr="00B350C6" w:rsidRDefault="00CF68AF" w:rsidP="005106A2">
            <w:pPr>
              <w:spacing w:before="60" w:after="60"/>
              <w:jc w:val="both"/>
              <w:rPr>
                <w:b/>
                <w:bCs/>
                <w:color w:val="000000"/>
                <w:sz w:val="24"/>
              </w:rPr>
            </w:pPr>
          </w:p>
        </w:tc>
        <w:tc>
          <w:tcPr>
            <w:tcW w:w="2396" w:type="dxa"/>
            <w:tcBorders>
              <w:top w:val="single" w:sz="4" w:space="0" w:color="auto"/>
              <w:left w:val="single" w:sz="4" w:space="0" w:color="auto"/>
              <w:bottom w:val="single" w:sz="4" w:space="0" w:color="auto"/>
              <w:right w:val="single" w:sz="4" w:space="0" w:color="auto"/>
            </w:tcBorders>
          </w:tcPr>
          <w:p w:rsidR="00CF68AF" w:rsidRPr="00B350C6" w:rsidRDefault="00CF68AF" w:rsidP="005106A2">
            <w:pPr>
              <w:spacing w:before="60" w:after="60"/>
              <w:jc w:val="both"/>
              <w:rPr>
                <w:color w:val="000000"/>
                <w:sz w:val="24"/>
              </w:rPr>
            </w:pPr>
          </w:p>
        </w:tc>
        <w:tc>
          <w:tcPr>
            <w:tcW w:w="2259" w:type="dxa"/>
            <w:tcBorders>
              <w:top w:val="single" w:sz="4" w:space="0" w:color="auto"/>
              <w:left w:val="single" w:sz="4" w:space="0" w:color="auto"/>
              <w:bottom w:val="single" w:sz="4" w:space="0" w:color="auto"/>
              <w:right w:val="single" w:sz="4" w:space="0" w:color="auto"/>
            </w:tcBorders>
          </w:tcPr>
          <w:p w:rsidR="00CF68AF" w:rsidRPr="00B350C6" w:rsidRDefault="00CF68AF" w:rsidP="005106A2">
            <w:pPr>
              <w:spacing w:before="60" w:after="60"/>
              <w:jc w:val="both"/>
              <w:rPr>
                <w:b/>
                <w:color w:val="000000"/>
                <w:sz w:val="24"/>
              </w:rPr>
            </w:pPr>
          </w:p>
        </w:tc>
        <w:tc>
          <w:tcPr>
            <w:tcW w:w="1132" w:type="dxa"/>
            <w:tcBorders>
              <w:top w:val="single" w:sz="4" w:space="0" w:color="auto"/>
              <w:left w:val="single" w:sz="4" w:space="0" w:color="auto"/>
              <w:bottom w:val="single" w:sz="4" w:space="0" w:color="auto"/>
            </w:tcBorders>
          </w:tcPr>
          <w:p w:rsidR="00CF68AF" w:rsidRPr="00B350C6" w:rsidRDefault="00CF68AF" w:rsidP="005106A2">
            <w:pPr>
              <w:spacing w:before="60" w:after="60"/>
              <w:jc w:val="both"/>
              <w:rPr>
                <w:b/>
                <w:color w:val="000000"/>
                <w:sz w:val="24"/>
              </w:rPr>
            </w:pPr>
          </w:p>
        </w:tc>
      </w:tr>
      <w:tr w:rsidR="00CF68AF" w:rsidRPr="00B350C6" w:rsidTr="00CB7852">
        <w:tblPrEx>
          <w:tblBorders>
            <w:insideH w:val="none" w:sz="0" w:space="0" w:color="auto"/>
            <w:insideV w:val="none" w:sz="0" w:space="0" w:color="auto"/>
          </w:tblBorders>
        </w:tblPrEx>
        <w:trPr>
          <w:cantSplit/>
        </w:trPr>
        <w:tc>
          <w:tcPr>
            <w:tcW w:w="3263" w:type="dxa"/>
            <w:tcBorders>
              <w:top w:val="single" w:sz="4" w:space="0" w:color="auto"/>
              <w:bottom w:val="single" w:sz="4" w:space="0" w:color="auto"/>
              <w:right w:val="single" w:sz="4" w:space="0" w:color="auto"/>
            </w:tcBorders>
          </w:tcPr>
          <w:p w:rsidR="00CF68AF" w:rsidRPr="00B350C6" w:rsidRDefault="00CF68AF" w:rsidP="005106A2">
            <w:pPr>
              <w:spacing w:before="60" w:after="60"/>
              <w:jc w:val="both"/>
              <w:rPr>
                <w:b/>
                <w:bCs/>
                <w:color w:val="000000"/>
                <w:sz w:val="24"/>
              </w:rPr>
            </w:pPr>
            <w:r w:rsidRPr="00B350C6">
              <w:rPr>
                <w:b/>
                <w:bCs/>
                <w:color w:val="000000"/>
                <w:sz w:val="24"/>
              </w:rPr>
              <w:t>Approved by</w:t>
            </w:r>
          </w:p>
        </w:tc>
        <w:tc>
          <w:tcPr>
            <w:tcW w:w="2396" w:type="dxa"/>
            <w:tcBorders>
              <w:top w:val="single" w:sz="4" w:space="0" w:color="auto"/>
              <w:left w:val="single" w:sz="4" w:space="0" w:color="auto"/>
              <w:bottom w:val="single" w:sz="4" w:space="0" w:color="auto"/>
              <w:right w:val="single" w:sz="4" w:space="0" w:color="auto"/>
            </w:tcBorders>
          </w:tcPr>
          <w:p w:rsidR="00CF68AF" w:rsidRPr="00B350C6" w:rsidRDefault="00CF68AF" w:rsidP="005106A2">
            <w:pPr>
              <w:spacing w:before="60" w:after="60"/>
              <w:jc w:val="both"/>
              <w:rPr>
                <w:color w:val="000000"/>
                <w:sz w:val="24"/>
              </w:rPr>
            </w:pPr>
          </w:p>
        </w:tc>
        <w:tc>
          <w:tcPr>
            <w:tcW w:w="2259" w:type="dxa"/>
            <w:tcBorders>
              <w:top w:val="single" w:sz="4" w:space="0" w:color="auto"/>
              <w:left w:val="single" w:sz="4" w:space="0" w:color="auto"/>
              <w:bottom w:val="single" w:sz="4" w:space="0" w:color="auto"/>
              <w:right w:val="single" w:sz="4" w:space="0" w:color="auto"/>
            </w:tcBorders>
          </w:tcPr>
          <w:p w:rsidR="00CF68AF" w:rsidRPr="00B350C6" w:rsidRDefault="00CF68AF" w:rsidP="005106A2">
            <w:pPr>
              <w:spacing w:before="60" w:after="60"/>
              <w:jc w:val="both"/>
              <w:rPr>
                <w:b/>
                <w:color w:val="000000"/>
                <w:sz w:val="24"/>
              </w:rPr>
            </w:pPr>
          </w:p>
        </w:tc>
        <w:tc>
          <w:tcPr>
            <w:tcW w:w="1132" w:type="dxa"/>
            <w:tcBorders>
              <w:top w:val="single" w:sz="4" w:space="0" w:color="auto"/>
              <w:left w:val="single" w:sz="4" w:space="0" w:color="auto"/>
              <w:bottom w:val="single" w:sz="4" w:space="0" w:color="auto"/>
            </w:tcBorders>
          </w:tcPr>
          <w:p w:rsidR="00CF68AF" w:rsidRPr="00B350C6" w:rsidRDefault="00CF68AF" w:rsidP="005106A2">
            <w:pPr>
              <w:spacing w:before="60" w:after="60"/>
              <w:jc w:val="both"/>
              <w:rPr>
                <w:b/>
                <w:color w:val="000000"/>
                <w:sz w:val="24"/>
              </w:rPr>
            </w:pPr>
          </w:p>
        </w:tc>
      </w:tr>
      <w:tr w:rsidR="00CF68AF" w:rsidRPr="00B350C6" w:rsidTr="00CB7852">
        <w:tblPrEx>
          <w:tblBorders>
            <w:insideH w:val="none" w:sz="0" w:space="0" w:color="auto"/>
            <w:insideV w:val="none" w:sz="0" w:space="0" w:color="auto"/>
          </w:tblBorders>
        </w:tblPrEx>
        <w:trPr>
          <w:cantSplit/>
        </w:trPr>
        <w:tc>
          <w:tcPr>
            <w:tcW w:w="3263" w:type="dxa"/>
            <w:tcBorders>
              <w:top w:val="single" w:sz="4" w:space="0" w:color="auto"/>
              <w:bottom w:val="single" w:sz="4" w:space="0" w:color="auto"/>
              <w:right w:val="single" w:sz="4" w:space="0" w:color="auto"/>
            </w:tcBorders>
          </w:tcPr>
          <w:p w:rsidR="00CF68AF" w:rsidRPr="00B350C6" w:rsidRDefault="00CF68AF" w:rsidP="005106A2">
            <w:pPr>
              <w:spacing w:before="60" w:after="60"/>
              <w:jc w:val="both"/>
              <w:rPr>
                <w:color w:val="000000"/>
                <w:sz w:val="24"/>
              </w:rPr>
            </w:pPr>
            <w:r>
              <w:rPr>
                <w:color w:val="000000"/>
                <w:sz w:val="24"/>
              </w:rPr>
              <w:t>Professor Kathryn Maitland</w:t>
            </w:r>
          </w:p>
        </w:tc>
        <w:tc>
          <w:tcPr>
            <w:tcW w:w="2396" w:type="dxa"/>
            <w:tcBorders>
              <w:top w:val="single" w:sz="4" w:space="0" w:color="auto"/>
              <w:left w:val="single" w:sz="4" w:space="0" w:color="auto"/>
              <w:bottom w:val="single" w:sz="4" w:space="0" w:color="auto"/>
              <w:right w:val="single" w:sz="4" w:space="0" w:color="auto"/>
            </w:tcBorders>
          </w:tcPr>
          <w:p w:rsidR="00CF68AF" w:rsidRPr="00B350C6" w:rsidRDefault="00CF68AF" w:rsidP="005106A2">
            <w:pPr>
              <w:spacing w:before="60" w:after="60"/>
              <w:jc w:val="both"/>
              <w:rPr>
                <w:color w:val="000000"/>
                <w:sz w:val="24"/>
                <w:lang w:val="fr-FR"/>
              </w:rPr>
            </w:pPr>
            <w:r w:rsidRPr="00B350C6">
              <w:rPr>
                <w:color w:val="000000"/>
                <w:sz w:val="24"/>
                <w:lang w:val="fr-FR"/>
              </w:rPr>
              <w:t>Chief</w:t>
            </w:r>
            <w:r w:rsidR="00CB7852">
              <w:rPr>
                <w:color w:val="000000"/>
                <w:sz w:val="24"/>
                <w:lang w:val="fr-FR"/>
              </w:rPr>
              <w:t>-</w:t>
            </w:r>
            <w:proofErr w:type="spellStart"/>
            <w:r w:rsidRPr="00B350C6">
              <w:rPr>
                <w:color w:val="000000"/>
                <w:sz w:val="24"/>
                <w:lang w:val="fr-FR"/>
              </w:rPr>
              <w:t>Investigator</w:t>
            </w:r>
            <w:proofErr w:type="spellEnd"/>
          </w:p>
        </w:tc>
        <w:tc>
          <w:tcPr>
            <w:tcW w:w="2259" w:type="dxa"/>
            <w:tcBorders>
              <w:top w:val="single" w:sz="4" w:space="0" w:color="auto"/>
              <w:left w:val="single" w:sz="4" w:space="0" w:color="auto"/>
              <w:bottom w:val="single" w:sz="4" w:space="0" w:color="auto"/>
              <w:right w:val="single" w:sz="4" w:space="0" w:color="auto"/>
            </w:tcBorders>
          </w:tcPr>
          <w:p w:rsidR="00CF68AF" w:rsidRPr="00B350C6" w:rsidRDefault="00CB7852" w:rsidP="005106A2">
            <w:pPr>
              <w:spacing w:before="60" w:after="60"/>
              <w:jc w:val="both"/>
              <w:rPr>
                <w:color w:val="000000"/>
                <w:sz w:val="24"/>
                <w:lang w:val="fr-FR"/>
              </w:rPr>
            </w:pPr>
            <w:r w:rsidRPr="008746D7">
              <w:rPr>
                <w:noProof/>
                <w:lang w:val="en-GB" w:eastAsia="en-GB"/>
              </w:rPr>
              <w:drawing>
                <wp:inline distT="0" distB="0" distL="0" distR="0" wp14:anchorId="3ED6FAC6" wp14:editId="585F554B">
                  <wp:extent cx="1600200" cy="4429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621347" cy="448753"/>
                          </a:xfrm>
                          <a:prstGeom prst="rect">
                            <a:avLst/>
                          </a:prstGeom>
                          <a:noFill/>
                          <a:ln w="9525">
                            <a:noFill/>
                            <a:miter lim="800000"/>
                            <a:headEnd/>
                            <a:tailEnd/>
                          </a:ln>
                        </pic:spPr>
                      </pic:pic>
                    </a:graphicData>
                  </a:graphic>
                </wp:inline>
              </w:drawing>
            </w:r>
          </w:p>
        </w:tc>
        <w:tc>
          <w:tcPr>
            <w:tcW w:w="1132" w:type="dxa"/>
            <w:tcBorders>
              <w:top w:val="single" w:sz="4" w:space="0" w:color="auto"/>
              <w:left w:val="single" w:sz="4" w:space="0" w:color="auto"/>
              <w:bottom w:val="single" w:sz="4" w:space="0" w:color="auto"/>
            </w:tcBorders>
          </w:tcPr>
          <w:p w:rsidR="00CF68AF" w:rsidRPr="00B350C6" w:rsidRDefault="00CB7852" w:rsidP="005106A2">
            <w:pPr>
              <w:spacing w:before="60" w:after="60"/>
              <w:jc w:val="both"/>
              <w:rPr>
                <w:color w:val="000000"/>
                <w:sz w:val="24"/>
                <w:lang w:val="fr-FR"/>
              </w:rPr>
            </w:pPr>
            <w:r>
              <w:rPr>
                <w:color w:val="000000"/>
                <w:sz w:val="24"/>
                <w:lang w:val="fr-FR"/>
              </w:rPr>
              <w:t>3/09/2020</w:t>
            </w:r>
          </w:p>
        </w:tc>
      </w:tr>
    </w:tbl>
    <w:p w:rsidR="00CF68AF" w:rsidRPr="004945E4" w:rsidRDefault="00CF68AF" w:rsidP="00CF68AF"/>
    <w:p w:rsidR="00CF68AF" w:rsidRDefault="00CF68AF">
      <w:pPr>
        <w:spacing w:after="160" w:line="259" w:lineRule="auto"/>
      </w:pPr>
      <w:r>
        <w:br w:type="page"/>
      </w:r>
      <w:bookmarkStart w:id="0" w:name="_GoBack"/>
      <w:bookmarkEnd w:id="0"/>
    </w:p>
    <w:p w:rsidR="005D69EF" w:rsidRDefault="00CF68AF" w:rsidP="00CF68AF">
      <w:pPr>
        <w:pStyle w:val="Heading1"/>
      </w:pPr>
      <w:r>
        <w:lastRenderedPageBreak/>
        <w:t xml:space="preserve">Trial Design </w:t>
      </w:r>
    </w:p>
    <w:p w:rsidR="00CF68AF" w:rsidRDefault="00CF68AF" w:rsidP="00CF68AF"/>
    <w:p w:rsidR="00CF68AF" w:rsidRDefault="00CF68AF" w:rsidP="00CF68AF">
      <w:pPr>
        <w:pStyle w:val="Heading2"/>
        <w:rPr>
          <w:rFonts w:eastAsia="Times New Roman"/>
          <w:noProof/>
        </w:rPr>
      </w:pPr>
      <w:r>
        <w:rPr>
          <w:rFonts w:eastAsia="Times New Roman"/>
          <w:noProof/>
        </w:rPr>
        <w:t>Trial Outline</w:t>
      </w:r>
    </w:p>
    <w:p w:rsidR="00CF68AF" w:rsidRDefault="00CF68AF" w:rsidP="00CF68AF">
      <w:pPr>
        <w:jc w:val="both"/>
        <w:rPr>
          <w:rFonts w:ascii="Calibri" w:eastAsia="Times New Roman" w:hAnsi="Calibri"/>
          <w:bCs/>
          <w:iCs/>
          <w:noProof/>
          <w:szCs w:val="22"/>
        </w:rPr>
      </w:pPr>
    </w:p>
    <w:p w:rsidR="00CF68AF" w:rsidRPr="00CF68AF" w:rsidRDefault="00CF68AF" w:rsidP="00CF68AF">
      <w:pPr>
        <w:jc w:val="both"/>
        <w:rPr>
          <w:rFonts w:ascii="Calibri" w:eastAsia="Times New Roman" w:hAnsi="Calibri"/>
          <w:bCs/>
          <w:iCs/>
          <w:noProof/>
          <w:szCs w:val="22"/>
        </w:rPr>
      </w:pPr>
      <w:r>
        <w:rPr>
          <w:rFonts w:ascii="Calibri" w:eastAsia="Times New Roman" w:hAnsi="Calibri"/>
          <w:bCs/>
          <w:iCs/>
          <w:noProof/>
          <w:szCs w:val="22"/>
        </w:rPr>
        <w:t>The objective of this trial is t</w:t>
      </w:r>
      <w:r w:rsidRPr="00CF68AF">
        <w:rPr>
          <w:rFonts w:ascii="Calibri" w:eastAsia="Times New Roman" w:hAnsi="Calibri"/>
          <w:bCs/>
          <w:iCs/>
          <w:noProof/>
          <w:szCs w:val="22"/>
        </w:rPr>
        <w:t xml:space="preserve">o identify the </w:t>
      </w:r>
      <w:r w:rsidRPr="00CF68AF">
        <w:rPr>
          <w:rFonts w:ascii="Calibri" w:eastAsia="Times New Roman" w:hAnsi="Calibri" w:cs="Arial"/>
          <w:bCs/>
          <w:iCs/>
          <w:noProof/>
          <w:szCs w:val="22"/>
        </w:rPr>
        <w:t xml:space="preserve">maximum tolerated dose (MTD) </w:t>
      </w:r>
      <w:r w:rsidRPr="00CF68AF">
        <w:rPr>
          <w:rFonts w:ascii="Calibri" w:eastAsia="Times New Roman" w:hAnsi="Calibri"/>
          <w:bCs/>
          <w:iCs/>
          <w:noProof/>
          <w:szCs w:val="22"/>
        </w:rPr>
        <w:t>of intravenous sevuparin as an adjunctive therapy in children with severe malaria given as three infusions at 0, 8 and 16 hours using the Continual Reassessment Method (CRM) to adapt or inform subsequent doses for each child entering the trial, based on a toxicity event</w:t>
      </w:r>
      <w:r w:rsidRPr="00CF68AF">
        <w:rPr>
          <w:rFonts w:ascii="Calibri" w:eastAsia="Times New Roman" w:hAnsi="Calibri" w:cs="Arial"/>
          <w:iCs/>
          <w:noProof/>
          <w:szCs w:val="22"/>
        </w:rPr>
        <w:t xml:space="preserve"> defined as any </w:t>
      </w:r>
      <w:r w:rsidRPr="00CF68AF">
        <w:rPr>
          <w:rFonts w:ascii="Calibri" w:eastAsia="Times New Roman" w:hAnsi="Calibri" w:cs="Arial"/>
          <w:bCs/>
          <w:iCs/>
          <w:noProof/>
          <w:szCs w:val="22"/>
        </w:rPr>
        <w:t>APTT &gt;2.5 upper limit of normal (ULN) 1 hour after each dose, and updating the</w:t>
      </w:r>
      <w:r w:rsidRPr="00CF68AF">
        <w:rPr>
          <w:rFonts w:ascii="Calibri" w:eastAsia="Times New Roman" w:hAnsi="Calibri"/>
          <w:bCs/>
          <w:iCs/>
          <w:noProof/>
          <w:szCs w:val="22"/>
        </w:rPr>
        <w:t xml:space="preserve"> </w:t>
      </w:r>
      <w:r w:rsidRPr="00CF68AF">
        <w:rPr>
          <w:rFonts w:ascii="Calibri" w:eastAsia="Times New Roman" w:hAnsi="Calibri" w:cs="Arial"/>
          <w:bCs/>
          <w:iCs/>
          <w:noProof/>
          <w:szCs w:val="22"/>
        </w:rPr>
        <w:t xml:space="preserve">dose-toxicity model using the previous patients’ APTT results. </w:t>
      </w:r>
    </w:p>
    <w:p w:rsidR="00CF68AF" w:rsidRDefault="00CF68AF" w:rsidP="00CF68AF"/>
    <w:p w:rsidR="00CF68AF" w:rsidRDefault="00CF68AF" w:rsidP="00CF68AF"/>
    <w:p w:rsidR="00CF68AF" w:rsidRDefault="00CF68AF" w:rsidP="00CF68AF"/>
    <w:p w:rsidR="00CF68AF" w:rsidRDefault="00CF68AF" w:rsidP="00CF68AF"/>
    <w:p w:rsidR="00CF68AF" w:rsidRDefault="00CF68AF" w:rsidP="00CF68AF">
      <w:pPr>
        <w:pStyle w:val="Heading2"/>
      </w:pPr>
      <w:r>
        <w:t>Trial Population</w:t>
      </w:r>
    </w:p>
    <w:p w:rsidR="008715B8" w:rsidRDefault="008715B8" w:rsidP="008715B8"/>
    <w:p w:rsidR="008715B8" w:rsidRDefault="008715B8" w:rsidP="00254769">
      <w:pPr>
        <w:rPr>
          <w:noProof/>
        </w:rPr>
      </w:pPr>
      <w:bookmarkStart w:id="1" w:name="_Toc508225102"/>
      <w:bookmarkStart w:id="2" w:name="_Toc512639465"/>
      <w:r w:rsidRPr="008715B8">
        <w:rPr>
          <w:noProof/>
        </w:rPr>
        <w:t>Inclusion criteria</w:t>
      </w:r>
      <w:bookmarkEnd w:id="1"/>
      <w:bookmarkEnd w:id="2"/>
    </w:p>
    <w:p w:rsidR="00254769" w:rsidRPr="008715B8" w:rsidRDefault="00254769" w:rsidP="00254769">
      <w:pPr>
        <w:rPr>
          <w:noProof/>
        </w:rPr>
      </w:pPr>
    </w:p>
    <w:p w:rsidR="008715B8" w:rsidRPr="008715B8" w:rsidRDefault="008715B8" w:rsidP="008715B8">
      <w:pPr>
        <w:numPr>
          <w:ilvl w:val="0"/>
          <w:numId w:val="2"/>
        </w:numPr>
        <w:spacing w:after="160" w:line="240" w:lineRule="auto"/>
        <w:contextualSpacing/>
        <w:jc w:val="both"/>
        <w:rPr>
          <w:rFonts w:ascii="Calibri" w:eastAsia="Calibri" w:hAnsi="Calibri" w:cs="Arial"/>
          <w:bCs/>
          <w:szCs w:val="22"/>
        </w:rPr>
      </w:pPr>
      <w:r w:rsidRPr="008715B8">
        <w:rPr>
          <w:rFonts w:ascii="Calibri" w:eastAsia="Arial Unicode MS" w:hAnsi="Calibri" w:cs="Arial"/>
          <w:szCs w:val="22"/>
        </w:rPr>
        <w:t>Aged between 3 months and 12 years admitted to the paediatric wards within the last 24h</w:t>
      </w:r>
    </w:p>
    <w:p w:rsidR="008715B8" w:rsidRPr="008715B8" w:rsidRDefault="008715B8" w:rsidP="008715B8">
      <w:pPr>
        <w:numPr>
          <w:ilvl w:val="0"/>
          <w:numId w:val="2"/>
        </w:numPr>
        <w:spacing w:after="160" w:line="240" w:lineRule="auto"/>
        <w:contextualSpacing/>
        <w:jc w:val="both"/>
        <w:rPr>
          <w:rFonts w:ascii="Calibri" w:eastAsia="Calibri" w:hAnsi="Calibri" w:cs="Arial"/>
          <w:bCs/>
          <w:szCs w:val="22"/>
        </w:rPr>
      </w:pPr>
      <w:r w:rsidRPr="008715B8">
        <w:rPr>
          <w:rFonts w:ascii="Calibri" w:eastAsia="Calibri" w:hAnsi="Calibri" w:cs="Arial"/>
          <w:bCs/>
          <w:szCs w:val="22"/>
        </w:rPr>
        <w:t xml:space="preserve">Current or recent evidence of </w:t>
      </w:r>
      <w:r w:rsidRPr="008715B8">
        <w:rPr>
          <w:rFonts w:ascii="Calibri" w:eastAsia="Calibri" w:hAnsi="Calibri" w:cs="Arial"/>
          <w:bCs/>
          <w:i/>
          <w:szCs w:val="22"/>
        </w:rPr>
        <w:t>P. falciparum</w:t>
      </w:r>
      <w:r w:rsidRPr="008715B8">
        <w:rPr>
          <w:rFonts w:ascii="Calibri" w:eastAsia="Calibri" w:hAnsi="Calibri" w:cs="Arial"/>
          <w:bCs/>
          <w:szCs w:val="22"/>
        </w:rPr>
        <w:t xml:space="preserve"> malaria (slide or rapid diagnostic test (RDT) positive)</w:t>
      </w:r>
    </w:p>
    <w:p w:rsidR="008715B8" w:rsidRPr="008715B8" w:rsidRDefault="008715B8" w:rsidP="008715B8">
      <w:pPr>
        <w:numPr>
          <w:ilvl w:val="0"/>
          <w:numId w:val="2"/>
        </w:numPr>
        <w:spacing w:line="240" w:lineRule="auto"/>
        <w:contextualSpacing/>
        <w:jc w:val="both"/>
        <w:rPr>
          <w:rFonts w:ascii="Calibri" w:eastAsia="Calibri" w:hAnsi="Calibri" w:cs="Arial"/>
          <w:szCs w:val="22"/>
        </w:rPr>
      </w:pPr>
      <w:r w:rsidRPr="008715B8">
        <w:rPr>
          <w:rFonts w:ascii="Calibri" w:eastAsia="Calibri" w:hAnsi="Calibri" w:cs="Arial"/>
          <w:szCs w:val="22"/>
        </w:rPr>
        <w:t>Clinical evidence of severe malaria</w:t>
      </w:r>
      <w:bookmarkStart w:id="3" w:name="_Hlk528681185"/>
      <w:r w:rsidRPr="008715B8">
        <w:rPr>
          <w:rFonts w:ascii="Calibri" w:eastAsia="Calibri" w:hAnsi="Calibri" w:cs="Arial"/>
          <w:szCs w:val="22"/>
        </w:rPr>
        <w:t xml:space="preserve">: impaired </w:t>
      </w:r>
      <w:r w:rsidRPr="0061643B">
        <w:rPr>
          <w:rFonts w:ascii="Calibri" w:eastAsia="Calibri" w:hAnsi="Calibri" w:cs="Arial"/>
          <w:szCs w:val="22"/>
        </w:rPr>
        <w:t>consciousness</w:t>
      </w:r>
      <w:r w:rsidR="0061643B">
        <w:rPr>
          <w:rFonts w:ascii="Calibri" w:eastAsia="Calibri" w:hAnsi="Calibri" w:cs="Arial"/>
          <w:szCs w:val="22"/>
        </w:rPr>
        <w:t xml:space="preserve"> (</w:t>
      </w:r>
      <w:r w:rsidRPr="0061643B">
        <w:rPr>
          <w:rFonts w:ascii="Calibri" w:eastAsia="Calibri" w:hAnsi="Calibri" w:cs="Arial"/>
          <w:szCs w:val="22"/>
        </w:rPr>
        <w:t>coma (inability to localize painful stimulus) or prostration (inability to sit unsupported for those above 6 months)</w:t>
      </w:r>
      <w:r w:rsidR="0061643B">
        <w:rPr>
          <w:rFonts w:ascii="Calibri" w:eastAsia="Calibri" w:hAnsi="Calibri" w:cs="Arial"/>
          <w:szCs w:val="22"/>
        </w:rPr>
        <w:t>)</w:t>
      </w:r>
      <w:r w:rsidRPr="0061643B">
        <w:rPr>
          <w:rFonts w:ascii="Calibri" w:eastAsia="Calibri" w:hAnsi="Calibri" w:cs="Arial"/>
          <w:szCs w:val="22"/>
        </w:rPr>
        <w:t xml:space="preserve"> or</w:t>
      </w:r>
      <w:r w:rsidRPr="008715B8">
        <w:rPr>
          <w:rFonts w:ascii="Calibri" w:eastAsia="Calibri" w:hAnsi="Calibri" w:cs="Arial"/>
          <w:szCs w:val="22"/>
        </w:rPr>
        <w:t xml:space="preserve"> deep breathing</w:t>
      </w:r>
    </w:p>
    <w:bookmarkEnd w:id="3"/>
    <w:p w:rsidR="008715B8" w:rsidRPr="008715B8" w:rsidRDefault="008715B8" w:rsidP="008715B8">
      <w:pPr>
        <w:numPr>
          <w:ilvl w:val="0"/>
          <w:numId w:val="2"/>
        </w:numPr>
        <w:spacing w:line="240" w:lineRule="auto"/>
        <w:contextualSpacing/>
        <w:jc w:val="both"/>
        <w:rPr>
          <w:rFonts w:ascii="Calibri" w:eastAsia="Calibri" w:hAnsi="Calibri" w:cs="Arial"/>
          <w:szCs w:val="22"/>
        </w:rPr>
      </w:pPr>
      <w:r w:rsidRPr="008715B8">
        <w:rPr>
          <w:rFonts w:ascii="Calibri" w:eastAsia="Calibri" w:hAnsi="Calibri" w:cs="Arial"/>
          <w:szCs w:val="22"/>
        </w:rPr>
        <w:t>Lactate &gt; 2 mmol/L</w:t>
      </w:r>
    </w:p>
    <w:p w:rsidR="008715B8" w:rsidRPr="00254769" w:rsidRDefault="008715B8" w:rsidP="008715B8">
      <w:pPr>
        <w:numPr>
          <w:ilvl w:val="0"/>
          <w:numId w:val="2"/>
        </w:numPr>
        <w:spacing w:after="160" w:line="240" w:lineRule="auto"/>
        <w:contextualSpacing/>
        <w:jc w:val="both"/>
        <w:rPr>
          <w:rFonts w:ascii="Calibri" w:eastAsia="Calibri" w:hAnsi="Calibri" w:cs="Arial"/>
          <w:bCs/>
          <w:szCs w:val="22"/>
        </w:rPr>
      </w:pPr>
      <w:r w:rsidRPr="008715B8">
        <w:rPr>
          <w:rFonts w:ascii="Calibri" w:eastAsia="Calibri" w:hAnsi="Calibri" w:cs="Arial"/>
          <w:szCs w:val="22"/>
        </w:rPr>
        <w:t xml:space="preserve">Guardian or parent willing and able to provide consent </w:t>
      </w:r>
    </w:p>
    <w:p w:rsidR="00254769" w:rsidRPr="008715B8" w:rsidRDefault="00254769" w:rsidP="00254769">
      <w:pPr>
        <w:spacing w:after="160" w:line="240" w:lineRule="auto"/>
        <w:ind w:left="787"/>
        <w:contextualSpacing/>
        <w:jc w:val="both"/>
        <w:rPr>
          <w:rFonts w:ascii="Calibri" w:eastAsia="Calibri" w:hAnsi="Calibri" w:cs="Arial"/>
          <w:bCs/>
          <w:szCs w:val="22"/>
        </w:rPr>
      </w:pPr>
    </w:p>
    <w:p w:rsidR="008715B8" w:rsidRDefault="008715B8" w:rsidP="00254769">
      <w:pPr>
        <w:rPr>
          <w:noProof/>
        </w:rPr>
      </w:pPr>
      <w:bookmarkStart w:id="4" w:name="_Toc508225103"/>
      <w:bookmarkStart w:id="5" w:name="_Toc512639466"/>
      <w:r w:rsidRPr="008715B8">
        <w:rPr>
          <w:noProof/>
        </w:rPr>
        <w:t>Exclusion criteria</w:t>
      </w:r>
      <w:bookmarkEnd w:id="4"/>
      <w:bookmarkEnd w:id="5"/>
    </w:p>
    <w:p w:rsidR="00254769" w:rsidRPr="008715B8" w:rsidRDefault="00254769" w:rsidP="00254769">
      <w:pPr>
        <w:rPr>
          <w:noProof/>
        </w:rPr>
      </w:pPr>
    </w:p>
    <w:p w:rsidR="008715B8" w:rsidRPr="008715B8" w:rsidRDefault="008715B8" w:rsidP="008715B8">
      <w:pPr>
        <w:numPr>
          <w:ilvl w:val="0"/>
          <w:numId w:val="3"/>
        </w:numPr>
        <w:spacing w:line="240" w:lineRule="auto"/>
        <w:rPr>
          <w:rFonts w:ascii="Calibri" w:eastAsia="Times New Roman" w:hAnsi="Calibri"/>
          <w:iCs/>
          <w:noProof/>
          <w:szCs w:val="22"/>
        </w:rPr>
      </w:pPr>
      <w:r w:rsidRPr="008715B8">
        <w:rPr>
          <w:rFonts w:ascii="Calibri" w:eastAsia="Times New Roman" w:hAnsi="Calibri"/>
          <w:iCs/>
          <w:noProof/>
          <w:szCs w:val="22"/>
        </w:rPr>
        <w:t xml:space="preserve">Clinical evidence or a history of a bleeding/coagulation disorder </w:t>
      </w:r>
    </w:p>
    <w:p w:rsidR="008715B8" w:rsidRPr="008715B8" w:rsidRDefault="008715B8" w:rsidP="008715B8">
      <w:pPr>
        <w:numPr>
          <w:ilvl w:val="0"/>
          <w:numId w:val="3"/>
        </w:numPr>
        <w:spacing w:line="240" w:lineRule="auto"/>
        <w:jc w:val="both"/>
        <w:rPr>
          <w:rFonts w:ascii="Calibri" w:eastAsia="Times New Roman" w:hAnsi="Calibri"/>
          <w:bCs/>
          <w:iCs/>
          <w:noProof/>
          <w:szCs w:val="22"/>
        </w:rPr>
      </w:pPr>
      <w:r w:rsidRPr="008715B8">
        <w:rPr>
          <w:rFonts w:ascii="Calibri" w:eastAsia="Times New Roman" w:hAnsi="Calibri"/>
          <w:bCs/>
          <w:iCs/>
          <w:noProof/>
          <w:szCs w:val="22"/>
        </w:rPr>
        <w:t>A comorbidity which clinician believes has a significant risk of poor outcome e.g. malignancy, end-stage renal failure, major cardiac condition</w:t>
      </w:r>
    </w:p>
    <w:p w:rsidR="008715B8" w:rsidRPr="008715B8" w:rsidRDefault="008715B8" w:rsidP="008715B8">
      <w:pPr>
        <w:numPr>
          <w:ilvl w:val="0"/>
          <w:numId w:val="3"/>
        </w:numPr>
        <w:spacing w:line="240" w:lineRule="auto"/>
        <w:jc w:val="both"/>
        <w:rPr>
          <w:rFonts w:ascii="Calibri" w:eastAsia="Times New Roman" w:hAnsi="Calibri"/>
          <w:bCs/>
          <w:iCs/>
          <w:noProof/>
          <w:szCs w:val="22"/>
        </w:rPr>
      </w:pPr>
      <w:r w:rsidRPr="008715B8">
        <w:rPr>
          <w:rFonts w:ascii="Calibri" w:eastAsia="Times New Roman" w:hAnsi="Calibri"/>
          <w:bCs/>
          <w:iCs/>
          <w:noProof/>
          <w:szCs w:val="22"/>
        </w:rPr>
        <w:t>Thrombocytopenia (platelet count &lt;25 x10</w:t>
      </w:r>
      <w:r w:rsidRPr="008715B8">
        <w:rPr>
          <w:rFonts w:ascii="Calibri" w:eastAsia="Times New Roman" w:hAnsi="Calibri"/>
          <w:bCs/>
          <w:iCs/>
          <w:noProof/>
          <w:szCs w:val="22"/>
          <w:vertAlign w:val="superscript"/>
        </w:rPr>
        <w:t>9</w:t>
      </w:r>
      <w:r w:rsidRPr="008715B8">
        <w:rPr>
          <w:rFonts w:ascii="Calibri" w:eastAsia="Times New Roman" w:hAnsi="Calibri"/>
          <w:bCs/>
          <w:iCs/>
          <w:noProof/>
          <w:szCs w:val="22"/>
        </w:rPr>
        <w:t>/L).</w:t>
      </w:r>
    </w:p>
    <w:p w:rsidR="008715B8" w:rsidRDefault="008715B8" w:rsidP="008715B8"/>
    <w:p w:rsidR="00254769" w:rsidRDefault="00254769" w:rsidP="00254769">
      <w:pPr>
        <w:pStyle w:val="Heading1"/>
      </w:pPr>
      <w:r>
        <w:t>Interim reviews</w:t>
      </w:r>
    </w:p>
    <w:p w:rsidR="00254769" w:rsidRDefault="00254769" w:rsidP="008715B8"/>
    <w:p w:rsidR="00254769" w:rsidRDefault="00254769" w:rsidP="008715B8">
      <w:r w:rsidRPr="000066E6">
        <w:rPr>
          <w:rFonts w:cs="Arial"/>
          <w:szCs w:val="22"/>
        </w:rPr>
        <w:t>The DMC will review data after the first 2 ‘cohorts’ of 2 children each have been enrolled to the lowest dose, and then after each Dose Limiting Toxicity event.</w:t>
      </w:r>
      <w:r>
        <w:rPr>
          <w:rFonts w:cs="Arial"/>
          <w:szCs w:val="22"/>
        </w:rPr>
        <w:t xml:space="preserve"> </w:t>
      </w:r>
      <w:r w:rsidRPr="000066E6">
        <w:rPr>
          <w:rFonts w:cs="Arial"/>
          <w:szCs w:val="22"/>
        </w:rPr>
        <w:t>The continual reassessment method uses data from each enrolled participant to update the dose-toxicity curve and then suggests an escalation of dose</w:t>
      </w:r>
      <w:r>
        <w:rPr>
          <w:rFonts w:cs="Arial"/>
          <w:szCs w:val="22"/>
        </w:rPr>
        <w:t xml:space="preserve"> to the largest dose with risk of estimated risk of toxicity below the target toxicity level if appropriate.</w:t>
      </w:r>
    </w:p>
    <w:p w:rsidR="00254769" w:rsidRDefault="00254769" w:rsidP="008715B8"/>
    <w:p w:rsidR="00254769" w:rsidRDefault="00254769" w:rsidP="008715B8"/>
    <w:p w:rsidR="00254769" w:rsidRDefault="00254769" w:rsidP="00254769">
      <w:pPr>
        <w:pStyle w:val="Heading1"/>
      </w:pPr>
      <w:r>
        <w:lastRenderedPageBreak/>
        <w:t xml:space="preserve">Endpoints </w:t>
      </w:r>
    </w:p>
    <w:p w:rsidR="00254769" w:rsidRDefault="00254769" w:rsidP="008715B8"/>
    <w:p w:rsidR="00254769" w:rsidRDefault="00254769" w:rsidP="00254769">
      <w:pPr>
        <w:pStyle w:val="Heading2"/>
      </w:pPr>
      <w:r w:rsidRPr="003D4483">
        <w:t xml:space="preserve">Primary Endpoint </w:t>
      </w:r>
    </w:p>
    <w:p w:rsidR="00254769" w:rsidRPr="007C4C7C" w:rsidRDefault="00254769" w:rsidP="00254769">
      <w:pPr>
        <w:pStyle w:val="PTBodyText"/>
        <w:numPr>
          <w:ilvl w:val="0"/>
          <w:numId w:val="8"/>
        </w:numPr>
      </w:pPr>
      <w:r>
        <w:rPr>
          <w:rFonts w:asciiTheme="minorHAnsi" w:hAnsiTheme="minorHAnsi"/>
        </w:rPr>
        <w:t>APTT</w:t>
      </w:r>
      <w:r w:rsidRPr="007C4C7C">
        <w:rPr>
          <w:rFonts w:asciiTheme="minorHAnsi" w:hAnsiTheme="minorHAnsi"/>
        </w:rPr>
        <w:t>&gt;</w:t>
      </w:r>
      <w:r w:rsidRPr="00981822">
        <w:rPr>
          <w:rFonts w:asciiTheme="minorHAnsi" w:hAnsiTheme="minorHAnsi"/>
        </w:rPr>
        <w:t>2.5xULN</w:t>
      </w:r>
      <w:r>
        <w:rPr>
          <w:rFonts w:asciiTheme="minorHAnsi" w:hAnsiTheme="minorHAnsi"/>
        </w:rPr>
        <w:t xml:space="preserve"> 1h post any sevuparin dose (grade 3 following the CTC)</w:t>
      </w:r>
    </w:p>
    <w:p w:rsidR="00254769" w:rsidRPr="00E97AC5" w:rsidRDefault="00254769" w:rsidP="00254769">
      <w:pPr>
        <w:pStyle w:val="PTBodyText"/>
        <w:ind w:left="720"/>
      </w:pPr>
    </w:p>
    <w:p w:rsidR="00254769" w:rsidRPr="003D4483" w:rsidRDefault="00254769" w:rsidP="00254769">
      <w:pPr>
        <w:pStyle w:val="Heading2"/>
      </w:pPr>
      <w:r w:rsidRPr="003D4483">
        <w:t>Secondary Endpoints</w:t>
      </w:r>
    </w:p>
    <w:p w:rsidR="00254769" w:rsidRPr="003D4483" w:rsidRDefault="00254769" w:rsidP="00254769">
      <w:pPr>
        <w:jc w:val="both"/>
        <w:rPr>
          <w:rFonts w:cs="Arial"/>
          <w:b/>
          <w:szCs w:val="22"/>
        </w:rPr>
      </w:pPr>
    </w:p>
    <w:p w:rsidR="00254769" w:rsidRPr="00C23F95" w:rsidRDefault="0061643B" w:rsidP="0061643B">
      <w:pPr>
        <w:pStyle w:val="PTOutlineHeading4"/>
        <w:numPr>
          <w:ilvl w:val="0"/>
          <w:numId w:val="0"/>
        </w:numPr>
        <w:ind w:left="864" w:hanging="864"/>
        <w:rPr>
          <w:rFonts w:asciiTheme="minorHAnsi" w:hAnsiTheme="minorHAnsi"/>
        </w:rPr>
      </w:pPr>
      <w:r>
        <w:rPr>
          <w:rFonts w:asciiTheme="minorHAnsi" w:hAnsiTheme="minorHAnsi"/>
        </w:rPr>
        <w:t>Efficacy</w:t>
      </w:r>
    </w:p>
    <w:p w:rsidR="00254769" w:rsidRDefault="00254769" w:rsidP="00254769">
      <w:pPr>
        <w:pStyle w:val="PTBodyText"/>
        <w:numPr>
          <w:ilvl w:val="0"/>
          <w:numId w:val="7"/>
        </w:numPr>
      </w:pPr>
      <w:r>
        <w:t>Change in lactate from 0 to 8 hours</w:t>
      </w:r>
    </w:p>
    <w:p w:rsidR="00254769" w:rsidRDefault="00254769" w:rsidP="00254769">
      <w:pPr>
        <w:pStyle w:val="PTBodyText"/>
        <w:numPr>
          <w:ilvl w:val="0"/>
          <w:numId w:val="7"/>
        </w:numPr>
      </w:pPr>
      <w:r>
        <w:t>Presence of mature infected erythrocytes on the blood films at 8 and 24 hours</w:t>
      </w:r>
    </w:p>
    <w:p w:rsidR="00254769" w:rsidRDefault="00254769" w:rsidP="00254769">
      <w:pPr>
        <w:pStyle w:val="PTBodyText"/>
        <w:numPr>
          <w:ilvl w:val="0"/>
          <w:numId w:val="7"/>
        </w:numPr>
      </w:pPr>
      <w:r>
        <w:t>Parasite clearance time</w:t>
      </w:r>
    </w:p>
    <w:p w:rsidR="00254769" w:rsidRDefault="00254769" w:rsidP="00254769">
      <w:pPr>
        <w:pStyle w:val="PTBodyText"/>
        <w:numPr>
          <w:ilvl w:val="0"/>
          <w:numId w:val="7"/>
        </w:numPr>
      </w:pPr>
      <w:r>
        <w:t>Change in sublingual microcirculation over time</w:t>
      </w:r>
    </w:p>
    <w:p w:rsidR="00254769" w:rsidRPr="00E97AC5" w:rsidRDefault="00254769" w:rsidP="00254769">
      <w:pPr>
        <w:pStyle w:val="PTBodyText"/>
      </w:pPr>
    </w:p>
    <w:p w:rsidR="00254769" w:rsidRPr="00C23F95" w:rsidRDefault="00254769" w:rsidP="0061643B">
      <w:pPr>
        <w:pStyle w:val="PTOutlineHeading4"/>
        <w:numPr>
          <w:ilvl w:val="0"/>
          <w:numId w:val="0"/>
        </w:numPr>
        <w:ind w:left="864" w:hanging="864"/>
        <w:rPr>
          <w:rFonts w:asciiTheme="minorHAnsi" w:hAnsiTheme="minorHAnsi"/>
        </w:rPr>
      </w:pPr>
      <w:r w:rsidRPr="00C23F95">
        <w:rPr>
          <w:rFonts w:asciiTheme="minorHAnsi" w:hAnsiTheme="minorHAnsi"/>
        </w:rPr>
        <w:t>Safety Endpoints</w:t>
      </w:r>
    </w:p>
    <w:p w:rsidR="00254769" w:rsidRPr="005202B4" w:rsidRDefault="00254769" w:rsidP="00254769">
      <w:pPr>
        <w:pStyle w:val="PTBulletList"/>
      </w:pPr>
      <w:r w:rsidRPr="005202B4">
        <w:t>APTT 24h post enrolment (absolute level and grade)</w:t>
      </w:r>
    </w:p>
    <w:p w:rsidR="00254769" w:rsidRPr="00647850" w:rsidRDefault="00254769" w:rsidP="00254769">
      <w:pPr>
        <w:pStyle w:val="PTBulletList"/>
      </w:pPr>
      <w:r w:rsidRPr="00647850">
        <w:t>Development of abnormalites of coagulation indices (prothrombin) (Grade 2 and above)</w:t>
      </w:r>
    </w:p>
    <w:p w:rsidR="00254769" w:rsidRDefault="00254769" w:rsidP="00254769">
      <w:pPr>
        <w:pStyle w:val="PTBulletList"/>
      </w:pPr>
      <w:r>
        <w:t>N</w:t>
      </w:r>
      <w:r w:rsidRPr="003D4483">
        <w:t>eurological sequelae</w:t>
      </w:r>
      <w:r>
        <w:t xml:space="preserve"> through day 28</w:t>
      </w:r>
    </w:p>
    <w:p w:rsidR="00254769" w:rsidRDefault="00254769" w:rsidP="00254769">
      <w:pPr>
        <w:pStyle w:val="PTBulletList"/>
      </w:pPr>
      <w:r>
        <w:t>M</w:t>
      </w:r>
      <w:r w:rsidRPr="003D4483">
        <w:t>ortality</w:t>
      </w:r>
      <w:r>
        <w:t xml:space="preserve"> through day 28</w:t>
      </w:r>
    </w:p>
    <w:p w:rsidR="00254769" w:rsidRDefault="00254769" w:rsidP="00254769">
      <w:pPr>
        <w:pStyle w:val="PTBulletList"/>
      </w:pPr>
      <w:r>
        <w:t>Serious adverse events through day 28</w:t>
      </w:r>
    </w:p>
    <w:p w:rsidR="00254769" w:rsidRDefault="00254769" w:rsidP="00254769">
      <w:pPr>
        <w:pStyle w:val="PTBulletList"/>
      </w:pPr>
      <w:r>
        <w:t>G</w:t>
      </w:r>
      <w:r w:rsidRPr="003D4483">
        <w:t xml:space="preserve">rade 3/4 adverse events </w:t>
      </w:r>
      <w:r>
        <w:t>through day 28</w:t>
      </w:r>
    </w:p>
    <w:p w:rsidR="00254769" w:rsidRDefault="00254769" w:rsidP="00254769">
      <w:pPr>
        <w:tabs>
          <w:tab w:val="num" w:pos="709"/>
        </w:tabs>
        <w:jc w:val="both"/>
        <w:rPr>
          <w:szCs w:val="22"/>
        </w:rPr>
      </w:pPr>
    </w:p>
    <w:p w:rsidR="00254769" w:rsidRDefault="00254769" w:rsidP="00254769">
      <w:pPr>
        <w:tabs>
          <w:tab w:val="num" w:pos="709"/>
        </w:tabs>
        <w:jc w:val="both"/>
        <w:rPr>
          <w:rFonts w:cs="Arial"/>
          <w:szCs w:val="22"/>
        </w:rPr>
      </w:pPr>
      <w:r>
        <w:rPr>
          <w:rFonts w:cs="Arial"/>
          <w:szCs w:val="22"/>
        </w:rPr>
        <w:t>APTT 24h post enrolment will be used as an assessment of normalization 8h after the final sevuparin dose. Both absolute levels and grade will be considered.</w:t>
      </w:r>
    </w:p>
    <w:p w:rsidR="00254769" w:rsidRDefault="00254769" w:rsidP="00254769">
      <w:pPr>
        <w:tabs>
          <w:tab w:val="num" w:pos="709"/>
        </w:tabs>
        <w:jc w:val="both"/>
        <w:rPr>
          <w:rFonts w:cs="Arial"/>
          <w:szCs w:val="22"/>
        </w:rPr>
      </w:pPr>
    </w:p>
    <w:p w:rsidR="00254769" w:rsidRDefault="00254769" w:rsidP="00254769">
      <w:pPr>
        <w:tabs>
          <w:tab w:val="num" w:pos="709"/>
        </w:tabs>
        <w:jc w:val="both"/>
        <w:rPr>
          <w:rFonts w:cs="Arial"/>
          <w:szCs w:val="22"/>
        </w:rPr>
      </w:pPr>
      <w:r>
        <w:rPr>
          <w:rFonts w:cs="Arial"/>
          <w:szCs w:val="22"/>
        </w:rPr>
        <w:t>D</w:t>
      </w:r>
      <w:r w:rsidRPr="003D4483">
        <w:rPr>
          <w:rFonts w:cs="Arial"/>
          <w:szCs w:val="22"/>
        </w:rPr>
        <w:t xml:space="preserve">e-novo evidence of neurological sequelae </w:t>
      </w:r>
      <w:r>
        <w:rPr>
          <w:rFonts w:cs="Arial"/>
          <w:szCs w:val="22"/>
        </w:rPr>
        <w:t xml:space="preserve">will be ascertained </w:t>
      </w:r>
      <w:r w:rsidRPr="003D4483">
        <w:rPr>
          <w:rFonts w:cs="Arial"/>
          <w:szCs w:val="22"/>
        </w:rPr>
        <w:t>using a modified Kilifi Developmental Index</w:t>
      </w:r>
      <w:r>
        <w:rPr>
          <w:rFonts w:cs="Arial"/>
          <w:szCs w:val="22"/>
        </w:rPr>
        <w:t xml:space="preserve"> </w:t>
      </w:r>
      <w:r>
        <w:rPr>
          <w:rFonts w:cs="Arial"/>
          <w:szCs w:val="22"/>
        </w:rPr>
        <w:fldChar w:fldCharType="begin"/>
      </w:r>
      <w:r>
        <w:rPr>
          <w:rFonts w:cs="Arial"/>
          <w:szCs w:val="22"/>
        </w:rPr>
        <w:instrText xml:space="preserve"> ADDIN EN.CITE &lt;EndNote&gt;&lt;Cite&gt;&lt;Author&gt;Abubakar&lt;/Author&gt;&lt;Year&gt;2008&lt;/Year&gt;&lt;RecNum&gt;20&lt;/RecNum&gt;&lt;DisplayText&gt;[60]&lt;/DisplayText&gt;&lt;record&gt;&lt;rec-number&gt;20&lt;/rec-number&gt;&lt;foreign-keys&gt;&lt;key app="EN" db-id="r2t50exrl0pf2qe25edpvawet2wzpa9vz2dz" timestamp="0"&gt;20&lt;/key&gt;&lt;/foreign-keys&gt;&lt;ref-type name="Journal Article"&gt;17&lt;/ref-type&gt;&lt;contributors&gt;&lt;authors&gt;&lt;author&gt;Abubakar, A.&lt;/author&gt;&lt;author&gt;Holding, P.&lt;/author&gt;&lt;author&gt;van Baar, A.&lt;/author&gt;&lt;author&gt;Newton, C. R.&lt;/author&gt;&lt;author&gt;van de Vijver, F. J.&lt;/author&gt;&lt;/authors&gt;&lt;/contributors&gt;&lt;auth-address&gt;Centre for Geographic Medicine Research (Coast), KEMRI, Kilifi, Kenya. a.abubakarali@uvt.nl&lt;/auth-address&gt;&lt;titles&gt;&lt;title&gt;Monitoring psychomotor development in a resource-limited setting: an evaluation of the Kilifi Developmental Inventory&lt;/title&gt;&lt;secondary-title&gt;Ann Trop Paediatr&lt;/secondary-title&gt;&lt;/titles&gt;&lt;pages&gt;217-26&lt;/pages&gt;&lt;volume&gt;28&lt;/volume&gt;&lt;number&gt;3&lt;/number&gt;&lt;keywords&gt;&lt;keyword&gt;Aging/physiology&lt;/keyword&gt;&lt;keyword&gt;*Child Development&lt;/keyword&gt;&lt;keyword&gt;Child, Preschool&lt;/keyword&gt;&lt;keyword&gt;Developmental Disabilities/*diagnosis&lt;/keyword&gt;&lt;keyword&gt;Disability Evaluation&lt;/keyword&gt;&lt;keyword&gt;Female&lt;/keyword&gt;&lt;keyword&gt;Humans&lt;/keyword&gt;&lt;keyword&gt;Infant&lt;/keyword&gt;&lt;keyword&gt;Kenya&lt;/keyword&gt;&lt;keyword&gt;Male&lt;/keyword&gt;&lt;keyword&gt;*Medically Underserved Area&lt;/keyword&gt;&lt;keyword&gt;Observer Variation&lt;/keyword&gt;&lt;keyword&gt;Psychometrics&lt;/keyword&gt;&lt;keyword&gt;*Psychomotor Performance&lt;/keyword&gt;&lt;keyword&gt;Reproducibility of Results&lt;/keyword&gt;&lt;keyword&gt;Rural Health/statistics &amp;amp; numerical data&lt;/keyword&gt;&lt;keyword&gt;Urban Health/statistics &amp;amp; numerical data&lt;/keyword&gt;&lt;/keywords&gt;&lt;dates&gt;&lt;year&gt;2008&lt;/year&gt;&lt;pub-dates&gt;&lt;date&gt;Sep&lt;/date&gt;&lt;/pub-dates&gt;&lt;/dates&gt;&lt;isbn&gt;0272-4936 (Print)&amp;#xD;0272-4936 (Linking)&lt;/isbn&gt;&lt;accession-num&gt;18727851&lt;/accession-num&gt;&lt;urls&gt;&lt;related-urls&gt;&lt;url&gt;http://www.ncbi.nlm.nih.gov/pubmed/18727851&lt;/url&gt;&lt;/related-urls&gt;&lt;/urls&gt;&lt;custom2&gt;PMC3908377&lt;/custom2&gt;&lt;electronic-resource-num&gt;10.1179/146532808X335679&lt;/electronic-resource-num&gt;&lt;/record&gt;&lt;/Cite&gt;&lt;/EndNote&gt;</w:instrText>
      </w:r>
      <w:r>
        <w:rPr>
          <w:rFonts w:cs="Arial"/>
          <w:szCs w:val="22"/>
        </w:rPr>
        <w:fldChar w:fldCharType="separate"/>
      </w:r>
      <w:r>
        <w:rPr>
          <w:rFonts w:cs="Arial"/>
          <w:noProof/>
          <w:szCs w:val="22"/>
        </w:rPr>
        <w:t>[60]</w:t>
      </w:r>
      <w:r>
        <w:rPr>
          <w:rFonts w:cs="Arial"/>
          <w:szCs w:val="22"/>
        </w:rPr>
        <w:fldChar w:fldCharType="end"/>
      </w:r>
      <w:r w:rsidRPr="003D4483">
        <w:rPr>
          <w:rFonts w:cs="Arial"/>
          <w:szCs w:val="22"/>
        </w:rPr>
        <w:t xml:space="preserve"> </w:t>
      </w:r>
      <w:r>
        <w:rPr>
          <w:rFonts w:cs="Arial"/>
          <w:szCs w:val="22"/>
        </w:rPr>
        <w:t>assessed at admission (to identify pre-</w:t>
      </w:r>
      <w:proofErr w:type="spellStart"/>
      <w:r>
        <w:rPr>
          <w:rFonts w:cs="Arial"/>
          <w:szCs w:val="22"/>
        </w:rPr>
        <w:t>exisiting</w:t>
      </w:r>
      <w:proofErr w:type="spellEnd"/>
      <w:r>
        <w:rPr>
          <w:rFonts w:cs="Arial"/>
          <w:szCs w:val="22"/>
        </w:rPr>
        <w:t xml:space="preserve"> conditions) and follow up </w:t>
      </w:r>
      <w:r w:rsidRPr="003D4483">
        <w:rPr>
          <w:rFonts w:cs="Arial"/>
          <w:szCs w:val="22"/>
        </w:rPr>
        <w:t>(which we have adapted to use for the COAST trial)</w:t>
      </w:r>
      <w:r>
        <w:rPr>
          <w:rFonts w:cs="Arial"/>
          <w:szCs w:val="22"/>
        </w:rPr>
        <w:t xml:space="preserve"> </w:t>
      </w:r>
      <w:r>
        <w:rPr>
          <w:rFonts w:cs="Arial"/>
          <w:szCs w:val="22"/>
        </w:rPr>
        <w:fldChar w:fldCharType="begin">
          <w:fldData xml:space="preserve">PEVuZE5vdGU+PENpdGU+PEF1dGhvcj5NYWl0bGFuZDwvQXV0aG9yPjxZZWFyPjIwMTc8L1llYXI+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</w:fldData>
        </w:fldChar>
      </w:r>
      <w:r>
        <w:rPr>
          <w:rFonts w:cs="Arial"/>
          <w:szCs w:val="22"/>
        </w:rPr>
        <w:instrText xml:space="preserve"> ADDIN EN.CITE </w:instrText>
      </w:r>
      <w:r>
        <w:rPr>
          <w:rFonts w:cs="Arial"/>
          <w:szCs w:val="22"/>
        </w:rPr>
        <w:fldChar w:fldCharType="begin">
          <w:fldData xml:space="preserve">PEVuZE5vdGU+PENpdGU+PEF1dGhvcj5NYWl0bGFuZDwvQXV0aG9yPjxZZWFyPjIwMTc8L1llYXI+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</w:fldData>
        </w:fldChar>
      </w:r>
      <w:r>
        <w:rPr>
          <w:rFonts w:cs="Arial"/>
          <w:szCs w:val="22"/>
        </w:rPr>
        <w:instrText xml:space="preserve"> ADDIN EN.CITE.DATA </w:instrText>
      </w:r>
      <w:r>
        <w:rPr>
          <w:rFonts w:cs="Arial"/>
          <w:szCs w:val="22"/>
        </w:rPr>
      </w:r>
      <w:r>
        <w:rPr>
          <w:rFonts w:cs="Arial"/>
          <w:szCs w:val="22"/>
        </w:rPr>
        <w:fldChar w:fldCharType="end"/>
      </w:r>
      <w:r>
        <w:rPr>
          <w:rFonts w:cs="Arial"/>
          <w:szCs w:val="22"/>
        </w:rPr>
      </w:r>
      <w:r>
        <w:rPr>
          <w:rFonts w:cs="Arial"/>
          <w:szCs w:val="22"/>
        </w:rPr>
        <w:fldChar w:fldCharType="separate"/>
      </w:r>
      <w:r>
        <w:rPr>
          <w:rFonts w:cs="Arial"/>
          <w:noProof/>
          <w:szCs w:val="22"/>
        </w:rPr>
        <w:t>[59]</w:t>
      </w:r>
      <w:r>
        <w:rPr>
          <w:rFonts w:cs="Arial"/>
          <w:szCs w:val="22"/>
        </w:rPr>
        <w:fldChar w:fldCharType="end"/>
      </w:r>
      <w:r>
        <w:rPr>
          <w:rFonts w:cs="Arial"/>
          <w:szCs w:val="22"/>
        </w:rPr>
        <w:t>.</w:t>
      </w:r>
    </w:p>
    <w:p w:rsidR="00254769" w:rsidRDefault="00254769" w:rsidP="00254769">
      <w:pPr>
        <w:tabs>
          <w:tab w:val="num" w:pos="709"/>
        </w:tabs>
        <w:jc w:val="both"/>
        <w:rPr>
          <w:szCs w:val="22"/>
        </w:rPr>
      </w:pPr>
    </w:p>
    <w:p w:rsidR="00254769" w:rsidRDefault="00254769" w:rsidP="00254769">
      <w:pPr>
        <w:tabs>
          <w:tab w:val="num" w:pos="709"/>
        </w:tabs>
        <w:jc w:val="both"/>
        <w:rPr>
          <w:szCs w:val="22"/>
        </w:rPr>
      </w:pPr>
      <w:r w:rsidRPr="003D4483">
        <w:rPr>
          <w:szCs w:val="22"/>
        </w:rPr>
        <w:t>Se</w:t>
      </w:r>
      <w:r>
        <w:rPr>
          <w:szCs w:val="22"/>
        </w:rPr>
        <w:t>rious</w:t>
      </w:r>
      <w:r w:rsidRPr="003D4483">
        <w:rPr>
          <w:szCs w:val="22"/>
        </w:rPr>
        <w:t xml:space="preserve"> adverse events will use the standardized definitions </w:t>
      </w:r>
      <w:r>
        <w:rPr>
          <w:szCs w:val="22"/>
        </w:rPr>
        <w:t>(see section 11 below). SAEs</w:t>
      </w:r>
      <w:r w:rsidRPr="003D4483">
        <w:rPr>
          <w:szCs w:val="22"/>
        </w:rPr>
        <w:t xml:space="preserve"> will be independently reviewed </w:t>
      </w:r>
      <w:r>
        <w:rPr>
          <w:szCs w:val="22"/>
        </w:rPr>
        <w:t xml:space="preserve">in real-time </w:t>
      </w:r>
      <w:r w:rsidRPr="003D4483">
        <w:rPr>
          <w:szCs w:val="22"/>
        </w:rPr>
        <w:t xml:space="preserve">by </w:t>
      </w:r>
      <w:r>
        <w:rPr>
          <w:szCs w:val="22"/>
        </w:rPr>
        <w:t xml:space="preserve">the DMC. </w:t>
      </w:r>
    </w:p>
    <w:p w:rsidR="00254769" w:rsidRDefault="00254769" w:rsidP="00254769">
      <w:pPr>
        <w:tabs>
          <w:tab w:val="num" w:pos="709"/>
        </w:tabs>
        <w:jc w:val="both"/>
        <w:rPr>
          <w:szCs w:val="22"/>
        </w:rPr>
      </w:pPr>
    </w:p>
    <w:p w:rsidR="00254769" w:rsidRDefault="00254769" w:rsidP="00254769">
      <w:pPr>
        <w:tabs>
          <w:tab w:val="num" w:pos="709"/>
        </w:tabs>
        <w:jc w:val="both"/>
        <w:rPr>
          <w:szCs w:val="22"/>
        </w:rPr>
      </w:pPr>
      <w:r>
        <w:rPr>
          <w:szCs w:val="22"/>
        </w:rPr>
        <w:t>Adverse events will be graded following the Common Toxicity Criteria v5.0 (</w:t>
      </w:r>
      <w:hyperlink r:id="rId11" w:history="1">
        <w:r w:rsidRPr="009713E0">
          <w:rPr>
            <w:rStyle w:val="Hyperlink"/>
            <w:szCs w:val="22"/>
          </w:rPr>
          <w:t>https://ctep.cancer.gov/protocoldevelopment/electronic_applications/docs/CTCAE_v5_Quick_Reference_5x7.pdf</w:t>
        </w:r>
      </w:hyperlink>
      <w:r>
        <w:rPr>
          <w:szCs w:val="22"/>
        </w:rPr>
        <w:t>).</w:t>
      </w:r>
    </w:p>
    <w:p w:rsidR="00254769" w:rsidRDefault="00254769" w:rsidP="008715B8"/>
    <w:p w:rsidR="00254769" w:rsidRDefault="00254769" w:rsidP="008715B8"/>
    <w:p w:rsidR="009C7F01" w:rsidRDefault="009C7F01">
      <w:pPr>
        <w:spacing w:after="160" w:line="259" w:lineRule="auto"/>
      </w:pPr>
      <w:r>
        <w:br w:type="page"/>
      </w:r>
    </w:p>
    <w:p w:rsidR="009C7F01" w:rsidRDefault="009C7F01" w:rsidP="009C7F01">
      <w:pPr>
        <w:pStyle w:val="Heading1"/>
      </w:pPr>
      <w:r>
        <w:lastRenderedPageBreak/>
        <w:t>Derivation of data to be analysed</w:t>
      </w:r>
    </w:p>
    <w:p w:rsidR="009C7F01" w:rsidRDefault="009C7F01" w:rsidP="009C7F01"/>
    <w:p w:rsidR="009C7F01" w:rsidRPr="009B3F15" w:rsidRDefault="009C7F01" w:rsidP="009C7F01">
      <w:pPr>
        <w:rPr>
          <w:rFonts w:cs="Arial"/>
          <w:b/>
        </w:rPr>
      </w:pPr>
      <w:r w:rsidRPr="009B3F15">
        <w:rPr>
          <w:rFonts w:cs="Arial"/>
          <w:b/>
        </w:rPr>
        <w:t>Time</w:t>
      </w:r>
    </w:p>
    <w:p w:rsidR="009C7F01" w:rsidRDefault="009C7F01" w:rsidP="009C7F01">
      <w:pPr>
        <w:rPr>
          <w:rFonts w:cs="Arial"/>
        </w:rPr>
      </w:pPr>
      <w:r>
        <w:rPr>
          <w:rFonts w:cs="Arial"/>
        </w:rPr>
        <w:t>Time will be from enrolment for primary analysis and secondary analysis.</w:t>
      </w:r>
    </w:p>
    <w:p w:rsidR="009C7F01" w:rsidRDefault="009C7F01" w:rsidP="009C7F01">
      <w:pPr>
        <w:rPr>
          <w:rFonts w:cs="Arial"/>
          <w:b/>
        </w:rPr>
      </w:pPr>
    </w:p>
    <w:p w:rsidR="009C7F01" w:rsidRPr="00A61519" w:rsidRDefault="009C7F01" w:rsidP="009C7F01">
      <w:pPr>
        <w:rPr>
          <w:rFonts w:cs="Arial"/>
          <w:b/>
        </w:rPr>
      </w:pPr>
      <w:r w:rsidRPr="00A61519">
        <w:rPr>
          <w:rFonts w:cs="Arial"/>
          <w:b/>
        </w:rPr>
        <w:t>Definition of baseline</w:t>
      </w:r>
    </w:p>
    <w:p w:rsidR="009C7F01" w:rsidRDefault="009C7F01" w:rsidP="009C7F01">
      <w:pPr>
        <w:rPr>
          <w:rFonts w:cs="Arial"/>
        </w:rPr>
      </w:pPr>
      <w:r>
        <w:rPr>
          <w:rFonts w:cs="Arial"/>
        </w:rPr>
        <w:t>Baseline values for all measurements will be those recorded at screening either on the screening form, the baseline clinical evaluation form or their first blood test taken within 48 hours of admission as appropriate.</w:t>
      </w:r>
    </w:p>
    <w:p w:rsidR="009C7F01" w:rsidRDefault="009C7F01" w:rsidP="009C7F01">
      <w:pPr>
        <w:rPr>
          <w:rFonts w:cs="Arial"/>
        </w:rPr>
      </w:pPr>
    </w:p>
    <w:p w:rsidR="009C7F01" w:rsidRPr="00DF73A4" w:rsidRDefault="009C7F01" w:rsidP="009C7F01">
      <w:pPr>
        <w:rPr>
          <w:rFonts w:cs="Arial"/>
          <w:b/>
        </w:rPr>
      </w:pPr>
    </w:p>
    <w:p w:rsidR="009C7F01" w:rsidRPr="00DF73A4" w:rsidRDefault="009C7F01" w:rsidP="009C7F01">
      <w:pPr>
        <w:rPr>
          <w:rFonts w:cs="Arial"/>
          <w:b/>
        </w:rPr>
      </w:pPr>
      <w:r w:rsidRPr="00DF73A4">
        <w:rPr>
          <w:rFonts w:cs="Arial"/>
          <w:b/>
        </w:rPr>
        <w:t xml:space="preserve">Definition of visit schedule </w:t>
      </w:r>
    </w:p>
    <w:p w:rsidR="009C7F01" w:rsidRDefault="009C7F01" w:rsidP="009C7F01">
      <w:pPr>
        <w:rPr>
          <w:rFonts w:cs="Arial"/>
        </w:rPr>
      </w:pPr>
      <w:r>
        <w:rPr>
          <w:rFonts w:cs="Arial"/>
        </w:rPr>
        <w:t>A</w:t>
      </w:r>
      <w:r w:rsidRPr="00F47C65">
        <w:rPr>
          <w:rFonts w:cs="Arial"/>
        </w:rPr>
        <w:t xml:space="preserve">nalyses of measurements at a given </w:t>
      </w:r>
      <w:r>
        <w:rPr>
          <w:rFonts w:cs="Arial"/>
        </w:rPr>
        <w:t>point in follow up</w:t>
      </w:r>
      <w:r w:rsidRPr="00F47C65">
        <w:rPr>
          <w:rFonts w:cs="Arial"/>
        </w:rPr>
        <w:t xml:space="preserve"> (</w:t>
      </w:r>
      <w:r w:rsidR="00DE78B8">
        <w:rPr>
          <w:rFonts w:cs="Arial"/>
        </w:rPr>
        <w:t>clinical symptoms</w:t>
      </w:r>
      <w:r>
        <w:rPr>
          <w:rFonts w:cs="Arial"/>
        </w:rPr>
        <w:t xml:space="preserve"> and neurological sequelae assessments</w:t>
      </w:r>
      <w:r w:rsidRPr="00F47C65">
        <w:rPr>
          <w:rFonts w:cs="Arial"/>
        </w:rPr>
        <w:t xml:space="preserve">) </w:t>
      </w:r>
      <w:r>
        <w:rPr>
          <w:rFonts w:cs="Arial"/>
        </w:rPr>
        <w:t>will use the closest available measurement to that time point in evenly spaced windows</w:t>
      </w:r>
      <w:r w:rsidRPr="00F47C65">
        <w:rPr>
          <w:rFonts w:cs="Arial"/>
        </w:rPr>
        <w:t xml:space="preserve">. </w:t>
      </w:r>
      <w:r>
        <w:rPr>
          <w:rFonts w:cs="Arial"/>
        </w:rPr>
        <w:t xml:space="preserve">If there are two measurements that are equally close to the timepoint, the earliest measurement will be used. </w:t>
      </w:r>
    </w:p>
    <w:p w:rsidR="009C7F01" w:rsidRDefault="009C7F01" w:rsidP="009C7F01">
      <w:pPr>
        <w:rPr>
          <w:rFonts w:cs="Arial"/>
        </w:rPr>
      </w:pPr>
    </w:p>
    <w:p w:rsidR="009C7F01" w:rsidRDefault="009C7F01" w:rsidP="009C7F01"/>
    <w:p w:rsidR="009C7F01" w:rsidRDefault="009C7F01" w:rsidP="009C7F01">
      <w:pPr>
        <w:rPr>
          <w:rFonts w:cs="Arial"/>
          <w:b/>
        </w:rPr>
      </w:pPr>
      <w:r>
        <w:rPr>
          <w:rFonts w:cs="Arial"/>
          <w:b/>
        </w:rPr>
        <w:t>Definition of censoring</w:t>
      </w:r>
    </w:p>
    <w:p w:rsidR="009C7F01" w:rsidRDefault="009C7F01" w:rsidP="009C7F01">
      <w:r>
        <w:rPr>
          <w:rFonts w:cs="Arial"/>
        </w:rPr>
        <w:t xml:space="preserve">Children lost to clinic follow up will be censored on the date they were last known alive including data from contact tracing visits. </w:t>
      </w:r>
      <w:r w:rsidRPr="00F47C65">
        <w:rPr>
          <w:rFonts w:cs="Arial"/>
        </w:rPr>
        <w:t xml:space="preserve">For analyses concerning </w:t>
      </w:r>
      <w:r>
        <w:rPr>
          <w:rFonts w:cs="Arial"/>
        </w:rPr>
        <w:t xml:space="preserve">events </w:t>
      </w:r>
      <w:r w:rsidRPr="00F47C65">
        <w:rPr>
          <w:rFonts w:cs="Arial"/>
        </w:rPr>
        <w:t xml:space="preserve">at specific time points, surviving children will be censored at that time point. That is for analyses at 28 days, </w:t>
      </w:r>
      <w:r>
        <w:rPr>
          <w:rFonts w:cs="Arial"/>
        </w:rPr>
        <w:t>censoring will occur on day 28.</w:t>
      </w:r>
    </w:p>
    <w:p w:rsidR="009C7F01" w:rsidRDefault="009C7F01" w:rsidP="009C7F01">
      <w:pPr>
        <w:pStyle w:val="Heading1"/>
      </w:pPr>
      <w:r>
        <w:t xml:space="preserve">Statistical Analysis </w:t>
      </w:r>
    </w:p>
    <w:p w:rsidR="009C7F01" w:rsidRDefault="009C7F01" w:rsidP="009C7F01"/>
    <w:p w:rsidR="009C7F01" w:rsidRDefault="009C7F01" w:rsidP="009C7F01">
      <w:pPr>
        <w:jc w:val="both"/>
        <w:rPr>
          <w:rFonts w:cs="Arial"/>
          <w:szCs w:val="22"/>
        </w:rPr>
      </w:pPr>
      <w:r>
        <w:rPr>
          <w:szCs w:val="22"/>
        </w:rPr>
        <w:t>C</w:t>
      </w:r>
      <w:r w:rsidRPr="003D4483">
        <w:rPr>
          <w:szCs w:val="22"/>
        </w:rPr>
        <w:t>linical data will be summarised using means and medians w</w:t>
      </w:r>
      <w:r>
        <w:rPr>
          <w:szCs w:val="22"/>
        </w:rPr>
        <w:t>h</w:t>
      </w:r>
      <w:r w:rsidRPr="003D4483">
        <w:rPr>
          <w:szCs w:val="22"/>
        </w:rPr>
        <w:t>ere appropriate for continuous data</w:t>
      </w:r>
      <w:r>
        <w:rPr>
          <w:szCs w:val="22"/>
        </w:rPr>
        <w:t xml:space="preserve"> depending on the distribution</w:t>
      </w:r>
      <w:r w:rsidRPr="003D4483">
        <w:rPr>
          <w:szCs w:val="22"/>
        </w:rPr>
        <w:t xml:space="preserve">. </w:t>
      </w:r>
      <w:r w:rsidRPr="003D4483">
        <w:rPr>
          <w:rFonts w:cs="Arial"/>
          <w:szCs w:val="22"/>
        </w:rPr>
        <w:t xml:space="preserve">Analyses will follow intention-to-treat. </w:t>
      </w:r>
      <w:r>
        <w:rPr>
          <w:rFonts w:cs="Arial"/>
          <w:szCs w:val="22"/>
        </w:rPr>
        <w:t>Primary and secondary endpoints will be described using means or medians or proportions.</w:t>
      </w:r>
      <w:r w:rsidRPr="003D4483">
        <w:rPr>
          <w:rFonts w:cs="Arial"/>
          <w:szCs w:val="22"/>
        </w:rPr>
        <w:t xml:space="preserve"> </w:t>
      </w:r>
    </w:p>
    <w:p w:rsidR="009C7F01" w:rsidRDefault="009C7F01" w:rsidP="009C7F01">
      <w:pPr>
        <w:jc w:val="both"/>
        <w:rPr>
          <w:rFonts w:cs="Arial"/>
          <w:szCs w:val="22"/>
        </w:rPr>
      </w:pPr>
    </w:p>
    <w:p w:rsidR="009C7F01" w:rsidRPr="003D4483" w:rsidRDefault="009C7F01" w:rsidP="009C7F01">
      <w:pPr>
        <w:jc w:val="both"/>
        <w:rPr>
          <w:rFonts w:cs="Arial"/>
          <w:szCs w:val="22"/>
        </w:rPr>
      </w:pPr>
      <w:r w:rsidRPr="003D4483">
        <w:rPr>
          <w:rFonts w:cs="Arial"/>
          <w:szCs w:val="22"/>
        </w:rPr>
        <w:t xml:space="preserve">As this is a Phase I trial no subgroup analyses are planned. </w:t>
      </w:r>
    </w:p>
    <w:p w:rsidR="009C7F01" w:rsidRDefault="009C7F01" w:rsidP="009C7F01"/>
    <w:p w:rsidR="009C7F01" w:rsidRDefault="009C7F01" w:rsidP="009C7F01">
      <w:pPr>
        <w:rPr>
          <w:rFonts w:cs="Arial"/>
        </w:rPr>
      </w:pPr>
      <w:r>
        <w:rPr>
          <w:rFonts w:cs="Arial"/>
        </w:rPr>
        <w:t>All analysis will be included in the final report, but only analysis in bold below will be included in the DMC report.</w:t>
      </w:r>
    </w:p>
    <w:p w:rsidR="009C7F01" w:rsidRDefault="009C7F01" w:rsidP="009C7F01"/>
    <w:p w:rsidR="009C7F01" w:rsidRDefault="009C7F01" w:rsidP="009C7F01">
      <w:pPr>
        <w:pStyle w:val="Heading2"/>
      </w:pPr>
      <w:r>
        <w:t>Baseline characteristics</w:t>
      </w:r>
    </w:p>
    <w:p w:rsidR="009C7F01" w:rsidRDefault="009C7F01" w:rsidP="009C7F01"/>
    <w:p w:rsidR="009C7F01" w:rsidRPr="00277F48" w:rsidRDefault="009C7F01" w:rsidP="009C7F01">
      <w:pPr>
        <w:pStyle w:val="ListParagraph"/>
        <w:numPr>
          <w:ilvl w:val="0"/>
          <w:numId w:val="9"/>
        </w:numPr>
        <w:rPr>
          <w:rFonts w:cs="Arial"/>
          <w:b/>
        </w:rPr>
      </w:pPr>
      <w:r>
        <w:rPr>
          <w:rFonts w:cs="Arial"/>
          <w:b/>
        </w:rPr>
        <w:t>S</w:t>
      </w:r>
      <w:r w:rsidRPr="00277F48">
        <w:rPr>
          <w:rFonts w:cs="Arial"/>
          <w:b/>
        </w:rPr>
        <w:t>ex: n(%) male, female</w:t>
      </w:r>
    </w:p>
    <w:p w:rsidR="009C7F01" w:rsidRPr="00277F48" w:rsidRDefault="009C7F01" w:rsidP="009C7F01">
      <w:pPr>
        <w:pStyle w:val="ListParagraph"/>
        <w:numPr>
          <w:ilvl w:val="0"/>
          <w:numId w:val="9"/>
        </w:numPr>
        <w:rPr>
          <w:rFonts w:cs="Arial"/>
          <w:b/>
        </w:rPr>
      </w:pPr>
      <w:r w:rsidRPr="00277F48">
        <w:rPr>
          <w:rFonts w:cs="Arial"/>
          <w:b/>
        </w:rPr>
        <w:t>Age at admission (months)</w:t>
      </w:r>
      <w:r>
        <w:rPr>
          <w:rFonts w:cs="Arial"/>
          <w:b/>
        </w:rPr>
        <w:t>: median (IQR)</w:t>
      </w:r>
    </w:p>
    <w:p w:rsidR="009C7F01" w:rsidRPr="006E2FEF" w:rsidRDefault="009C7F01" w:rsidP="009C7F01">
      <w:pPr>
        <w:pStyle w:val="ListParagraph"/>
        <w:numPr>
          <w:ilvl w:val="0"/>
          <w:numId w:val="9"/>
        </w:numPr>
        <w:rPr>
          <w:rFonts w:cs="Arial"/>
          <w:b/>
        </w:rPr>
      </w:pPr>
      <w:r w:rsidRPr="00277F48">
        <w:rPr>
          <w:rFonts w:cs="Arial"/>
          <w:b/>
        </w:rPr>
        <w:t>Weight (kg</w:t>
      </w:r>
      <w:r>
        <w:rPr>
          <w:rFonts w:cs="Arial"/>
          <w:b/>
        </w:rPr>
        <w:t>)</w:t>
      </w:r>
      <w:r w:rsidRPr="00277F48">
        <w:rPr>
          <w:rFonts w:cs="Arial"/>
          <w:b/>
        </w:rPr>
        <w:t>: median (IQR)</w:t>
      </w:r>
    </w:p>
    <w:p w:rsidR="009C7F01" w:rsidRDefault="009C7F01" w:rsidP="009C7F01">
      <w:pPr>
        <w:pStyle w:val="ListParagraph"/>
        <w:numPr>
          <w:ilvl w:val="0"/>
          <w:numId w:val="9"/>
        </w:numPr>
        <w:rPr>
          <w:rFonts w:cs="Arial"/>
          <w:b/>
        </w:rPr>
      </w:pPr>
      <w:r w:rsidRPr="00277F48">
        <w:rPr>
          <w:rFonts w:cs="Arial"/>
          <w:b/>
        </w:rPr>
        <w:t>Heart rate (bpm), axillary temperature (˚C), systolic blood pressure (mmHg), diastolic blood pressure (mmHg), oxygen saturation (%), respiratory rate (</w:t>
      </w:r>
      <w:proofErr w:type="spellStart"/>
      <w:r w:rsidRPr="00277F48">
        <w:rPr>
          <w:rFonts w:cs="Arial"/>
          <w:b/>
        </w:rPr>
        <w:t>b</w:t>
      </w:r>
      <w:r>
        <w:rPr>
          <w:rFonts w:cs="Arial"/>
          <w:b/>
        </w:rPr>
        <w:t>r</w:t>
      </w:r>
      <w:r w:rsidRPr="00277F48">
        <w:rPr>
          <w:rFonts w:cs="Arial"/>
          <w:b/>
        </w:rPr>
        <w:t>pm</w:t>
      </w:r>
      <w:proofErr w:type="spellEnd"/>
      <w:r w:rsidRPr="00277F48">
        <w:rPr>
          <w:rFonts w:cs="Arial"/>
          <w:b/>
        </w:rPr>
        <w:t xml:space="preserve">), capillary refill time (s): </w:t>
      </w:r>
      <w:r>
        <w:rPr>
          <w:rFonts w:cs="Arial"/>
          <w:b/>
        </w:rPr>
        <w:t>median (IQR)</w:t>
      </w:r>
    </w:p>
    <w:p w:rsidR="009C7F01" w:rsidRPr="00277F48" w:rsidRDefault="009C7F01" w:rsidP="009C7F01">
      <w:pPr>
        <w:pStyle w:val="ListParagraph"/>
        <w:numPr>
          <w:ilvl w:val="0"/>
          <w:numId w:val="9"/>
        </w:numPr>
        <w:rPr>
          <w:rFonts w:cs="Arial"/>
          <w:b/>
        </w:rPr>
      </w:pPr>
      <w:r>
        <w:rPr>
          <w:rFonts w:cs="Arial"/>
          <w:b/>
        </w:rPr>
        <w:t>Blantyre Coma Score (BCS): n (%) each value of score (0 to 5)</w:t>
      </w:r>
    </w:p>
    <w:p w:rsidR="009C7F01" w:rsidRDefault="009C7F01" w:rsidP="009C7F01">
      <w:pPr>
        <w:pStyle w:val="ListParagraph"/>
        <w:numPr>
          <w:ilvl w:val="0"/>
          <w:numId w:val="9"/>
        </w:numPr>
        <w:rPr>
          <w:rFonts w:cs="Arial"/>
          <w:b/>
        </w:rPr>
      </w:pPr>
      <w:r w:rsidRPr="00277F48">
        <w:rPr>
          <w:rFonts w:cs="Arial"/>
          <w:b/>
        </w:rPr>
        <w:lastRenderedPageBreak/>
        <w:t>Temperature gradient, weak pulse: n(%) yes, no</w:t>
      </w:r>
    </w:p>
    <w:p w:rsidR="009C7F01" w:rsidRPr="002B59C0" w:rsidRDefault="009C7F01" w:rsidP="009C7F01">
      <w:pPr>
        <w:rPr>
          <w:rFonts w:cs="Arial"/>
          <w:b/>
        </w:rPr>
      </w:pPr>
      <w:r w:rsidRPr="002B59C0">
        <w:rPr>
          <w:rFonts w:cs="Arial"/>
          <w:b/>
        </w:rPr>
        <w:t>Clinical history of this illness</w:t>
      </w:r>
    </w:p>
    <w:p w:rsidR="009C7F01" w:rsidRDefault="009C7F01" w:rsidP="009C7F01">
      <w:pPr>
        <w:pStyle w:val="ListParagraph"/>
        <w:numPr>
          <w:ilvl w:val="0"/>
          <w:numId w:val="9"/>
        </w:numPr>
        <w:rPr>
          <w:rFonts w:cs="Arial"/>
        </w:rPr>
      </w:pPr>
      <w:r w:rsidRPr="00F47C65">
        <w:rPr>
          <w:rFonts w:cs="Arial"/>
        </w:rPr>
        <w:t>History of fever</w:t>
      </w:r>
      <w:r>
        <w:rPr>
          <w:rFonts w:cs="Arial"/>
        </w:rPr>
        <w:t xml:space="preserve"> within 14 days, history of fever more than 14 days, history of cough, increased work of breathing, vomiting, inability to sit up right unsupported, diarrhoea, fits in this illness</w:t>
      </w:r>
      <w:r w:rsidRPr="00334D4E">
        <w:rPr>
          <w:rFonts w:cs="Arial"/>
        </w:rPr>
        <w:t>: n(%) yes, no, don’t know</w:t>
      </w:r>
    </w:p>
    <w:p w:rsidR="009C7F01" w:rsidRDefault="009C7F01" w:rsidP="009C7F01">
      <w:pPr>
        <w:pStyle w:val="ListParagraph"/>
        <w:numPr>
          <w:ilvl w:val="0"/>
          <w:numId w:val="9"/>
        </w:numPr>
        <w:rPr>
          <w:rFonts w:cs="Arial"/>
        </w:rPr>
      </w:pPr>
      <w:r>
        <w:rPr>
          <w:rFonts w:cs="Arial"/>
        </w:rPr>
        <w:t>Bloody diarrhoea: n(% of those with diarrhoea), yes, no, don’t know</w:t>
      </w:r>
    </w:p>
    <w:p w:rsidR="009C7F01" w:rsidRPr="00A661E9" w:rsidRDefault="009C7F01" w:rsidP="009C7F01">
      <w:pPr>
        <w:pStyle w:val="ListParagraph"/>
        <w:numPr>
          <w:ilvl w:val="0"/>
          <w:numId w:val="9"/>
        </w:numPr>
        <w:rPr>
          <w:rFonts w:cs="Arial"/>
          <w:b/>
        </w:rPr>
      </w:pPr>
      <w:r w:rsidRPr="00A661E9">
        <w:rPr>
          <w:rFonts w:cs="Arial"/>
          <w:b/>
        </w:rPr>
        <w:t>Seizures in this illness: n (%) yes, no, don’t know</w:t>
      </w:r>
    </w:p>
    <w:p w:rsidR="009C7F01" w:rsidRPr="00A661E9" w:rsidRDefault="009C7F01" w:rsidP="009C7F01">
      <w:pPr>
        <w:pStyle w:val="ListParagraph"/>
        <w:numPr>
          <w:ilvl w:val="0"/>
          <w:numId w:val="9"/>
        </w:numPr>
        <w:rPr>
          <w:rFonts w:cs="Arial"/>
          <w:b/>
        </w:rPr>
      </w:pPr>
      <w:r w:rsidRPr="00A661E9">
        <w:rPr>
          <w:rFonts w:cs="Arial"/>
          <w:b/>
        </w:rPr>
        <w:t>Seizures lasting more than 30 minutes: n(%) yes, no, don’t know</w:t>
      </w:r>
    </w:p>
    <w:p w:rsidR="009C7F01" w:rsidRDefault="009C7F01" w:rsidP="009C7F01">
      <w:pPr>
        <w:pStyle w:val="ListParagraph"/>
        <w:numPr>
          <w:ilvl w:val="0"/>
          <w:numId w:val="9"/>
        </w:numPr>
        <w:rPr>
          <w:rFonts w:cs="Arial"/>
        </w:rPr>
      </w:pPr>
      <w:r>
        <w:rPr>
          <w:rFonts w:cs="Arial"/>
        </w:rPr>
        <w:t>Haemoglobinuria</w:t>
      </w:r>
      <w:r w:rsidRPr="00334D4E">
        <w:rPr>
          <w:rFonts w:cs="Arial"/>
        </w:rPr>
        <w:t>: n(%) yes, no, don’t know</w:t>
      </w:r>
      <w:r>
        <w:rPr>
          <w:rFonts w:cs="Arial"/>
        </w:rPr>
        <w:t>; median (IQR) length (days)</w:t>
      </w:r>
    </w:p>
    <w:p w:rsidR="009C7F01" w:rsidRDefault="009C7F01" w:rsidP="009C7F01">
      <w:pPr>
        <w:pStyle w:val="ListParagraph"/>
        <w:numPr>
          <w:ilvl w:val="0"/>
          <w:numId w:val="9"/>
        </w:numPr>
        <w:rPr>
          <w:rFonts w:cs="Arial"/>
        </w:rPr>
      </w:pPr>
      <w:r>
        <w:rPr>
          <w:rFonts w:cs="Arial"/>
        </w:rPr>
        <w:t>Inability to sit upright unsupported (prostrate): n(%), yes, no</w:t>
      </w:r>
    </w:p>
    <w:p w:rsidR="009C7F01" w:rsidRPr="002B59C0" w:rsidRDefault="009C7F01" w:rsidP="009C7F01">
      <w:pPr>
        <w:rPr>
          <w:rFonts w:cs="Arial"/>
          <w:b/>
        </w:rPr>
      </w:pPr>
      <w:r w:rsidRPr="002B59C0">
        <w:rPr>
          <w:rFonts w:cs="Arial"/>
          <w:b/>
        </w:rPr>
        <w:t>Treatment in this illness</w:t>
      </w:r>
    </w:p>
    <w:p w:rsidR="009C7F01" w:rsidRDefault="009C7F01" w:rsidP="009C7F01">
      <w:pPr>
        <w:pStyle w:val="ListParagraph"/>
        <w:numPr>
          <w:ilvl w:val="0"/>
          <w:numId w:val="9"/>
        </w:numPr>
        <w:rPr>
          <w:rFonts w:cs="Arial"/>
        </w:rPr>
      </w:pPr>
      <w:r>
        <w:rPr>
          <w:rFonts w:cs="Arial"/>
        </w:rPr>
        <w:t>Admitted for over 24 hours into another hospital, received oral anti-</w:t>
      </w:r>
      <w:proofErr w:type="spellStart"/>
      <w:r>
        <w:rPr>
          <w:rFonts w:cs="Arial"/>
        </w:rPr>
        <w:t>malarials</w:t>
      </w:r>
      <w:proofErr w:type="spellEnd"/>
      <w:r>
        <w:rPr>
          <w:rFonts w:cs="Arial"/>
        </w:rPr>
        <w:t xml:space="preserve"> in last week, received oral antibiotics in last week, received traditional medicine in last week: n(%) yes, no, don’t know</w:t>
      </w:r>
      <w:r w:rsidRPr="00CA2D95">
        <w:rPr>
          <w:rFonts w:cs="Arial"/>
        </w:rPr>
        <w:t xml:space="preserve"> </w:t>
      </w:r>
    </w:p>
    <w:p w:rsidR="009C7F01" w:rsidRPr="00140B03" w:rsidRDefault="009C7F01" w:rsidP="009C7F01">
      <w:pPr>
        <w:pStyle w:val="ListParagraph"/>
        <w:numPr>
          <w:ilvl w:val="0"/>
          <w:numId w:val="9"/>
        </w:numPr>
        <w:rPr>
          <w:rFonts w:cs="Arial"/>
          <w:b/>
        </w:rPr>
      </w:pPr>
      <w:r>
        <w:rPr>
          <w:rFonts w:cs="Arial"/>
        </w:rPr>
        <w:t>N</w:t>
      </w:r>
      <w:r w:rsidRPr="00140B03">
        <w:rPr>
          <w:rFonts w:cs="Arial"/>
          <w:b/>
        </w:rPr>
        <w:t>umber of doses of IV or IM quinine/artesunate received before enrolment: median (IQR) or tabulation depending on numbers</w:t>
      </w:r>
    </w:p>
    <w:p w:rsidR="009C7F01" w:rsidRDefault="009C7F01" w:rsidP="009C7F01">
      <w:pPr>
        <w:rPr>
          <w:rFonts w:cs="Arial"/>
          <w:b/>
        </w:rPr>
      </w:pPr>
    </w:p>
    <w:p w:rsidR="009C7F01" w:rsidRPr="00275F2A" w:rsidRDefault="009C7F01" w:rsidP="009C7F01">
      <w:pPr>
        <w:rPr>
          <w:rFonts w:cs="Arial"/>
          <w:b/>
        </w:rPr>
      </w:pPr>
      <w:r w:rsidRPr="00275F2A">
        <w:rPr>
          <w:rFonts w:cs="Arial"/>
          <w:b/>
        </w:rPr>
        <w:t>Past clinical history</w:t>
      </w:r>
    </w:p>
    <w:p w:rsidR="009C7F01" w:rsidRDefault="009C7F01" w:rsidP="009C7F01">
      <w:pPr>
        <w:pStyle w:val="ListParagraph"/>
        <w:numPr>
          <w:ilvl w:val="0"/>
          <w:numId w:val="10"/>
        </w:numPr>
        <w:rPr>
          <w:rFonts w:cs="Arial"/>
        </w:rPr>
      </w:pPr>
      <w:r>
        <w:rPr>
          <w:rFonts w:cs="Arial"/>
        </w:rPr>
        <w:t>Two or more hospital admissions in the last year, previously received a blood transfusion (ever), received anti-helminths in last 6 months, has epilepsy, able to sit unsupported before this illness, able to walk without help before this illness: n(%) yes, no, don’t know</w:t>
      </w:r>
    </w:p>
    <w:p w:rsidR="009C7F01" w:rsidRDefault="009C7F01" w:rsidP="009C7F01">
      <w:pPr>
        <w:pStyle w:val="ListParagraph"/>
        <w:numPr>
          <w:ilvl w:val="0"/>
          <w:numId w:val="10"/>
        </w:numPr>
        <w:rPr>
          <w:rFonts w:cs="Arial"/>
        </w:rPr>
      </w:pPr>
      <w:r>
        <w:rPr>
          <w:rFonts w:cs="Arial"/>
        </w:rPr>
        <w:t xml:space="preserve">On regular anticonvulsants (n % of those with epilepsy) yes, no, don’t know. </w:t>
      </w:r>
    </w:p>
    <w:p w:rsidR="009C7F01" w:rsidRPr="002B59C0" w:rsidRDefault="009C7F01" w:rsidP="009C7F01">
      <w:pPr>
        <w:rPr>
          <w:rFonts w:cs="Arial"/>
          <w:b/>
        </w:rPr>
      </w:pPr>
      <w:r w:rsidRPr="002B59C0">
        <w:rPr>
          <w:rFonts w:cs="Arial"/>
          <w:b/>
        </w:rPr>
        <w:t>Child’s family</w:t>
      </w:r>
    </w:p>
    <w:p w:rsidR="009C7F01" w:rsidRDefault="009C7F01" w:rsidP="009C7F01">
      <w:pPr>
        <w:pStyle w:val="ListParagraph"/>
        <w:numPr>
          <w:ilvl w:val="0"/>
          <w:numId w:val="13"/>
        </w:numPr>
        <w:rPr>
          <w:rFonts w:cs="Arial"/>
        </w:rPr>
      </w:pPr>
      <w:r>
        <w:rPr>
          <w:rFonts w:cs="Arial"/>
        </w:rPr>
        <w:t>Number of siblings: median (IQR), range</w:t>
      </w:r>
    </w:p>
    <w:p w:rsidR="009C7F01" w:rsidRDefault="009C7F01" w:rsidP="009C7F01">
      <w:pPr>
        <w:pStyle w:val="ListParagraph"/>
        <w:numPr>
          <w:ilvl w:val="0"/>
          <w:numId w:val="13"/>
        </w:numPr>
        <w:rPr>
          <w:rFonts w:cs="Arial"/>
        </w:rPr>
      </w:pPr>
      <w:r>
        <w:rPr>
          <w:rFonts w:cs="Arial"/>
        </w:rPr>
        <w:t>Any siblings with sickle cell disease: n(% of those with siblings) yes, no, don’t know</w:t>
      </w:r>
    </w:p>
    <w:p w:rsidR="009C7F01" w:rsidRDefault="009C7F01" w:rsidP="009C7F01">
      <w:pPr>
        <w:pStyle w:val="ListParagraph"/>
        <w:numPr>
          <w:ilvl w:val="0"/>
          <w:numId w:val="13"/>
        </w:numPr>
        <w:rPr>
          <w:rFonts w:cs="Arial"/>
        </w:rPr>
      </w:pPr>
      <w:r>
        <w:rPr>
          <w:rFonts w:cs="Arial"/>
        </w:rPr>
        <w:t>Father’s ethnic group, mother’s ethnic group</w:t>
      </w:r>
    </w:p>
    <w:p w:rsidR="009C7F01" w:rsidRDefault="009C7F01" w:rsidP="009C7F01">
      <w:pPr>
        <w:pStyle w:val="ListParagraph"/>
        <w:numPr>
          <w:ilvl w:val="0"/>
          <w:numId w:val="13"/>
        </w:numPr>
        <w:rPr>
          <w:rFonts w:cs="Arial"/>
        </w:rPr>
      </w:pPr>
      <w:r>
        <w:rPr>
          <w:rFonts w:cs="Arial"/>
        </w:rPr>
        <w:t>Mother attended secondary school, child sleeps under a bed net/mosquito net: n(%) yes, no, don’t know</w:t>
      </w:r>
    </w:p>
    <w:p w:rsidR="009C7F01" w:rsidRDefault="009C7F01" w:rsidP="009C7F01">
      <w:pPr>
        <w:pStyle w:val="ListParagraph"/>
        <w:numPr>
          <w:ilvl w:val="0"/>
          <w:numId w:val="13"/>
        </w:numPr>
        <w:rPr>
          <w:rFonts w:cs="Arial"/>
        </w:rPr>
      </w:pPr>
      <w:r>
        <w:rPr>
          <w:rFonts w:cs="Arial"/>
        </w:rPr>
        <w:t>Parents alive: n(%) both alive, one alive, both dead</w:t>
      </w:r>
    </w:p>
    <w:p w:rsidR="009C7F01" w:rsidRDefault="009C7F01" w:rsidP="009C7F01">
      <w:pPr>
        <w:pStyle w:val="ListParagraph"/>
        <w:numPr>
          <w:ilvl w:val="0"/>
          <w:numId w:val="13"/>
        </w:numPr>
        <w:rPr>
          <w:rFonts w:cs="Arial"/>
        </w:rPr>
      </w:pPr>
      <w:r>
        <w:rPr>
          <w:rFonts w:cs="Arial"/>
        </w:rPr>
        <w:t>Child’s homestead: n(%) urban, semi-urban, rural</w:t>
      </w:r>
    </w:p>
    <w:p w:rsidR="009C7F01" w:rsidRPr="002B59C0" w:rsidRDefault="009C7F01" w:rsidP="009C7F01">
      <w:pPr>
        <w:rPr>
          <w:rFonts w:cs="Arial"/>
          <w:b/>
        </w:rPr>
      </w:pPr>
      <w:r w:rsidRPr="002B59C0">
        <w:rPr>
          <w:rFonts w:cs="Arial"/>
          <w:b/>
        </w:rPr>
        <w:t>Clinical examination</w:t>
      </w:r>
    </w:p>
    <w:p w:rsidR="009C7F01" w:rsidRDefault="009C7F01" w:rsidP="009C7F01">
      <w:pPr>
        <w:pStyle w:val="ListParagraph"/>
        <w:numPr>
          <w:ilvl w:val="0"/>
          <w:numId w:val="11"/>
        </w:numPr>
        <w:rPr>
          <w:rFonts w:cs="Arial"/>
        </w:rPr>
      </w:pPr>
      <w:r>
        <w:rPr>
          <w:rFonts w:cs="Arial"/>
        </w:rPr>
        <w:t xml:space="preserve">In-drawing, deep breathing, sunken eyes, decreased skin turgor, cold hands or feet only, liver size&gt;2cm below costal margin, jaundice, very severe wasting/marasmus, </w:t>
      </w:r>
      <w:proofErr w:type="spellStart"/>
      <w:r>
        <w:rPr>
          <w:rFonts w:cs="Arial"/>
        </w:rPr>
        <w:t>generalised</w:t>
      </w:r>
      <w:proofErr w:type="spellEnd"/>
      <w:r>
        <w:rPr>
          <w:rFonts w:cs="Arial"/>
        </w:rPr>
        <w:t xml:space="preserve"> lymphadenopathy, flaky paint dermatitis, oral </w:t>
      </w:r>
      <w:proofErr w:type="spellStart"/>
      <w:r>
        <w:rPr>
          <w:rFonts w:cs="Arial"/>
        </w:rPr>
        <w:t>candidasis</w:t>
      </w:r>
      <w:proofErr w:type="spellEnd"/>
      <w:r>
        <w:rPr>
          <w:rFonts w:cs="Arial"/>
        </w:rPr>
        <w:t>: n(%) yes, no, not assessed</w:t>
      </w:r>
    </w:p>
    <w:p w:rsidR="009C7F01" w:rsidRDefault="009C7F01" w:rsidP="009C7F01">
      <w:pPr>
        <w:pStyle w:val="ListParagraph"/>
        <w:numPr>
          <w:ilvl w:val="0"/>
          <w:numId w:val="11"/>
        </w:numPr>
        <w:rPr>
          <w:rFonts w:cs="Arial"/>
        </w:rPr>
      </w:pPr>
      <w:r>
        <w:rPr>
          <w:rFonts w:cs="Arial"/>
        </w:rPr>
        <w:t>Crackles: n(%) unilateral, bilateral, none, not assessed</w:t>
      </w:r>
    </w:p>
    <w:p w:rsidR="009C7F01" w:rsidRDefault="009C7F01" w:rsidP="009C7F01">
      <w:pPr>
        <w:pStyle w:val="ListParagraph"/>
        <w:numPr>
          <w:ilvl w:val="0"/>
          <w:numId w:val="11"/>
        </w:numPr>
        <w:rPr>
          <w:rFonts w:cs="Arial"/>
        </w:rPr>
      </w:pPr>
      <w:r>
        <w:rPr>
          <w:rFonts w:cs="Arial"/>
        </w:rPr>
        <w:t>Splenomegaly: n(%) not palpable, enlarged, gross</w:t>
      </w:r>
    </w:p>
    <w:p w:rsidR="009C7F01" w:rsidRDefault="009C7F01" w:rsidP="009C7F01">
      <w:pPr>
        <w:pStyle w:val="ListParagraph"/>
        <w:numPr>
          <w:ilvl w:val="0"/>
          <w:numId w:val="11"/>
        </w:numPr>
        <w:rPr>
          <w:rFonts w:cs="Arial"/>
        </w:rPr>
      </w:pPr>
      <w:r>
        <w:rPr>
          <w:rFonts w:cs="Arial"/>
        </w:rPr>
        <w:t xml:space="preserve">Signs of kwashiorkor (oedema): n(%) none, pretibial (minimum), hands/legs (moderate), </w:t>
      </w:r>
      <w:proofErr w:type="spellStart"/>
      <w:r>
        <w:rPr>
          <w:rFonts w:cs="Arial"/>
        </w:rPr>
        <w:t>generalised</w:t>
      </w:r>
      <w:proofErr w:type="spellEnd"/>
      <w:r>
        <w:rPr>
          <w:rFonts w:cs="Arial"/>
        </w:rPr>
        <w:t xml:space="preserve"> (severe)</w:t>
      </w:r>
    </w:p>
    <w:p w:rsidR="009C7F01" w:rsidRPr="002B59C0" w:rsidRDefault="009C7F01" w:rsidP="009C7F01">
      <w:pPr>
        <w:rPr>
          <w:rFonts w:cs="Arial"/>
          <w:b/>
        </w:rPr>
      </w:pPr>
      <w:r w:rsidRPr="002B59C0">
        <w:rPr>
          <w:rFonts w:cs="Arial"/>
          <w:b/>
        </w:rPr>
        <w:t>Neurological</w:t>
      </w:r>
    </w:p>
    <w:p w:rsidR="009C7F01" w:rsidRDefault="009C7F01" w:rsidP="009C7F01">
      <w:pPr>
        <w:pStyle w:val="ListParagraph"/>
        <w:numPr>
          <w:ilvl w:val="0"/>
          <w:numId w:val="12"/>
        </w:numPr>
        <w:rPr>
          <w:rFonts w:cs="Arial"/>
        </w:rPr>
      </w:pPr>
      <w:r>
        <w:rPr>
          <w:rFonts w:cs="Arial"/>
        </w:rPr>
        <w:lastRenderedPageBreak/>
        <w:t>Inability to sit up right unsupported, fitting currently, neck stiffness: n(%) yes, no, not assessed</w:t>
      </w:r>
    </w:p>
    <w:p w:rsidR="009C7F01" w:rsidRDefault="009C7F01" w:rsidP="009C7F01">
      <w:pPr>
        <w:pStyle w:val="ListParagraph"/>
        <w:numPr>
          <w:ilvl w:val="0"/>
          <w:numId w:val="12"/>
        </w:numPr>
        <w:rPr>
          <w:rFonts w:cs="Arial"/>
        </w:rPr>
      </w:pPr>
      <w:r>
        <w:rPr>
          <w:rFonts w:cs="Arial"/>
        </w:rPr>
        <w:t>Bulging fontanelle (infants only)</w:t>
      </w:r>
      <w:r w:rsidRPr="004A001D">
        <w:rPr>
          <w:rFonts w:cs="Arial"/>
        </w:rPr>
        <w:t xml:space="preserve"> </w:t>
      </w:r>
      <w:r>
        <w:rPr>
          <w:rFonts w:cs="Arial"/>
        </w:rPr>
        <w:t>: n(% infants) yes, no, not assessed</w:t>
      </w:r>
    </w:p>
    <w:p w:rsidR="009C7F01" w:rsidRPr="004A001D" w:rsidRDefault="009C7F01" w:rsidP="009C7F01">
      <w:pPr>
        <w:pStyle w:val="ListParagraph"/>
        <w:numPr>
          <w:ilvl w:val="0"/>
          <w:numId w:val="12"/>
        </w:numPr>
        <w:rPr>
          <w:rFonts w:cs="Arial"/>
        </w:rPr>
      </w:pPr>
      <w:r>
        <w:rPr>
          <w:rFonts w:cs="Arial"/>
        </w:rPr>
        <w:t>Pupil symmetry: n(%) equal, unequal</w:t>
      </w:r>
    </w:p>
    <w:p w:rsidR="009C7F01" w:rsidRPr="002B59C0" w:rsidRDefault="009C7F01" w:rsidP="009C7F01">
      <w:pPr>
        <w:rPr>
          <w:rFonts w:cs="Arial"/>
          <w:b/>
        </w:rPr>
      </w:pPr>
      <w:r w:rsidRPr="002B59C0">
        <w:rPr>
          <w:rFonts w:cs="Arial"/>
          <w:b/>
        </w:rPr>
        <w:t>Ward tests at admission</w:t>
      </w:r>
    </w:p>
    <w:p w:rsidR="009C7F01" w:rsidRDefault="009C7F01" w:rsidP="009C7F01">
      <w:pPr>
        <w:pStyle w:val="ListParagraph"/>
        <w:numPr>
          <w:ilvl w:val="0"/>
          <w:numId w:val="9"/>
        </w:numPr>
        <w:rPr>
          <w:rFonts w:cs="Arial"/>
        </w:rPr>
      </w:pPr>
      <w:r w:rsidRPr="00F47C65">
        <w:rPr>
          <w:rFonts w:cs="Arial"/>
        </w:rPr>
        <w:t>HIV test result: n(%) p</w:t>
      </w:r>
      <w:r>
        <w:rPr>
          <w:rFonts w:cs="Arial"/>
        </w:rPr>
        <w:t>reviously p</w:t>
      </w:r>
      <w:r w:rsidRPr="00F47C65">
        <w:rPr>
          <w:rFonts w:cs="Arial"/>
        </w:rPr>
        <w:t xml:space="preserve">ositive, </w:t>
      </w:r>
      <w:r>
        <w:rPr>
          <w:rFonts w:cs="Arial"/>
        </w:rPr>
        <w:t xml:space="preserve">previously </w:t>
      </w:r>
      <w:r w:rsidRPr="00F47C65">
        <w:rPr>
          <w:rFonts w:cs="Arial"/>
        </w:rPr>
        <w:t>negative</w:t>
      </w:r>
      <w:r>
        <w:rPr>
          <w:rFonts w:cs="Arial"/>
        </w:rPr>
        <w:t>, tested positive today, tested negative today, tested today invalid</w:t>
      </w:r>
    </w:p>
    <w:p w:rsidR="009C7F01" w:rsidRPr="00140B03" w:rsidRDefault="009C7F01" w:rsidP="009C7F01">
      <w:pPr>
        <w:pStyle w:val="ListParagraph"/>
        <w:numPr>
          <w:ilvl w:val="0"/>
          <w:numId w:val="9"/>
        </w:numPr>
        <w:rPr>
          <w:rFonts w:cs="Arial"/>
          <w:b/>
        </w:rPr>
      </w:pPr>
      <w:r w:rsidRPr="00140B03">
        <w:rPr>
          <w:rFonts w:cs="Arial"/>
          <w:b/>
        </w:rPr>
        <w:t>Lactate (mmol/l), glucose (mmol/l): median (IQR)</w:t>
      </w:r>
    </w:p>
    <w:p w:rsidR="009C7F01" w:rsidRPr="00140B03" w:rsidRDefault="009C7F01" w:rsidP="009C7F01">
      <w:pPr>
        <w:pStyle w:val="ListParagraph"/>
        <w:numPr>
          <w:ilvl w:val="0"/>
          <w:numId w:val="9"/>
        </w:numPr>
        <w:rPr>
          <w:rFonts w:cs="Arial"/>
          <w:b/>
        </w:rPr>
      </w:pPr>
      <w:r w:rsidRPr="00140B03">
        <w:rPr>
          <w:rFonts w:cs="Arial"/>
          <w:b/>
        </w:rPr>
        <w:t>Glucose given: n (%) yes, no,</w:t>
      </w:r>
    </w:p>
    <w:p w:rsidR="009C7F01" w:rsidRPr="00140B03" w:rsidRDefault="009C7F01" w:rsidP="009C7F01">
      <w:pPr>
        <w:pStyle w:val="ListParagraph"/>
        <w:numPr>
          <w:ilvl w:val="0"/>
          <w:numId w:val="9"/>
        </w:numPr>
        <w:rPr>
          <w:rFonts w:cs="Arial"/>
          <w:b/>
        </w:rPr>
      </w:pPr>
      <w:r w:rsidRPr="00140B03">
        <w:rPr>
          <w:rFonts w:cs="Arial"/>
          <w:b/>
        </w:rPr>
        <w:t>Blood gas: pH, bicarb, PCO</w:t>
      </w:r>
      <w:r w:rsidRPr="00140B03">
        <w:rPr>
          <w:rFonts w:cs="Arial"/>
          <w:b/>
          <w:vertAlign w:val="subscript"/>
        </w:rPr>
        <w:t>2</w:t>
      </w:r>
      <w:r w:rsidRPr="00140B03">
        <w:rPr>
          <w:rFonts w:cs="Arial"/>
          <w:b/>
        </w:rPr>
        <w:t>, Base deficit (</w:t>
      </w:r>
      <w:proofErr w:type="spellStart"/>
      <w:r w:rsidRPr="00140B03">
        <w:rPr>
          <w:rFonts w:cs="Arial"/>
          <w:b/>
        </w:rPr>
        <w:t>ecf</w:t>
      </w:r>
      <w:proofErr w:type="spellEnd"/>
      <w:r w:rsidRPr="00140B03">
        <w:rPr>
          <w:rFonts w:cs="Arial"/>
          <w:b/>
        </w:rPr>
        <w:t>), base deficit (b): median (IQR)</w:t>
      </w:r>
    </w:p>
    <w:p w:rsidR="009C7F01" w:rsidRPr="002B59C0" w:rsidRDefault="009C7F01" w:rsidP="009C7F01">
      <w:pPr>
        <w:rPr>
          <w:rFonts w:cs="Arial"/>
          <w:b/>
        </w:rPr>
      </w:pPr>
      <w:r w:rsidRPr="002B59C0">
        <w:rPr>
          <w:rFonts w:cs="Arial"/>
          <w:b/>
        </w:rPr>
        <w:t>Presentation</w:t>
      </w:r>
    </w:p>
    <w:p w:rsidR="009C7F01" w:rsidRDefault="009C7F01" w:rsidP="009C7F01">
      <w:pPr>
        <w:pStyle w:val="ListParagraph"/>
        <w:numPr>
          <w:ilvl w:val="0"/>
          <w:numId w:val="14"/>
        </w:numPr>
        <w:rPr>
          <w:rFonts w:cs="Arial"/>
        </w:rPr>
      </w:pPr>
      <w:r>
        <w:rPr>
          <w:rFonts w:cs="Arial"/>
        </w:rPr>
        <w:t>Healthcare facility first presented to: n(%) this hospital, level II, level III, level IV, other district hospital, private hospital</w:t>
      </w:r>
    </w:p>
    <w:p w:rsidR="009C7F01" w:rsidRDefault="009C7F01" w:rsidP="009C7F01">
      <w:pPr>
        <w:pStyle w:val="ListParagraph"/>
        <w:numPr>
          <w:ilvl w:val="0"/>
          <w:numId w:val="14"/>
        </w:numPr>
        <w:rPr>
          <w:rFonts w:cs="Arial"/>
        </w:rPr>
      </w:pPr>
      <w:r>
        <w:rPr>
          <w:rFonts w:cs="Arial"/>
        </w:rPr>
        <w:t>Time to enrolment since presented at other facility, time to enrolment since referred from other facility: median (IQR), range</w:t>
      </w:r>
    </w:p>
    <w:p w:rsidR="009C7F01" w:rsidRPr="00807EE6" w:rsidRDefault="009C7F01" w:rsidP="009C7F01">
      <w:pPr>
        <w:pStyle w:val="ListParagraph"/>
        <w:numPr>
          <w:ilvl w:val="0"/>
          <w:numId w:val="14"/>
        </w:numPr>
        <w:rPr>
          <w:rFonts w:cs="Arial"/>
        </w:rPr>
      </w:pPr>
      <w:r>
        <w:rPr>
          <w:rFonts w:cs="Arial"/>
        </w:rPr>
        <w:t>Distance from other facility (estimated km): median (IQR), range</w:t>
      </w:r>
    </w:p>
    <w:p w:rsidR="009C7F01" w:rsidRPr="004E5D98" w:rsidRDefault="009C7F01" w:rsidP="009C7F01">
      <w:pPr>
        <w:rPr>
          <w:rFonts w:cs="Arial"/>
          <w:b/>
        </w:rPr>
      </w:pPr>
      <w:r w:rsidRPr="004E5D98">
        <w:rPr>
          <w:rFonts w:cs="Arial"/>
          <w:b/>
        </w:rPr>
        <w:t>Admission blood test results</w:t>
      </w:r>
      <w:r>
        <w:rPr>
          <w:rFonts w:cs="Arial"/>
          <w:b/>
        </w:rPr>
        <w:t xml:space="preserve"> and admission microbiology</w:t>
      </w:r>
    </w:p>
    <w:p w:rsidR="009C7F01" w:rsidRPr="00140B03" w:rsidRDefault="009C7F01" w:rsidP="009C7F01">
      <w:pPr>
        <w:pStyle w:val="ListParagraph"/>
        <w:numPr>
          <w:ilvl w:val="0"/>
          <w:numId w:val="9"/>
        </w:numPr>
        <w:rPr>
          <w:rFonts w:cs="Arial"/>
          <w:b/>
        </w:rPr>
      </w:pPr>
      <w:r w:rsidRPr="00140B03">
        <w:rPr>
          <w:rFonts w:cs="Arial"/>
          <w:b/>
        </w:rPr>
        <w:t>Malaria RDT test: n(%) positive, negative, invalid or not done</w:t>
      </w:r>
    </w:p>
    <w:p w:rsidR="009C7F01" w:rsidRPr="00140B03" w:rsidRDefault="009C7F01" w:rsidP="009C7F01">
      <w:pPr>
        <w:pStyle w:val="ListParagraph"/>
        <w:numPr>
          <w:ilvl w:val="0"/>
          <w:numId w:val="9"/>
        </w:numPr>
        <w:rPr>
          <w:rFonts w:cs="Arial"/>
          <w:b/>
        </w:rPr>
      </w:pPr>
      <w:r w:rsidRPr="00140B03">
        <w:rPr>
          <w:rFonts w:cs="Arial"/>
          <w:b/>
        </w:rPr>
        <w:t>Malaria blood film: n(%) positive, negative, invalid or not done</w:t>
      </w:r>
    </w:p>
    <w:p w:rsidR="009C7F01" w:rsidRPr="009561A0" w:rsidRDefault="009C7F01" w:rsidP="009C7F01">
      <w:pPr>
        <w:pStyle w:val="ListParagraph"/>
        <w:numPr>
          <w:ilvl w:val="0"/>
          <w:numId w:val="9"/>
        </w:numPr>
        <w:rPr>
          <w:rFonts w:cs="Arial"/>
        </w:rPr>
      </w:pPr>
      <w:r>
        <w:rPr>
          <w:rFonts w:cs="Arial"/>
        </w:rPr>
        <w:t xml:space="preserve">Malaria pigment: n(%) yes, no </w:t>
      </w:r>
    </w:p>
    <w:p w:rsidR="009C7F01" w:rsidRPr="00140B03" w:rsidRDefault="009C7F01" w:rsidP="009C7F01">
      <w:pPr>
        <w:pStyle w:val="ListParagraph"/>
        <w:numPr>
          <w:ilvl w:val="0"/>
          <w:numId w:val="9"/>
        </w:numPr>
        <w:rPr>
          <w:rFonts w:cs="Arial"/>
          <w:i/>
        </w:rPr>
      </w:pPr>
      <w:r>
        <w:rPr>
          <w:rFonts w:cs="Arial"/>
        </w:rPr>
        <w:t xml:space="preserve">Malaria species: n(% those with malaria) </w:t>
      </w:r>
      <w:r w:rsidRPr="00140B03">
        <w:rPr>
          <w:rFonts w:cs="Arial"/>
          <w:i/>
        </w:rPr>
        <w:t>P. falciparum</w:t>
      </w:r>
      <w:r>
        <w:rPr>
          <w:rFonts w:cs="Arial"/>
        </w:rPr>
        <w:t xml:space="preserve">, </w:t>
      </w:r>
      <w:r w:rsidRPr="00140B03">
        <w:rPr>
          <w:rFonts w:cs="Arial"/>
          <w:i/>
        </w:rPr>
        <w:t>P.</w:t>
      </w:r>
      <w:r>
        <w:rPr>
          <w:rFonts w:cs="Arial"/>
          <w:i/>
        </w:rPr>
        <w:t xml:space="preserve"> </w:t>
      </w:r>
      <w:proofErr w:type="spellStart"/>
      <w:r w:rsidRPr="00140B03">
        <w:rPr>
          <w:rFonts w:cs="Arial"/>
          <w:i/>
        </w:rPr>
        <w:t>malariae</w:t>
      </w:r>
      <w:proofErr w:type="spellEnd"/>
      <w:r>
        <w:rPr>
          <w:rFonts w:cs="Arial"/>
        </w:rPr>
        <w:t xml:space="preserve">, </w:t>
      </w:r>
      <w:r w:rsidRPr="00140B03">
        <w:rPr>
          <w:rFonts w:cs="Arial"/>
          <w:i/>
        </w:rPr>
        <w:t>P.</w:t>
      </w:r>
      <w:r>
        <w:rPr>
          <w:rFonts w:cs="Arial"/>
          <w:i/>
        </w:rPr>
        <w:t xml:space="preserve"> </w:t>
      </w:r>
      <w:r w:rsidRPr="00140B03">
        <w:rPr>
          <w:rFonts w:cs="Arial"/>
          <w:i/>
        </w:rPr>
        <w:t>ovale</w:t>
      </w:r>
      <w:r>
        <w:rPr>
          <w:rFonts w:cs="Arial"/>
        </w:rPr>
        <w:t xml:space="preserve">, </w:t>
      </w:r>
      <w:r w:rsidRPr="00140B03">
        <w:rPr>
          <w:rFonts w:cs="Arial"/>
          <w:i/>
        </w:rPr>
        <w:t>P. vivax</w:t>
      </w:r>
    </w:p>
    <w:p w:rsidR="009C7F01" w:rsidRDefault="009C7F01" w:rsidP="009C7F01">
      <w:pPr>
        <w:pStyle w:val="ListParagraph"/>
        <w:numPr>
          <w:ilvl w:val="0"/>
          <w:numId w:val="9"/>
        </w:numPr>
        <w:rPr>
          <w:rFonts w:cs="Arial"/>
        </w:rPr>
      </w:pPr>
      <w:r>
        <w:rPr>
          <w:rFonts w:cs="Arial"/>
        </w:rPr>
        <w:t>Parasite count per 200 WBC, parasite count per 500 RBC: median (IQR)</w:t>
      </w:r>
    </w:p>
    <w:p w:rsidR="009C7F01" w:rsidRPr="00572BE0" w:rsidRDefault="009C7F01" w:rsidP="009C7F01">
      <w:pPr>
        <w:pStyle w:val="ListParagraph"/>
        <w:numPr>
          <w:ilvl w:val="0"/>
          <w:numId w:val="15"/>
        </w:numPr>
        <w:rPr>
          <w:rFonts w:cs="Arial"/>
        </w:rPr>
      </w:pPr>
      <w:r>
        <w:rPr>
          <w:rFonts w:cs="Arial"/>
        </w:rPr>
        <w:t>WBC, RBC, Hb from FBC, haematocrit, MCV, MCH, MCHC, platelets, lymphocytes, neutrophils, granulocytes, monocytes, reticulocyte count: median (IQR)</w:t>
      </w:r>
    </w:p>
    <w:p w:rsidR="009C7F01" w:rsidRDefault="009C7F01" w:rsidP="009C7F01">
      <w:pPr>
        <w:pStyle w:val="ListParagraph"/>
        <w:numPr>
          <w:ilvl w:val="0"/>
          <w:numId w:val="15"/>
        </w:numPr>
        <w:rPr>
          <w:rFonts w:cs="Arial"/>
        </w:rPr>
      </w:pPr>
      <w:r>
        <w:rPr>
          <w:rFonts w:cs="Arial"/>
        </w:rPr>
        <w:t>Sodium, potassium, urea/BUN, creatinine, albumin, AST, ALT, bilirubin: median (IQR)</w:t>
      </w:r>
    </w:p>
    <w:p w:rsidR="009C7F01" w:rsidRDefault="009C7F01" w:rsidP="009C7F01">
      <w:pPr>
        <w:pStyle w:val="ListParagraph"/>
        <w:numPr>
          <w:ilvl w:val="0"/>
          <w:numId w:val="15"/>
        </w:numPr>
        <w:rPr>
          <w:rFonts w:cs="Arial"/>
        </w:rPr>
      </w:pPr>
      <w:r>
        <w:rPr>
          <w:rFonts w:cs="Arial"/>
        </w:rPr>
        <w:t xml:space="preserve">Pathogens isolated: n(% samples tested) yes, no. </w:t>
      </w:r>
    </w:p>
    <w:p w:rsidR="009C7F01" w:rsidRPr="00572BE0" w:rsidRDefault="009C7F01" w:rsidP="009C7F01">
      <w:pPr>
        <w:pStyle w:val="ListParagraph"/>
        <w:numPr>
          <w:ilvl w:val="0"/>
          <w:numId w:val="15"/>
        </w:numPr>
        <w:rPr>
          <w:rFonts w:cs="Arial"/>
        </w:rPr>
      </w:pPr>
      <w:r>
        <w:rPr>
          <w:rFonts w:cs="Arial"/>
        </w:rPr>
        <w:t>List of pathogens: n(%)</w:t>
      </w:r>
    </w:p>
    <w:p w:rsidR="009C7F01" w:rsidRDefault="009C7F01" w:rsidP="009C7F01"/>
    <w:p w:rsidR="009C7F01" w:rsidRDefault="009C7F01" w:rsidP="009C7F01">
      <w:pPr>
        <w:pStyle w:val="Heading2"/>
      </w:pPr>
      <w:bookmarkStart w:id="6" w:name="_Toc488654622"/>
      <w:r w:rsidRPr="00F47C65">
        <w:t>Description of follow-up</w:t>
      </w:r>
      <w:bookmarkEnd w:id="6"/>
    </w:p>
    <w:p w:rsidR="009C7F01" w:rsidRDefault="009C7F01" w:rsidP="009C7F01"/>
    <w:p w:rsidR="009C7F01" w:rsidRDefault="009C7F01" w:rsidP="009C7F01">
      <w:r>
        <w:t>Denominator in each case is those who have been enrolled long enough ago for that visit to have occurred or to have completed follow up as appropriate, including those who have been lost to follow up.</w:t>
      </w:r>
    </w:p>
    <w:p w:rsidR="009C7F01" w:rsidRDefault="009C7F01" w:rsidP="009C7F01"/>
    <w:p w:rsidR="009C7F01" w:rsidRPr="009B7088" w:rsidRDefault="009C7F01" w:rsidP="009C7F01">
      <w:pPr>
        <w:rPr>
          <w:b/>
        </w:rPr>
      </w:pPr>
      <w:r w:rsidRPr="009B7088">
        <w:rPr>
          <w:b/>
        </w:rPr>
        <w:t>Completion of follow up visits</w:t>
      </w:r>
    </w:p>
    <w:p w:rsidR="009C7F01" w:rsidRDefault="009C7F01" w:rsidP="009C7F01">
      <w:pPr>
        <w:pStyle w:val="ListParagraph"/>
        <w:numPr>
          <w:ilvl w:val="0"/>
          <w:numId w:val="16"/>
        </w:numPr>
        <w:rPr>
          <w:rFonts w:cs="Arial"/>
          <w:b/>
        </w:rPr>
      </w:pPr>
      <w:r>
        <w:rPr>
          <w:rFonts w:cs="Arial"/>
          <w:b/>
        </w:rPr>
        <w:t>V</w:t>
      </w:r>
      <w:r w:rsidRPr="00F54305">
        <w:rPr>
          <w:rFonts w:cs="Arial"/>
          <w:b/>
        </w:rPr>
        <w:t>isits</w:t>
      </w:r>
      <w:r>
        <w:rPr>
          <w:rFonts w:cs="Arial"/>
          <w:b/>
        </w:rPr>
        <w:t xml:space="preserve"> considered complete, defined as attended or died before the visit took place,</w:t>
      </w:r>
      <w:r w:rsidR="00DE78B8">
        <w:rPr>
          <w:rFonts w:cs="Arial"/>
          <w:b/>
        </w:rPr>
        <w:t xml:space="preserve"> at 7 days,</w:t>
      </w:r>
      <w:r w:rsidRPr="00100C90">
        <w:rPr>
          <w:rFonts w:cs="Arial"/>
          <w:b/>
        </w:rPr>
        <w:t xml:space="preserve"> at 28 days, </w:t>
      </w:r>
      <w:r w:rsidRPr="00100C90">
        <w:rPr>
          <w:rFonts w:cs="Arial"/>
        </w:rPr>
        <w:t>and overall</w:t>
      </w:r>
      <w:r w:rsidRPr="00100C90">
        <w:rPr>
          <w:rFonts w:cs="Arial"/>
          <w:b/>
        </w:rPr>
        <w:t xml:space="preserve">: n(%) </w:t>
      </w:r>
    </w:p>
    <w:p w:rsidR="009C7F01" w:rsidRPr="00100C90" w:rsidRDefault="009C7F01" w:rsidP="009C7F01">
      <w:pPr>
        <w:pStyle w:val="ListParagraph"/>
        <w:numPr>
          <w:ilvl w:val="0"/>
          <w:numId w:val="16"/>
        </w:numPr>
        <w:rPr>
          <w:rFonts w:cs="Arial"/>
          <w:b/>
        </w:rPr>
      </w:pPr>
      <w:r>
        <w:rPr>
          <w:rFonts w:cs="Arial"/>
          <w:b/>
        </w:rPr>
        <w:t xml:space="preserve">Child status at </w:t>
      </w:r>
      <w:r w:rsidR="00DE78B8">
        <w:rPr>
          <w:rFonts w:cs="Arial"/>
          <w:b/>
        </w:rPr>
        <w:t xml:space="preserve">7 day, </w:t>
      </w:r>
      <w:r>
        <w:rPr>
          <w:rFonts w:cs="Arial"/>
          <w:b/>
        </w:rPr>
        <w:t xml:space="preserve">28 days, </w:t>
      </w:r>
      <w:r w:rsidRPr="00100C90">
        <w:rPr>
          <w:rFonts w:cs="Arial"/>
        </w:rPr>
        <w:t>and overall</w:t>
      </w:r>
      <w:r>
        <w:rPr>
          <w:rFonts w:cs="Arial"/>
          <w:b/>
        </w:rPr>
        <w:t xml:space="preserve">: n(%) visit done, died, lost to follow up, missed visit. </w:t>
      </w:r>
    </w:p>
    <w:p w:rsidR="009C7F01" w:rsidRDefault="009C7F01" w:rsidP="009C7F01">
      <w:pPr>
        <w:rPr>
          <w:b/>
        </w:rPr>
      </w:pPr>
      <w:r>
        <w:t>Co</w:t>
      </w:r>
      <w:r w:rsidRPr="00A661E9">
        <w:rPr>
          <w:b/>
        </w:rPr>
        <w:t xml:space="preserve">mpleteness of neurological assessment records </w:t>
      </w:r>
    </w:p>
    <w:p w:rsidR="009C7F01" w:rsidRDefault="009C7F01" w:rsidP="009C7F01">
      <w:pPr>
        <w:pStyle w:val="ListParagraph"/>
        <w:numPr>
          <w:ilvl w:val="0"/>
          <w:numId w:val="17"/>
        </w:numPr>
        <w:rPr>
          <w:b/>
        </w:rPr>
      </w:pPr>
      <w:r>
        <w:rPr>
          <w:b/>
        </w:rPr>
        <w:lastRenderedPageBreak/>
        <w:t xml:space="preserve">Records considered complete, defined as a non-missing entry or died before the time point at </w:t>
      </w:r>
      <w:r w:rsidR="004D499C">
        <w:rPr>
          <w:b/>
        </w:rPr>
        <w:t>28 days</w:t>
      </w:r>
      <w:r>
        <w:rPr>
          <w:b/>
        </w:rPr>
        <w:t>: n(%)</w:t>
      </w:r>
    </w:p>
    <w:p w:rsidR="009B1973" w:rsidRDefault="009B1973" w:rsidP="009B1973">
      <w:pPr>
        <w:rPr>
          <w:b/>
        </w:rPr>
      </w:pPr>
      <w:r>
        <w:rPr>
          <w:b/>
        </w:rPr>
        <w:t>Completeness of safety and efficacy data at 8 hours and 24 hours</w:t>
      </w:r>
    </w:p>
    <w:p w:rsidR="009B1973" w:rsidRDefault="009B1973" w:rsidP="009B1973">
      <w:pPr>
        <w:rPr>
          <w:b/>
        </w:rPr>
      </w:pPr>
    </w:p>
    <w:p w:rsidR="009B1973" w:rsidRDefault="009B1973" w:rsidP="009B1973">
      <w:pPr>
        <w:pStyle w:val="ListParagraph"/>
        <w:numPr>
          <w:ilvl w:val="0"/>
          <w:numId w:val="17"/>
        </w:numPr>
        <w:rPr>
          <w:b/>
        </w:rPr>
      </w:pPr>
      <w:r>
        <w:rPr>
          <w:b/>
        </w:rPr>
        <w:t>Records considered complete, defined as a non-missing entry or died before the time point: n(%)</w:t>
      </w:r>
    </w:p>
    <w:p w:rsidR="009B1973" w:rsidRPr="009B1973" w:rsidRDefault="009B1973" w:rsidP="009B1973">
      <w:pPr>
        <w:rPr>
          <w:b/>
        </w:rPr>
      </w:pPr>
    </w:p>
    <w:p w:rsidR="009C7F01" w:rsidRDefault="009C7F01" w:rsidP="009C7F01">
      <w:pPr>
        <w:rPr>
          <w:b/>
        </w:rPr>
      </w:pPr>
    </w:p>
    <w:p w:rsidR="009C7F01" w:rsidRDefault="009C7F01" w:rsidP="009C7F01">
      <w:pPr>
        <w:pStyle w:val="Heading2"/>
      </w:pPr>
      <w:r>
        <w:t xml:space="preserve">Adherence to treatment </w:t>
      </w:r>
    </w:p>
    <w:p w:rsidR="009C7F01" w:rsidRDefault="009C7F01" w:rsidP="009C7F01"/>
    <w:p w:rsidR="009C7F01" w:rsidRDefault="00B80BD5" w:rsidP="009C7F01">
      <w:pPr>
        <w:rPr>
          <w:b/>
        </w:rPr>
      </w:pPr>
      <w:r>
        <w:rPr>
          <w:b/>
        </w:rPr>
        <w:t>Number received infusion at 0 hours: N (%)</w:t>
      </w:r>
    </w:p>
    <w:p w:rsidR="00B80BD5" w:rsidRDefault="00B80BD5" w:rsidP="009C7F01">
      <w:pPr>
        <w:rPr>
          <w:b/>
        </w:rPr>
      </w:pPr>
      <w:r>
        <w:rPr>
          <w:b/>
        </w:rPr>
        <w:t>Number received infusion at 8 hours: N</w:t>
      </w:r>
      <w:r w:rsidR="006B4BC9">
        <w:rPr>
          <w:b/>
        </w:rPr>
        <w:t xml:space="preserve"> </w:t>
      </w:r>
      <w:r>
        <w:rPr>
          <w:b/>
        </w:rPr>
        <w:t>(%)</w:t>
      </w:r>
    </w:p>
    <w:p w:rsidR="00B80BD5" w:rsidRPr="0016548D" w:rsidRDefault="00B80BD5" w:rsidP="009C7F01">
      <w:pPr>
        <w:rPr>
          <w:b/>
        </w:rPr>
      </w:pPr>
      <w:r>
        <w:rPr>
          <w:b/>
        </w:rPr>
        <w:t>Number received infusion at 16 hours: N</w:t>
      </w:r>
      <w:r w:rsidR="006B4BC9">
        <w:rPr>
          <w:b/>
        </w:rPr>
        <w:t xml:space="preserve"> </w:t>
      </w:r>
      <w:r>
        <w:rPr>
          <w:b/>
        </w:rPr>
        <w:t>(%)</w:t>
      </w:r>
    </w:p>
    <w:p w:rsidR="009C7F01" w:rsidRDefault="009C7F01" w:rsidP="009C7F01"/>
    <w:p w:rsidR="009C7F01" w:rsidRDefault="009C7F01" w:rsidP="009C7F01"/>
    <w:p w:rsidR="009C7F01" w:rsidRDefault="009C7F01" w:rsidP="009C7F01">
      <w:pPr>
        <w:pStyle w:val="Heading2"/>
      </w:pPr>
      <w:r>
        <w:t xml:space="preserve">Primary analysis </w:t>
      </w:r>
    </w:p>
    <w:p w:rsidR="009C7F01" w:rsidRPr="006B4BC9" w:rsidRDefault="009C7F01" w:rsidP="009C7F01">
      <w:pPr>
        <w:rPr>
          <w:b/>
        </w:rPr>
      </w:pPr>
    </w:p>
    <w:p w:rsidR="00B80BD5" w:rsidRPr="006B4BC9" w:rsidRDefault="00B80BD5" w:rsidP="00B80BD5">
      <w:pPr>
        <w:pStyle w:val="PTBodyText"/>
        <w:rPr>
          <w:b/>
        </w:rPr>
      </w:pPr>
      <w:r w:rsidRPr="006B4BC9">
        <w:rPr>
          <w:rFonts w:asciiTheme="minorHAnsi" w:hAnsiTheme="minorHAnsi"/>
          <w:b/>
        </w:rPr>
        <w:t>Number of APTT&gt;2.5xULN 1h post any sevuparin dose (grade 3 following the CTC)</w:t>
      </w:r>
      <w:r w:rsidR="00F2591F" w:rsidRPr="006B4BC9">
        <w:rPr>
          <w:rFonts w:asciiTheme="minorHAnsi" w:hAnsiTheme="minorHAnsi"/>
          <w:b/>
        </w:rPr>
        <w:t xml:space="preserve"> at each dose level</w:t>
      </w:r>
      <w:r w:rsidRPr="006B4BC9">
        <w:rPr>
          <w:rFonts w:asciiTheme="minorHAnsi" w:hAnsiTheme="minorHAnsi"/>
          <w:b/>
        </w:rPr>
        <w:t xml:space="preserve">: N(%) </w:t>
      </w:r>
    </w:p>
    <w:p w:rsidR="00B80BD5" w:rsidRPr="006B4BC9" w:rsidRDefault="00B80BD5" w:rsidP="009C7F01">
      <w:pPr>
        <w:rPr>
          <w:b/>
        </w:rPr>
      </w:pPr>
    </w:p>
    <w:p w:rsidR="009C7F01" w:rsidRDefault="009C7F01" w:rsidP="009C7F01"/>
    <w:p w:rsidR="009C7F01" w:rsidRDefault="00C90A3D" w:rsidP="009C7F01">
      <w:pPr>
        <w:pStyle w:val="Heading2"/>
      </w:pPr>
      <w:r>
        <w:t>Secondary</w:t>
      </w:r>
      <w:r w:rsidR="009C7F01">
        <w:t xml:space="preserve"> analysis </w:t>
      </w:r>
    </w:p>
    <w:p w:rsidR="009C7F01" w:rsidRDefault="009C7F01" w:rsidP="009C7F01"/>
    <w:p w:rsidR="009C7F01" w:rsidRDefault="009C7F01" w:rsidP="009C7F01"/>
    <w:p w:rsidR="0061643B" w:rsidRPr="00C23F95" w:rsidRDefault="0061643B" w:rsidP="006B4BC9">
      <w:pPr>
        <w:pStyle w:val="PTBulletList"/>
        <w:numPr>
          <w:ilvl w:val="0"/>
          <w:numId w:val="0"/>
        </w:numPr>
      </w:pPr>
      <w:r>
        <w:t>Efficacy</w:t>
      </w:r>
    </w:p>
    <w:p w:rsidR="0061643B" w:rsidRDefault="0061643B" w:rsidP="0061643B">
      <w:pPr>
        <w:pStyle w:val="PTBodyText"/>
      </w:pPr>
    </w:p>
    <w:p w:rsidR="0061643B" w:rsidRPr="006B4BC9" w:rsidRDefault="0061643B" w:rsidP="0061643B">
      <w:pPr>
        <w:pStyle w:val="PTBodyText"/>
        <w:rPr>
          <w:b/>
        </w:rPr>
      </w:pPr>
      <w:r w:rsidRPr="006B4BC9">
        <w:rPr>
          <w:b/>
        </w:rPr>
        <w:t>Change in lactate from 0 to 8 hours: mean (sd)</w:t>
      </w:r>
      <w:r w:rsidR="006B4BC9" w:rsidRPr="006B4BC9">
        <w:rPr>
          <w:b/>
        </w:rPr>
        <w:t xml:space="preserve"> overall </w:t>
      </w:r>
      <w:r w:rsidR="00C90A3D">
        <w:rPr>
          <w:b/>
        </w:rPr>
        <w:t>and by each dose level</w:t>
      </w:r>
    </w:p>
    <w:p w:rsidR="0061643B" w:rsidRPr="006B4BC9" w:rsidRDefault="0061643B" w:rsidP="0061643B">
      <w:pPr>
        <w:pStyle w:val="PTBodyText"/>
        <w:rPr>
          <w:b/>
        </w:rPr>
      </w:pPr>
      <w:r w:rsidRPr="006B4BC9">
        <w:rPr>
          <w:b/>
        </w:rPr>
        <w:t xml:space="preserve">Presence of mature infected erythrocytes on the blood films at 8 and 24 hours: N (%) </w:t>
      </w:r>
      <w:r w:rsidR="00C90A3D">
        <w:rPr>
          <w:b/>
        </w:rPr>
        <w:t>overall and by each dose level</w:t>
      </w:r>
    </w:p>
    <w:p w:rsidR="0061643B" w:rsidRPr="006B4BC9" w:rsidRDefault="0061643B" w:rsidP="0061643B">
      <w:pPr>
        <w:pStyle w:val="PTBodyText"/>
        <w:rPr>
          <w:b/>
        </w:rPr>
      </w:pPr>
      <w:r w:rsidRPr="006B4BC9">
        <w:rPr>
          <w:b/>
        </w:rPr>
        <w:t xml:space="preserve">Parasite clearance time: mean (sd) hrs </w:t>
      </w:r>
      <w:r w:rsidR="00C90A3D">
        <w:rPr>
          <w:b/>
        </w:rPr>
        <w:t>overall and by each dose level</w:t>
      </w:r>
    </w:p>
    <w:p w:rsidR="0061643B" w:rsidRPr="006B4BC9" w:rsidRDefault="0061643B" w:rsidP="0061643B">
      <w:pPr>
        <w:pStyle w:val="PTBodyText"/>
        <w:rPr>
          <w:b/>
        </w:rPr>
      </w:pPr>
      <w:r w:rsidRPr="006B4BC9">
        <w:rPr>
          <w:b/>
        </w:rPr>
        <w:t xml:space="preserve">Change in sublingual microcirculation over time: mean </w:t>
      </w:r>
      <w:r w:rsidR="00337FDD" w:rsidRPr="006B4BC9">
        <w:rPr>
          <w:b/>
        </w:rPr>
        <w:t xml:space="preserve">(sd) </w:t>
      </w:r>
      <w:r w:rsidRPr="006B4BC9">
        <w:rPr>
          <w:b/>
        </w:rPr>
        <w:t>pro</w:t>
      </w:r>
      <w:r w:rsidR="00337FDD" w:rsidRPr="006B4BC9">
        <w:rPr>
          <w:b/>
        </w:rPr>
        <w:t>portion of perfused vessels; mean (sd) average perfusion speed indicator</w:t>
      </w:r>
      <w:r w:rsidR="00C90A3D">
        <w:rPr>
          <w:b/>
        </w:rPr>
        <w:t xml:space="preserve"> overall and by each dose level</w:t>
      </w:r>
      <w:r w:rsidR="00112196">
        <w:rPr>
          <w:b/>
        </w:rPr>
        <w:t xml:space="preserve"> calculated using a Capillary Network Analysis</w:t>
      </w:r>
      <w:r w:rsidR="00C90A3D">
        <w:rPr>
          <w:b/>
        </w:rPr>
        <w:t>.</w:t>
      </w:r>
    </w:p>
    <w:p w:rsidR="0061643B" w:rsidRPr="006B4BC9" w:rsidRDefault="0061643B" w:rsidP="0061643B">
      <w:pPr>
        <w:pStyle w:val="PTBodyText"/>
        <w:rPr>
          <w:b/>
        </w:rPr>
      </w:pPr>
    </w:p>
    <w:p w:rsidR="0061643B" w:rsidRPr="006B4BC9" w:rsidRDefault="0061643B" w:rsidP="006B4BC9">
      <w:pPr>
        <w:pStyle w:val="PTBulletList"/>
        <w:numPr>
          <w:ilvl w:val="0"/>
          <w:numId w:val="0"/>
        </w:numPr>
      </w:pPr>
      <w:r w:rsidRPr="006B4BC9">
        <w:t>Safety Endpoints</w:t>
      </w:r>
    </w:p>
    <w:p w:rsidR="00337FDD" w:rsidRPr="006B4BC9" w:rsidRDefault="00337FDD" w:rsidP="00337FDD">
      <w:pPr>
        <w:pStyle w:val="PTBulletList"/>
        <w:numPr>
          <w:ilvl w:val="0"/>
          <w:numId w:val="0"/>
        </w:numPr>
        <w:rPr>
          <w:b/>
        </w:rPr>
      </w:pPr>
    </w:p>
    <w:p w:rsidR="0061643B" w:rsidRPr="006B4BC9" w:rsidRDefault="0061643B" w:rsidP="00337FDD">
      <w:pPr>
        <w:pStyle w:val="PTBulletList"/>
        <w:numPr>
          <w:ilvl w:val="0"/>
          <w:numId w:val="0"/>
        </w:numPr>
        <w:rPr>
          <w:b/>
        </w:rPr>
      </w:pPr>
      <w:r w:rsidRPr="006B4BC9">
        <w:rPr>
          <w:b/>
        </w:rPr>
        <w:t>APTT 24h post enrolment (absolute level and grade)</w:t>
      </w:r>
      <w:r w:rsidR="00337FDD" w:rsidRPr="006B4BC9">
        <w:rPr>
          <w:b/>
        </w:rPr>
        <w:t>: mean (sd) and N (%) with each grade</w:t>
      </w:r>
      <w:r w:rsidR="00C90A3D">
        <w:rPr>
          <w:b/>
        </w:rPr>
        <w:t xml:space="preserve">, overall and by each dose level. </w:t>
      </w:r>
    </w:p>
    <w:p w:rsidR="0061643B" w:rsidRPr="006B4BC9" w:rsidRDefault="0061643B" w:rsidP="00337FDD">
      <w:pPr>
        <w:pStyle w:val="PTBulletList"/>
        <w:numPr>
          <w:ilvl w:val="0"/>
          <w:numId w:val="0"/>
        </w:numPr>
        <w:rPr>
          <w:b/>
        </w:rPr>
      </w:pPr>
      <w:r w:rsidRPr="006B4BC9">
        <w:rPr>
          <w:b/>
        </w:rPr>
        <w:t>Development of abnormalites of coagulation indices (prothrombin) (Grade 2 and above)</w:t>
      </w:r>
      <w:r w:rsidR="00337FDD" w:rsidRPr="006B4BC9">
        <w:rPr>
          <w:b/>
        </w:rPr>
        <w:t xml:space="preserve">: N (%) overall and </w:t>
      </w:r>
      <w:r w:rsidR="00C90A3D">
        <w:rPr>
          <w:b/>
        </w:rPr>
        <w:t xml:space="preserve">by each dose level </w:t>
      </w:r>
    </w:p>
    <w:p w:rsidR="0061643B" w:rsidRPr="006B4BC9" w:rsidRDefault="0061643B" w:rsidP="00337FDD">
      <w:pPr>
        <w:pStyle w:val="PTBulletList"/>
        <w:numPr>
          <w:ilvl w:val="0"/>
          <w:numId w:val="0"/>
        </w:numPr>
        <w:rPr>
          <w:b/>
        </w:rPr>
      </w:pPr>
      <w:r w:rsidRPr="006B4BC9">
        <w:rPr>
          <w:b/>
        </w:rPr>
        <w:t xml:space="preserve">Neurological sequelae </w:t>
      </w:r>
      <w:r w:rsidR="00337FDD" w:rsidRPr="006B4BC9">
        <w:rPr>
          <w:b/>
        </w:rPr>
        <w:t xml:space="preserve">present at </w:t>
      </w:r>
      <w:r w:rsidRPr="006B4BC9">
        <w:rPr>
          <w:b/>
        </w:rPr>
        <w:t>day 28</w:t>
      </w:r>
      <w:r w:rsidR="00337FDD" w:rsidRPr="006B4BC9">
        <w:rPr>
          <w:b/>
        </w:rPr>
        <w:t>: N(%)</w:t>
      </w:r>
    </w:p>
    <w:p w:rsidR="0061643B" w:rsidRPr="006B4BC9" w:rsidRDefault="00337FDD" w:rsidP="00337FDD">
      <w:pPr>
        <w:pStyle w:val="PTBulletList"/>
        <w:numPr>
          <w:ilvl w:val="0"/>
          <w:numId w:val="0"/>
        </w:numPr>
        <w:rPr>
          <w:b/>
        </w:rPr>
      </w:pPr>
      <w:r w:rsidRPr="006B4BC9">
        <w:rPr>
          <w:b/>
        </w:rPr>
        <w:t>Died by</w:t>
      </w:r>
      <w:r w:rsidR="0061643B" w:rsidRPr="006B4BC9">
        <w:rPr>
          <w:b/>
        </w:rPr>
        <w:t xml:space="preserve"> day 28</w:t>
      </w:r>
      <w:r w:rsidRPr="006B4BC9">
        <w:rPr>
          <w:b/>
        </w:rPr>
        <w:t>: N(%)</w:t>
      </w:r>
    </w:p>
    <w:p w:rsidR="0061643B" w:rsidRPr="006B4BC9" w:rsidRDefault="00337FDD" w:rsidP="00337FDD">
      <w:pPr>
        <w:pStyle w:val="PTBulletList"/>
        <w:numPr>
          <w:ilvl w:val="0"/>
          <w:numId w:val="0"/>
        </w:numPr>
        <w:rPr>
          <w:b/>
        </w:rPr>
      </w:pPr>
      <w:r w:rsidRPr="006B4BC9">
        <w:rPr>
          <w:b/>
        </w:rPr>
        <w:t xml:space="preserve">Serious adverse events by </w:t>
      </w:r>
      <w:r w:rsidR="0061643B" w:rsidRPr="006B4BC9">
        <w:rPr>
          <w:b/>
        </w:rPr>
        <w:t>day 28</w:t>
      </w:r>
      <w:r w:rsidRPr="006B4BC9">
        <w:rPr>
          <w:b/>
        </w:rPr>
        <w:t xml:space="preserve">: N(%) </w:t>
      </w:r>
    </w:p>
    <w:p w:rsidR="0061643B" w:rsidRPr="006B4BC9" w:rsidRDefault="00337FDD" w:rsidP="00337FDD">
      <w:pPr>
        <w:pStyle w:val="PTBulletList"/>
        <w:numPr>
          <w:ilvl w:val="0"/>
          <w:numId w:val="0"/>
        </w:numPr>
        <w:rPr>
          <w:b/>
        </w:rPr>
      </w:pPr>
      <w:r w:rsidRPr="006B4BC9">
        <w:rPr>
          <w:b/>
        </w:rPr>
        <w:t>G</w:t>
      </w:r>
      <w:r w:rsidR="0061643B" w:rsidRPr="006B4BC9">
        <w:rPr>
          <w:b/>
        </w:rPr>
        <w:t xml:space="preserve">rade 3/4 adverse events </w:t>
      </w:r>
      <w:r w:rsidRPr="006B4BC9">
        <w:rPr>
          <w:b/>
        </w:rPr>
        <w:t xml:space="preserve">by </w:t>
      </w:r>
      <w:r w:rsidR="0061643B" w:rsidRPr="006B4BC9">
        <w:rPr>
          <w:b/>
        </w:rPr>
        <w:t>day 28</w:t>
      </w:r>
      <w:r w:rsidRPr="006B4BC9">
        <w:rPr>
          <w:b/>
        </w:rPr>
        <w:t>: N(%)</w:t>
      </w:r>
    </w:p>
    <w:p w:rsidR="00254769" w:rsidRPr="006B4BC9" w:rsidRDefault="00254769" w:rsidP="008715B8">
      <w:pPr>
        <w:rPr>
          <w:b/>
        </w:rPr>
      </w:pPr>
    </w:p>
    <w:sectPr w:rsidR="00254769" w:rsidRPr="006B4BC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7AD" w:rsidRDefault="009247AD" w:rsidP="00112196">
      <w:pPr>
        <w:spacing w:line="240" w:lineRule="auto"/>
      </w:pPr>
      <w:r>
        <w:separator/>
      </w:r>
    </w:p>
  </w:endnote>
  <w:endnote w:type="continuationSeparator" w:id="0">
    <w:p w:rsidR="009247AD" w:rsidRDefault="009247AD" w:rsidP="00112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600289"/>
      <w:docPartObj>
        <w:docPartGallery w:val="Page Numbers (Bottom of Page)"/>
        <w:docPartUnique/>
      </w:docPartObj>
    </w:sdtPr>
    <w:sdtEndPr>
      <w:rPr>
        <w:noProof/>
      </w:rPr>
    </w:sdtEndPr>
    <w:sdtContent>
      <w:p w:rsidR="00112196" w:rsidRDefault="00112196">
        <w:pPr>
          <w:pStyle w:val="Footer"/>
          <w:jc w:val="center"/>
        </w:pPr>
        <w:r>
          <w:fldChar w:fldCharType="begin"/>
        </w:r>
        <w:r>
          <w:instrText xml:space="preserve"> PAGE   \* MERGEFORMAT </w:instrText>
        </w:r>
        <w:r>
          <w:fldChar w:fldCharType="separate"/>
        </w:r>
        <w:r w:rsidR="009F58D6">
          <w:rPr>
            <w:noProof/>
          </w:rPr>
          <w:t>2</w:t>
        </w:r>
        <w:r>
          <w:rPr>
            <w:noProof/>
          </w:rPr>
          <w:fldChar w:fldCharType="end"/>
        </w:r>
      </w:p>
    </w:sdtContent>
  </w:sdt>
  <w:p w:rsidR="00112196" w:rsidRDefault="00112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7AD" w:rsidRDefault="009247AD" w:rsidP="00112196">
      <w:pPr>
        <w:spacing w:line="240" w:lineRule="auto"/>
      </w:pPr>
      <w:r>
        <w:separator/>
      </w:r>
    </w:p>
  </w:footnote>
  <w:footnote w:type="continuationSeparator" w:id="0">
    <w:p w:rsidR="009247AD" w:rsidRDefault="009247AD" w:rsidP="001121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196" w:rsidRDefault="00112196">
    <w:pPr>
      <w:pStyle w:val="Header"/>
    </w:pPr>
    <w:r>
      <w:ptab w:relativeTo="margin" w:alignment="center" w:leader="none"/>
    </w:r>
    <w:r>
      <w:ptab w:relativeTo="margin" w:alignment="right" w:leader="none"/>
    </w:r>
    <w:r>
      <w:t>SEVUSMART SAP draft v0.2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F160E"/>
    <w:multiLevelType w:val="hybridMultilevel"/>
    <w:tmpl w:val="98661E3C"/>
    <w:lvl w:ilvl="0" w:tplc="0E7AD274">
      <w:start w:val="1"/>
      <w:numFmt w:val="bullet"/>
      <w:pStyle w:val="PTBulletLis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A3339C8"/>
    <w:multiLevelType w:val="multilevel"/>
    <w:tmpl w:val="4C1E6CE2"/>
    <w:styleLink w:val="OutlineHeading4"/>
    <w:lvl w:ilvl="0">
      <w:start w:val="1"/>
      <w:numFmt w:val="decimal"/>
      <w:pStyle w:val="PTOutlineHeading1"/>
      <w:lvlText w:val="%1"/>
      <w:lvlJc w:val="left"/>
      <w:pPr>
        <w:ind w:left="432" w:hanging="432"/>
      </w:pPr>
    </w:lvl>
    <w:lvl w:ilvl="1">
      <w:start w:val="1"/>
      <w:numFmt w:val="decimal"/>
      <w:pStyle w:val="PTOutlineHeading2"/>
      <w:lvlText w:val="%1.%2"/>
      <w:lvlJc w:val="left"/>
      <w:pPr>
        <w:ind w:left="576" w:hanging="576"/>
      </w:pPr>
    </w:lvl>
    <w:lvl w:ilvl="2">
      <w:start w:val="1"/>
      <w:numFmt w:val="decimal"/>
      <w:pStyle w:val="PTOutlineHeading3"/>
      <w:lvlText w:val="%1.%2.%3"/>
      <w:lvlJc w:val="left"/>
      <w:pPr>
        <w:ind w:left="720" w:hanging="720"/>
      </w:pPr>
    </w:lvl>
    <w:lvl w:ilvl="3">
      <w:start w:val="1"/>
      <w:numFmt w:val="upperLetter"/>
      <w:pStyle w:val="PTOutlineHeading4"/>
      <w:lvlText w:val="%1.%2.%3.%4"/>
      <w:lvlJc w:val="left"/>
      <w:pPr>
        <w:ind w:left="864" w:hanging="864"/>
      </w:pPr>
      <w:rPr>
        <w:rFonts w:ascii="Calibri" w:hAnsi="Calibri"/>
        <w:color w:val="365F91"/>
        <w:sz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7D345B"/>
    <w:multiLevelType w:val="hybridMultilevel"/>
    <w:tmpl w:val="B03C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D0E49"/>
    <w:multiLevelType w:val="hybridMultilevel"/>
    <w:tmpl w:val="044C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26BDC"/>
    <w:multiLevelType w:val="hybridMultilevel"/>
    <w:tmpl w:val="469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850D7A"/>
    <w:multiLevelType w:val="hybridMultilevel"/>
    <w:tmpl w:val="6FE4F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D20B8"/>
    <w:multiLevelType w:val="hybridMultilevel"/>
    <w:tmpl w:val="DA78D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07BF4"/>
    <w:multiLevelType w:val="hybridMultilevel"/>
    <w:tmpl w:val="42B80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E2806"/>
    <w:multiLevelType w:val="hybridMultilevel"/>
    <w:tmpl w:val="55C0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92681"/>
    <w:multiLevelType w:val="hybridMultilevel"/>
    <w:tmpl w:val="6A245992"/>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0" w15:restartNumberingAfterBreak="0">
    <w:nsid w:val="48007063"/>
    <w:multiLevelType w:val="hybridMultilevel"/>
    <w:tmpl w:val="001A2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E0CC9"/>
    <w:multiLevelType w:val="hybridMultilevel"/>
    <w:tmpl w:val="52A2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C41D7"/>
    <w:multiLevelType w:val="hybridMultilevel"/>
    <w:tmpl w:val="2B9201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391F26"/>
    <w:multiLevelType w:val="hybridMultilevel"/>
    <w:tmpl w:val="6A245992"/>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4" w15:restartNumberingAfterBreak="0">
    <w:nsid w:val="6E3838FF"/>
    <w:multiLevelType w:val="hybridMultilevel"/>
    <w:tmpl w:val="D0F84FEA"/>
    <w:lvl w:ilvl="0" w:tplc="49F8FBF4">
      <w:start w:val="1"/>
      <w:numFmt w:val="decimal"/>
      <w:pStyle w:val="Heading1"/>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11E51B8"/>
    <w:multiLevelType w:val="multilevel"/>
    <w:tmpl w:val="4C1E6CE2"/>
    <w:numStyleLink w:val="OutlineHeading4"/>
  </w:abstractNum>
  <w:abstractNum w:abstractNumId="16" w15:restartNumberingAfterBreak="0">
    <w:nsid w:val="7BA96543"/>
    <w:multiLevelType w:val="hybridMultilevel"/>
    <w:tmpl w:val="995CC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3"/>
  </w:num>
  <w:num w:numId="4">
    <w:abstractNumId w:val="15"/>
    <w:lvlOverride w:ilvl="0">
      <w:lvl w:ilvl="0">
        <w:start w:val="1"/>
        <w:numFmt w:val="decimal"/>
        <w:lvlText w:val="%1"/>
        <w:lvlJc w:val="left"/>
        <w:pPr>
          <w:ind w:left="432" w:hanging="432"/>
        </w:pPr>
      </w:lvl>
    </w:lvlOverride>
    <w:lvlOverride w:ilvl="1">
      <w:lvl w:ilvl="1">
        <w:start w:val="1"/>
        <w:numFmt w:val="decimal"/>
        <w:lvlText w:val="%1.%2"/>
        <w:lvlJc w:val="left"/>
        <w:pPr>
          <w:ind w:left="1002" w:hanging="576"/>
        </w:pPr>
        <w:rPr>
          <w:sz w:val="24"/>
          <w:szCs w:val="24"/>
        </w:rPr>
      </w:lvl>
    </w:lvlOverride>
    <w:lvlOverride w:ilvl="2">
      <w:lvl w:ilvl="2">
        <w:start w:val="1"/>
        <w:numFmt w:val="decimal"/>
        <w:lvlText w:val="%1.%2.%3"/>
        <w:lvlJc w:val="left"/>
        <w:pPr>
          <w:ind w:left="720" w:hanging="720"/>
        </w:pPr>
      </w:lvl>
    </w:lvlOverride>
    <w:lvlOverride w:ilvl="3">
      <w:lvl w:ilvl="3">
        <w:start w:val="1"/>
        <w:numFmt w:val="upperLetter"/>
        <w:lvlText w:val="%1.%2.%3.%4"/>
        <w:lvlJc w:val="left"/>
        <w:pPr>
          <w:ind w:left="864" w:hanging="864"/>
        </w:pPr>
        <w:rPr>
          <w:rFonts w:ascii="Calibri" w:hAnsi="Calibri"/>
          <w:color w:val="365F91"/>
          <w:sz w:val="22"/>
        </w:r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5">
    <w:abstractNumId w:val="1"/>
  </w:num>
  <w:num w:numId="6">
    <w:abstractNumId w:val="0"/>
  </w:num>
  <w:num w:numId="7">
    <w:abstractNumId w:val="12"/>
  </w:num>
  <w:num w:numId="8">
    <w:abstractNumId w:val="8"/>
  </w:num>
  <w:num w:numId="9">
    <w:abstractNumId w:val="16"/>
  </w:num>
  <w:num w:numId="10">
    <w:abstractNumId w:val="7"/>
  </w:num>
  <w:num w:numId="11">
    <w:abstractNumId w:val="2"/>
  </w:num>
  <w:num w:numId="12">
    <w:abstractNumId w:val="6"/>
  </w:num>
  <w:num w:numId="13">
    <w:abstractNumId w:val="5"/>
  </w:num>
  <w:num w:numId="14">
    <w:abstractNumId w:val="4"/>
  </w:num>
  <w:num w:numId="15">
    <w:abstractNumId w:val="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AF"/>
    <w:rsid w:val="000D6780"/>
    <w:rsid w:val="00112196"/>
    <w:rsid w:val="00254769"/>
    <w:rsid w:val="00285554"/>
    <w:rsid w:val="00337FDD"/>
    <w:rsid w:val="004D499C"/>
    <w:rsid w:val="005D69EF"/>
    <w:rsid w:val="0061643B"/>
    <w:rsid w:val="00670BE0"/>
    <w:rsid w:val="006B4BC9"/>
    <w:rsid w:val="008715B8"/>
    <w:rsid w:val="009247AD"/>
    <w:rsid w:val="009B1973"/>
    <w:rsid w:val="009C7F01"/>
    <w:rsid w:val="009F58D6"/>
    <w:rsid w:val="00B80BD5"/>
    <w:rsid w:val="00C1297A"/>
    <w:rsid w:val="00C90A3D"/>
    <w:rsid w:val="00CB7852"/>
    <w:rsid w:val="00CF68AF"/>
    <w:rsid w:val="00DE78B8"/>
    <w:rsid w:val="00F25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B4198"/>
  <w15:chartTrackingRefBased/>
  <w15:docId w15:val="{1F960D4C-B937-40F0-A06B-03F9B6CD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8AF"/>
    <w:pPr>
      <w:spacing w:after="0" w:line="276" w:lineRule="auto"/>
    </w:pPr>
    <w:rPr>
      <w:rFonts w:cs="Times New Roman"/>
      <w:szCs w:val="24"/>
      <w:lang w:val="en-US"/>
    </w:rPr>
  </w:style>
  <w:style w:type="paragraph" w:styleId="Heading1">
    <w:name w:val="heading 1"/>
    <w:basedOn w:val="Normal"/>
    <w:next w:val="Normal"/>
    <w:link w:val="Heading1Char"/>
    <w:uiPriority w:val="9"/>
    <w:qFormat/>
    <w:rsid w:val="00CF68AF"/>
    <w:pPr>
      <w:keepNext/>
      <w:keepLines/>
      <w:numPr>
        <w:numId w:val="1"/>
      </w:numPr>
      <w:spacing w:before="240"/>
      <w:outlineLvl w:val="0"/>
    </w:pPr>
    <w:rPr>
      <w:rFonts w:asciiTheme="majorHAnsi" w:eastAsiaTheme="majorEastAsia" w:hAnsiTheme="majorHAnsi" w:cstheme="majorBidi"/>
      <w:noProof/>
      <w:color w:val="2E74B5" w:themeColor="accent1" w:themeShade="BF"/>
      <w:sz w:val="32"/>
      <w:szCs w:val="32"/>
    </w:rPr>
  </w:style>
  <w:style w:type="paragraph" w:styleId="Heading2">
    <w:name w:val="heading 2"/>
    <w:basedOn w:val="Normal"/>
    <w:next w:val="Normal"/>
    <w:link w:val="Heading2Char"/>
    <w:uiPriority w:val="9"/>
    <w:unhideWhenUsed/>
    <w:qFormat/>
    <w:rsid w:val="00CF6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8AF"/>
    <w:rPr>
      <w:rFonts w:asciiTheme="majorHAnsi" w:eastAsiaTheme="majorEastAsia" w:hAnsiTheme="majorHAnsi" w:cstheme="majorBidi"/>
      <w:noProof/>
      <w:color w:val="2E74B5" w:themeColor="accent1" w:themeShade="BF"/>
      <w:sz w:val="32"/>
      <w:szCs w:val="32"/>
      <w:lang w:val="en-US"/>
    </w:rPr>
  </w:style>
  <w:style w:type="paragraph" w:styleId="TOCHeading">
    <w:name w:val="TOC Heading"/>
    <w:basedOn w:val="Heading1"/>
    <w:next w:val="Normal"/>
    <w:uiPriority w:val="39"/>
    <w:unhideWhenUsed/>
    <w:qFormat/>
    <w:rsid w:val="00CF68AF"/>
    <w:pPr>
      <w:spacing w:before="480"/>
      <w:outlineLvl w:val="9"/>
    </w:pPr>
    <w:rPr>
      <w:b/>
      <w:bCs/>
      <w:sz w:val="28"/>
      <w:szCs w:val="28"/>
    </w:rPr>
  </w:style>
  <w:style w:type="character" w:customStyle="1" w:styleId="Heading2Char">
    <w:name w:val="Heading 2 Char"/>
    <w:basedOn w:val="DefaultParagraphFont"/>
    <w:link w:val="Heading2"/>
    <w:uiPriority w:val="9"/>
    <w:rsid w:val="00CF68AF"/>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254769"/>
    <w:rPr>
      <w:color w:val="0563C1" w:themeColor="hyperlink"/>
      <w:u w:val="single"/>
    </w:rPr>
  </w:style>
  <w:style w:type="paragraph" w:customStyle="1" w:styleId="PTBodyText">
    <w:name w:val="*PT Body Text"/>
    <w:link w:val="PTBodyTextChar"/>
    <w:semiHidden/>
    <w:qFormat/>
    <w:rsid w:val="00254769"/>
    <w:pPr>
      <w:spacing w:after="0" w:line="240" w:lineRule="auto"/>
      <w:jc w:val="both"/>
    </w:pPr>
    <w:rPr>
      <w:rFonts w:ascii="Calibri" w:eastAsia="Times New Roman" w:hAnsi="Calibri" w:cs="Times New Roman"/>
      <w:bCs/>
      <w:iCs/>
      <w:noProof/>
      <w:lang w:val="en-US"/>
    </w:rPr>
  </w:style>
  <w:style w:type="character" w:customStyle="1" w:styleId="PTBodyTextChar">
    <w:name w:val="*PT Body Text Char"/>
    <w:link w:val="PTBodyText"/>
    <w:semiHidden/>
    <w:rsid w:val="00254769"/>
    <w:rPr>
      <w:rFonts w:ascii="Calibri" w:eastAsia="Times New Roman" w:hAnsi="Calibri" w:cs="Times New Roman"/>
      <w:bCs/>
      <w:iCs/>
      <w:noProof/>
      <w:lang w:val="en-US"/>
    </w:rPr>
  </w:style>
  <w:style w:type="paragraph" w:customStyle="1" w:styleId="PTOutlineHeading1">
    <w:name w:val="*PT Outline Heading 1"/>
    <w:basedOn w:val="Normal"/>
    <w:next w:val="PTBodyText"/>
    <w:qFormat/>
    <w:rsid w:val="00254769"/>
    <w:pPr>
      <w:keepNext/>
      <w:pageBreakBefore/>
      <w:numPr>
        <w:numId w:val="5"/>
      </w:numPr>
      <w:pBdr>
        <w:top w:val="single" w:sz="4" w:space="1" w:color="0070C0"/>
        <w:left w:val="single" w:sz="4" w:space="4" w:color="0070C0"/>
        <w:bottom w:val="single" w:sz="4" w:space="1" w:color="0070C0"/>
        <w:right w:val="single" w:sz="4" w:space="4" w:color="0070C0"/>
      </w:pBdr>
      <w:shd w:val="clear" w:color="auto" w:fill="365F91"/>
      <w:spacing w:before="120" w:after="360" w:line="240" w:lineRule="auto"/>
    </w:pPr>
    <w:rPr>
      <w:rFonts w:ascii="Calibri" w:eastAsia="Times New Roman" w:hAnsi="Calibri"/>
      <w:b/>
      <w:bCs/>
      <w:iCs/>
      <w:caps/>
      <w:noProof/>
      <w:color w:val="FFFFFF"/>
      <w:sz w:val="26"/>
      <w:szCs w:val="22"/>
    </w:rPr>
  </w:style>
  <w:style w:type="paragraph" w:customStyle="1" w:styleId="PTOutlineHeading2">
    <w:name w:val="*PT Outline Heading 2"/>
    <w:basedOn w:val="Normal"/>
    <w:next w:val="PTBodyText"/>
    <w:link w:val="PTOutlineHeading2Char"/>
    <w:autoRedefine/>
    <w:qFormat/>
    <w:rsid w:val="00254769"/>
    <w:pPr>
      <w:keepNext/>
      <w:numPr>
        <w:ilvl w:val="1"/>
        <w:numId w:val="5"/>
      </w:numPr>
      <w:spacing w:before="240" w:after="240"/>
      <w:ind w:left="718"/>
      <w:outlineLvl w:val="1"/>
    </w:pPr>
    <w:rPr>
      <w:rFonts w:eastAsia="Times New Roman"/>
      <w:b/>
      <w:bCs/>
      <w:iCs/>
      <w:noProof/>
      <w:color w:val="365F91"/>
      <w:sz w:val="24"/>
    </w:rPr>
  </w:style>
  <w:style w:type="character" w:customStyle="1" w:styleId="PTOutlineHeading2Char">
    <w:name w:val="*PT Outline Heading 2 Char"/>
    <w:link w:val="PTOutlineHeading2"/>
    <w:rsid w:val="00254769"/>
    <w:rPr>
      <w:rFonts w:eastAsia="Times New Roman" w:cs="Times New Roman"/>
      <w:b/>
      <w:bCs/>
      <w:iCs/>
      <w:noProof/>
      <w:color w:val="365F91"/>
      <w:sz w:val="24"/>
      <w:szCs w:val="24"/>
      <w:lang w:val="en-US"/>
    </w:rPr>
  </w:style>
  <w:style w:type="paragraph" w:customStyle="1" w:styleId="PTOutlineHeading3">
    <w:name w:val="*PT Outline Heading 3"/>
    <w:basedOn w:val="Normal"/>
    <w:next w:val="PTBodyText"/>
    <w:link w:val="PTOutlineHeading3Char"/>
    <w:qFormat/>
    <w:rsid w:val="00254769"/>
    <w:pPr>
      <w:keepNext/>
      <w:numPr>
        <w:ilvl w:val="2"/>
        <w:numId w:val="5"/>
      </w:numPr>
      <w:spacing w:after="60" w:line="240" w:lineRule="auto"/>
    </w:pPr>
    <w:rPr>
      <w:rFonts w:ascii="Calibri" w:eastAsia="Times New Roman" w:hAnsi="Calibri"/>
      <w:b/>
      <w:bCs/>
      <w:iCs/>
      <w:smallCaps/>
      <w:noProof/>
      <w:color w:val="365F91"/>
      <w:szCs w:val="22"/>
    </w:rPr>
  </w:style>
  <w:style w:type="paragraph" w:customStyle="1" w:styleId="PTOutlineHeading4">
    <w:name w:val="*PT Outline Heading 4"/>
    <w:basedOn w:val="Normal"/>
    <w:next w:val="PTBodyText"/>
    <w:qFormat/>
    <w:rsid w:val="00254769"/>
    <w:pPr>
      <w:keepNext/>
      <w:numPr>
        <w:ilvl w:val="3"/>
        <w:numId w:val="5"/>
      </w:numPr>
      <w:spacing w:line="240" w:lineRule="auto"/>
    </w:pPr>
    <w:rPr>
      <w:rFonts w:ascii="Calibri" w:eastAsia="Times New Roman" w:hAnsi="Calibri"/>
      <w:b/>
      <w:bCs/>
      <w:iCs/>
      <w:noProof/>
      <w:color w:val="365F91"/>
      <w:szCs w:val="22"/>
    </w:rPr>
  </w:style>
  <w:style w:type="numbering" w:customStyle="1" w:styleId="OutlineHeading4">
    <w:name w:val="OutlineHeading4"/>
    <w:uiPriority w:val="99"/>
    <w:rsid w:val="00254769"/>
    <w:pPr>
      <w:numPr>
        <w:numId w:val="5"/>
      </w:numPr>
    </w:pPr>
  </w:style>
  <w:style w:type="paragraph" w:customStyle="1" w:styleId="PTBulletList">
    <w:name w:val="*PT Bullet List"/>
    <w:basedOn w:val="PTBodyText"/>
    <w:next w:val="PTBodyText"/>
    <w:link w:val="PTBulletListChar"/>
    <w:qFormat/>
    <w:rsid w:val="00254769"/>
    <w:pPr>
      <w:numPr>
        <w:numId w:val="6"/>
      </w:numPr>
      <w:jc w:val="left"/>
    </w:pPr>
    <w:rPr>
      <w:bCs w:val="0"/>
    </w:rPr>
  </w:style>
  <w:style w:type="character" w:customStyle="1" w:styleId="PTBulletListChar">
    <w:name w:val="*PT Bullet List Char"/>
    <w:link w:val="PTBulletList"/>
    <w:rsid w:val="00254769"/>
    <w:rPr>
      <w:rFonts w:ascii="Calibri" w:eastAsia="Times New Roman" w:hAnsi="Calibri" w:cs="Times New Roman"/>
      <w:iCs/>
      <w:noProof/>
      <w:lang w:val="en-US"/>
    </w:rPr>
  </w:style>
  <w:style w:type="character" w:customStyle="1" w:styleId="PTOutlineHeading3Char">
    <w:name w:val="*PT Outline Heading 3 Char"/>
    <w:basedOn w:val="DefaultParagraphFont"/>
    <w:link w:val="PTOutlineHeading3"/>
    <w:rsid w:val="00254769"/>
    <w:rPr>
      <w:rFonts w:ascii="Calibri" w:eastAsia="Times New Roman" w:hAnsi="Calibri" w:cs="Times New Roman"/>
      <w:b/>
      <w:bCs/>
      <w:iCs/>
      <w:smallCaps/>
      <w:noProof/>
      <w:color w:val="365F91"/>
      <w:lang w:val="en-US"/>
    </w:rPr>
  </w:style>
  <w:style w:type="paragraph" w:styleId="ListParagraph">
    <w:name w:val="List Paragraph"/>
    <w:basedOn w:val="Normal"/>
    <w:uiPriority w:val="34"/>
    <w:qFormat/>
    <w:rsid w:val="009C7F01"/>
    <w:pPr>
      <w:spacing w:after="200"/>
      <w:ind w:left="720"/>
      <w:contextualSpacing/>
    </w:pPr>
    <w:rPr>
      <w:szCs w:val="22"/>
    </w:rPr>
  </w:style>
  <w:style w:type="paragraph" w:styleId="Header">
    <w:name w:val="header"/>
    <w:basedOn w:val="Normal"/>
    <w:link w:val="HeaderChar"/>
    <w:uiPriority w:val="99"/>
    <w:unhideWhenUsed/>
    <w:rsid w:val="00112196"/>
    <w:pPr>
      <w:tabs>
        <w:tab w:val="center" w:pos="4513"/>
        <w:tab w:val="right" w:pos="9026"/>
      </w:tabs>
      <w:spacing w:line="240" w:lineRule="auto"/>
    </w:pPr>
  </w:style>
  <w:style w:type="character" w:customStyle="1" w:styleId="HeaderChar">
    <w:name w:val="Header Char"/>
    <w:basedOn w:val="DefaultParagraphFont"/>
    <w:link w:val="Header"/>
    <w:uiPriority w:val="99"/>
    <w:rsid w:val="00112196"/>
    <w:rPr>
      <w:rFonts w:cs="Times New Roman"/>
      <w:szCs w:val="24"/>
      <w:lang w:val="en-US"/>
    </w:rPr>
  </w:style>
  <w:style w:type="paragraph" w:styleId="Footer">
    <w:name w:val="footer"/>
    <w:basedOn w:val="Normal"/>
    <w:link w:val="FooterChar"/>
    <w:uiPriority w:val="99"/>
    <w:unhideWhenUsed/>
    <w:rsid w:val="00112196"/>
    <w:pPr>
      <w:tabs>
        <w:tab w:val="center" w:pos="4513"/>
        <w:tab w:val="right" w:pos="9026"/>
      </w:tabs>
      <w:spacing w:line="240" w:lineRule="auto"/>
    </w:pPr>
  </w:style>
  <w:style w:type="character" w:customStyle="1" w:styleId="FooterChar">
    <w:name w:val="Footer Char"/>
    <w:basedOn w:val="DefaultParagraphFont"/>
    <w:link w:val="Footer"/>
    <w:uiPriority w:val="99"/>
    <w:rsid w:val="00112196"/>
    <w:rPr>
      <w:rFonts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tep.cancer.gov/protocoldevelopment/electronic_applications/docs/CTCAE_v5_Quick_Reference_5x7.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1969</Words>
  <Characters>11324</Characters>
  <Application>Microsoft Office Word</Application>
  <DocSecurity>0</DocSecurity>
  <Lines>164</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George</dc:creator>
  <cp:keywords/>
  <dc:description/>
  <cp:lastModifiedBy>Kath Maitland</cp:lastModifiedBy>
  <cp:revision>2</cp:revision>
  <dcterms:created xsi:type="dcterms:W3CDTF">2020-09-03T12:42:00Z</dcterms:created>
  <dcterms:modified xsi:type="dcterms:W3CDTF">2020-09-03T12:42:00Z</dcterms:modified>
</cp:coreProperties>
</file>