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78.0000000000000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TABLES</w:t>
      </w:r>
    </w:p>
    <w:p w:rsidR="00000000" w:rsidDel="00000000" w:rsidP="00000000" w:rsidRDefault="00000000" w:rsidRPr="00000000" w14:paraId="00000002">
      <w:pPr>
        <w:spacing w:after="160" w:line="278.0000000000000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3">
      <w:pPr>
        <w:spacing w:after="160" w:line="278.0000000000000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Table 1. PRISMA checklist</w:t>
      </w:r>
    </w:p>
    <w:p w:rsidR="00000000" w:rsidDel="00000000" w:rsidP="00000000" w:rsidRDefault="00000000" w:rsidRPr="00000000" w14:paraId="0000000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Methods 1. PRISMA checklist</w:t>
      </w:r>
      <w:r w:rsidDel="00000000" w:rsidR="00000000" w:rsidRPr="00000000">
        <w:rPr>
          <w:rtl w:val="0"/>
        </w:rPr>
      </w:r>
    </w:p>
    <w:tbl>
      <w:tblPr>
        <w:tblStyle w:val="Table1"/>
        <w:tblpPr w:leftFromText="180" w:rightFromText="180" w:topFromText="180" w:bottomFromText="180" w:vertAnchor="text" w:horzAnchor="text" w:tblpX="0" w:tblpY="0"/>
        <w:tblW w:w="8506.0" w:type="dxa"/>
        <w:jc w:val="left"/>
        <w:tblBorders>
          <w:top w:color="000000" w:space="0" w:sz="0" w:val="nil"/>
          <w:left w:color="000000" w:space="0" w:sz="0" w:val="nil"/>
          <w:bottom w:color="000000" w:space="0" w:sz="0" w:val="nil"/>
          <w:right w:color="000000" w:space="0" w:sz="0" w:val="nil"/>
        </w:tblBorders>
        <w:tblLayout w:type="fixed"/>
        <w:tblLook w:val="0000"/>
      </w:tblPr>
      <w:tblGrid>
        <w:gridCol w:w="2126"/>
        <w:gridCol w:w="2126"/>
        <w:gridCol w:w="2127"/>
        <w:gridCol w:w="2127"/>
        <w:tblGridChange w:id="0">
          <w:tblGrid>
            <w:gridCol w:w="2126"/>
            <w:gridCol w:w="2126"/>
            <w:gridCol w:w="2127"/>
            <w:gridCol w:w="2127"/>
          </w:tblGrid>
        </w:tblGridChange>
      </w:tblGrid>
      <w:tr>
        <w:trPr>
          <w:cantSplit w:val="0"/>
          <w:trHeight w:val="65" w:hRule="atLeast"/>
          <w:tblHeader w:val="1"/>
        </w:trPr>
        <w:tc>
          <w:tcPr>
            <w:tcBorders>
              <w:top w:color="000000" w:space="0" w:sz="5" w:val="single"/>
              <w:left w:color="000000" w:space="0" w:sz="5" w:val="single"/>
              <w:bottom w:color="000000" w:space="0" w:sz="5" w:val="single"/>
              <w:right w:color="000000" w:space="0" w:sz="5" w:val="single"/>
            </w:tcBorders>
            <w:shd w:fill="63639a" w:val="clear"/>
            <w:vAlign w:val="center"/>
          </w:tcPr>
          <w:p w:rsidR="00000000" w:rsidDel="00000000" w:rsidP="00000000" w:rsidRDefault="00000000" w:rsidRPr="00000000" w14:paraId="00000005">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Section and Topic </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63639a" w:val="clear"/>
            <w:vAlign w:val="center"/>
          </w:tcPr>
          <w:p w:rsidR="00000000" w:rsidDel="00000000" w:rsidP="00000000" w:rsidRDefault="00000000" w:rsidRPr="00000000" w14:paraId="00000006">
            <w:pPr>
              <w:widowControl w:val="0"/>
              <w:spacing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Item #</w:t>
            </w:r>
          </w:p>
        </w:tc>
        <w:tc>
          <w:tcPr>
            <w:tcBorders>
              <w:top w:color="000000" w:space="0" w:sz="5" w:val="single"/>
              <w:left w:color="000000" w:space="0" w:sz="5" w:val="single"/>
              <w:bottom w:color="000000" w:space="0" w:sz="5" w:val="single"/>
              <w:right w:color="000000" w:space="0" w:sz="5" w:val="single"/>
            </w:tcBorders>
            <w:shd w:fill="63639a" w:val="clear"/>
            <w:vAlign w:val="center"/>
          </w:tcPr>
          <w:p w:rsidR="00000000" w:rsidDel="00000000" w:rsidP="00000000" w:rsidRDefault="00000000" w:rsidRPr="00000000" w14:paraId="00000007">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Checklist item </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63639a" w:val="clear"/>
            <w:vAlign w:val="center"/>
          </w:tcPr>
          <w:p w:rsidR="00000000" w:rsidDel="00000000" w:rsidP="00000000" w:rsidRDefault="00000000" w:rsidRPr="00000000" w14:paraId="00000008">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Location </w:t>
            </w:r>
            <w:r w:rsidDel="00000000" w:rsidR="00000000" w:rsidRPr="00000000">
              <w:rPr>
                <w:rtl w:val="0"/>
              </w:rPr>
            </w:r>
          </w:p>
        </w:tc>
      </w:tr>
      <w:tr>
        <w:trPr>
          <w:cantSplit w:val="0"/>
          <w:trHeight w:val="24" w:hRule="atLeast"/>
          <w:tblHeader w:val="0"/>
        </w:trPr>
        <w:tc>
          <w:tcPr>
            <w:gridSpan w:val="3"/>
            <w:tcBorders>
              <w:top w:color="000000" w:space="0" w:sz="5" w:val="single"/>
              <w:left w:color="000000" w:space="0" w:sz="5" w:val="single"/>
              <w:bottom w:color="000000" w:space="0" w:sz="5" w:val="single"/>
              <w:right w:color="000000" w:space="0" w:sz="5" w:val="single"/>
            </w:tcBorders>
            <w:shd w:fill="ffffcc" w:val="clear"/>
            <w:vAlign w:val="center"/>
          </w:tcPr>
          <w:p w:rsidR="00000000" w:rsidDel="00000000" w:rsidP="00000000" w:rsidRDefault="00000000" w:rsidRPr="00000000" w14:paraId="00000009">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TITLE </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cc" w:val="clear"/>
          </w:tcPr>
          <w:p w:rsidR="00000000" w:rsidDel="00000000" w:rsidP="00000000" w:rsidRDefault="00000000" w:rsidRPr="00000000" w14:paraId="0000000C">
            <w:pPr>
              <w:widowControl w:val="0"/>
              <w:spacing w:line="360" w:lineRule="auto"/>
              <w:jc w:val="right"/>
              <w:rPr>
                <w:rFonts w:ascii="Times New Roman" w:cs="Times New Roman" w:eastAsia="Times New Roman" w:hAnsi="Times New Roman"/>
                <w:sz w:val="24"/>
                <w:szCs w:val="24"/>
              </w:rPr>
            </w:pPr>
            <w:r w:rsidDel="00000000" w:rsidR="00000000" w:rsidRPr="00000000">
              <w:rPr>
                <w:rtl w:val="0"/>
              </w:rPr>
            </w:r>
          </w:p>
        </w:tc>
      </w:tr>
      <w:tr>
        <w:trPr>
          <w:cantSplit w:val="0"/>
          <w:trHeight w:val="4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0D">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0E">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0F">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the report as a systematic review.</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10">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4" w:hRule="atLeast"/>
          <w:tblHeader w:val="0"/>
        </w:trPr>
        <w:tc>
          <w:tcPr>
            <w:gridSpan w:val="3"/>
            <w:tcBorders>
              <w:top w:color="000000" w:space="0" w:sz="5" w:val="single"/>
              <w:left w:color="000000" w:space="0" w:sz="5" w:val="single"/>
              <w:bottom w:color="000000" w:space="0" w:sz="5" w:val="single"/>
              <w:right w:color="000000" w:space="0" w:sz="5" w:val="single"/>
            </w:tcBorders>
            <w:shd w:fill="ffffcc" w:val="clear"/>
            <w:vAlign w:val="center"/>
          </w:tcPr>
          <w:p w:rsidR="00000000" w:rsidDel="00000000" w:rsidP="00000000" w:rsidRDefault="00000000" w:rsidRPr="00000000" w14:paraId="00000011">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ABSTRACT </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cc" w:val="clear"/>
          </w:tcPr>
          <w:p w:rsidR="00000000" w:rsidDel="00000000" w:rsidP="00000000" w:rsidRDefault="00000000" w:rsidRPr="00000000" w14:paraId="00000014">
            <w:pPr>
              <w:widowControl w:val="0"/>
              <w:spacing w:line="360" w:lineRule="auto"/>
              <w:jc w:val="right"/>
              <w:rPr>
                <w:rFonts w:ascii="Times New Roman" w:cs="Times New Roman" w:eastAsia="Times New Roman" w:hAnsi="Times New Roman"/>
                <w:sz w:val="24"/>
                <w:szCs w:val="24"/>
              </w:rPr>
            </w:pPr>
            <w:r w:rsidDel="00000000" w:rsidR="00000000" w:rsidRPr="00000000">
              <w:rPr>
                <w:rtl w:val="0"/>
              </w:rPr>
            </w:r>
          </w:p>
        </w:tc>
      </w:tr>
      <w:tr>
        <w:trPr>
          <w:cantSplit w:val="0"/>
          <w:trHeight w:val="4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15">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 </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16">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17">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 the PRISMA 2020 for Abstracts checklist.</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18">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4" w:hRule="atLeast"/>
          <w:tblHeader w:val="0"/>
        </w:trPr>
        <w:tc>
          <w:tcPr>
            <w:gridSpan w:val="3"/>
            <w:tcBorders>
              <w:top w:color="000000" w:space="0" w:sz="5" w:val="single"/>
              <w:left w:color="000000" w:space="0" w:sz="5" w:val="single"/>
              <w:bottom w:color="000000" w:space="0" w:sz="5" w:val="single"/>
              <w:right w:color="000000" w:space="0" w:sz="5" w:val="single"/>
            </w:tcBorders>
            <w:shd w:fill="ffffcc" w:val="clear"/>
            <w:vAlign w:val="center"/>
          </w:tcPr>
          <w:p w:rsidR="00000000" w:rsidDel="00000000" w:rsidP="00000000" w:rsidRDefault="00000000" w:rsidRPr="00000000" w14:paraId="00000019">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INTRODUCTION </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cc" w:val="clear"/>
          </w:tcPr>
          <w:p w:rsidR="00000000" w:rsidDel="00000000" w:rsidP="00000000" w:rsidRDefault="00000000" w:rsidRPr="00000000" w14:paraId="0000001C">
            <w:pPr>
              <w:widowControl w:val="0"/>
              <w:spacing w:line="360" w:lineRule="auto"/>
              <w:jc w:val="right"/>
              <w:rPr>
                <w:rFonts w:ascii="Times New Roman" w:cs="Times New Roman" w:eastAsia="Times New Roman" w:hAnsi="Times New Roman"/>
                <w:sz w:val="24"/>
                <w:szCs w:val="24"/>
              </w:rPr>
            </w:pPr>
            <w:r w:rsidDel="00000000" w:rsidR="00000000" w:rsidRPr="00000000">
              <w:rPr>
                <w:rtl w:val="0"/>
              </w:rPr>
            </w:r>
          </w:p>
        </w:tc>
      </w:tr>
      <w:tr>
        <w:trPr>
          <w:cantSplit w:val="0"/>
          <w:trHeight w:val="4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1D">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Rationale </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1E">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1F">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rationale for the review in the context of existing knowledge.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20">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4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21">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Objectives </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22">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23">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an explicit statement of the objective(s) or question(s) the review addresses.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24">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4" w:hRule="atLeast"/>
          <w:tblHeader w:val="0"/>
        </w:trPr>
        <w:tc>
          <w:tcPr>
            <w:gridSpan w:val="3"/>
            <w:tcBorders>
              <w:top w:color="000000" w:space="0" w:sz="5" w:val="single"/>
              <w:left w:color="000000" w:space="0" w:sz="5" w:val="single"/>
              <w:bottom w:color="000000" w:space="0" w:sz="5" w:val="single"/>
              <w:right w:color="000000" w:space="0" w:sz="5" w:val="single"/>
            </w:tcBorders>
            <w:shd w:fill="ffffcc" w:val="clear"/>
            <w:vAlign w:val="center"/>
          </w:tcPr>
          <w:p w:rsidR="00000000" w:rsidDel="00000000" w:rsidP="00000000" w:rsidRDefault="00000000" w:rsidRPr="00000000" w14:paraId="00000025">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METHODS </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cc" w:val="clear"/>
          </w:tcPr>
          <w:p w:rsidR="00000000" w:rsidDel="00000000" w:rsidP="00000000" w:rsidRDefault="00000000" w:rsidRPr="00000000" w14:paraId="00000028">
            <w:pPr>
              <w:widowControl w:val="0"/>
              <w:spacing w:line="360" w:lineRule="auto"/>
              <w:jc w:val="right"/>
              <w:rPr>
                <w:rFonts w:ascii="Times New Roman" w:cs="Times New Roman" w:eastAsia="Times New Roman" w:hAnsi="Times New Roman"/>
                <w:sz w:val="24"/>
                <w:szCs w:val="24"/>
              </w:rPr>
            </w:pPr>
            <w:r w:rsidDel="00000000" w:rsidR="00000000" w:rsidRPr="00000000">
              <w:rPr>
                <w:rtl w:val="0"/>
              </w:rPr>
            </w:r>
          </w:p>
        </w:tc>
      </w:tr>
      <w:tr>
        <w:trPr>
          <w:cantSplit w:val="0"/>
          <w:trHeight w:val="4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29">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Eligibility criteria </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2A">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2B">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Specify the inclusion and exclusion criteria for the review and how studies were grouped for the syntheses.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2C">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191"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2D">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sources </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2E">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2F">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Specify all databases, registers, websites, organisations, reference lists and other sources searched or consulted to identify studies. Specify the date when each source was last searched or consulted.</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0">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4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1">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Search strategy</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2">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3">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 the full search strategies for all databases, registers and websites, including any filters and limits used.</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4">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4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5">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Selection process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6">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7">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8">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152"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9">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collection process </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A">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B">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C">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48" w:hRule="atLeast"/>
          <w:tblHeader w:val="0"/>
        </w:trPr>
        <w:tc>
          <w:tcPr>
            <w:vMerge w:val="restart"/>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D">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items </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E">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10a</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F">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0">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48" w:hRule="atLeast"/>
          <w:tblHeader w:val="0"/>
        </w:trPr>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2">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10b</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3">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and define all other variables for which data were sought (e.g. participant and intervention characteristics, funding sources). Describe any assumptions made about any missing or unclear information.</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4">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4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5">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Study risk of bias assessment</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6">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7">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Specify the methods used to assess risk of bias in the included studies, including details of the tool(s) used, how many reviewers assessed each study and whether they worked independently, and if applicable, details of automation tools used in the process.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8">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4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9">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 measures </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A">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B">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Specify for each outcome the effect measure(s) (e.g. risk ratio, mean difference) used in the synthesis or presentation of results.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C">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48" w:hRule="atLeast"/>
          <w:tblHeader w:val="0"/>
        </w:trPr>
        <w:tc>
          <w:tcPr>
            <w:vMerge w:val="restart"/>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D">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Synthesis methods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E">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13a</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4F">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processes used to decide which studies were eligible for each synthesis (e.g. tabulating the study intervention characteristics and comparing against the planned groups for each synthesis (item #5)).</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0">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48" w:hRule="atLeast"/>
          <w:tblHeader w:val="0"/>
        </w:trPr>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2">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13b</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3">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any methods required to prepare the data for presentation or synthesis, such as handling of missing summary statistics, or data conversions.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4">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rHeight w:val="48" w:hRule="atLeast"/>
          <w:tblHeader w:val="0"/>
        </w:trPr>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6">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13c</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7">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any methods used to tabulate or visually display results of individual studies and syntheses.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8">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48" w:hRule="atLeast"/>
          <w:tblHeader w:val="0"/>
        </w:trPr>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A">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13d</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B">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any methods used to synthesize results and provide a rationale for the choice(s). If meta-analysis was performed, describe the model(s), method(s) to identify the presence and extent of statistical heterogeneity, and software package(s) used.</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C">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48" w:hRule="atLeast"/>
          <w:tblHeader w:val="0"/>
        </w:trPr>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E">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F">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any methods used to explore possible causes of heterogeneity among study results (e.g. subgroup analysis, meta-regression).</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0">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50" w:hRule="atLeast"/>
          <w:tblHeader w:val="0"/>
        </w:trPr>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2">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13f</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3">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any sensitivity analyses conducted to assess robustness of the synthesized results.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4">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4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5">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Reporting bias assessment</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6">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7">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any methods used to assess risk of bias due to missing results in a synthesis (arising from reporting biases).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8">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4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9">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Certainty assessment</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A">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B">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any methods used to assess certainty (or confidence) in the body of evidence for an outcome.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C">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4" w:hRule="atLeast"/>
          <w:tblHeader w:val="0"/>
        </w:trPr>
        <w:tc>
          <w:tcPr>
            <w:gridSpan w:val="3"/>
            <w:tcBorders>
              <w:top w:color="000000" w:space="0" w:sz="5" w:val="single"/>
              <w:left w:color="000000" w:space="0" w:sz="5" w:val="single"/>
              <w:bottom w:color="000000" w:space="0" w:sz="5" w:val="single"/>
              <w:right w:color="000000" w:space="0" w:sz="5" w:val="single"/>
            </w:tcBorders>
            <w:shd w:fill="ffffcc" w:val="clear"/>
            <w:vAlign w:val="center"/>
          </w:tcPr>
          <w:p w:rsidR="00000000" w:rsidDel="00000000" w:rsidP="00000000" w:rsidRDefault="00000000" w:rsidRPr="00000000" w14:paraId="0000006D">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RESULTS </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cc" w:val="clear"/>
          </w:tcPr>
          <w:p w:rsidR="00000000" w:rsidDel="00000000" w:rsidP="00000000" w:rsidRDefault="00000000" w:rsidRPr="00000000" w14:paraId="00000070">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8" w:hRule="atLeast"/>
          <w:tblHeader w:val="0"/>
        </w:trPr>
        <w:tc>
          <w:tcPr>
            <w:vMerge w:val="restart"/>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71">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Study selection </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72">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16a</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73">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results of the search and selection process, from the number of records identified in the search to the number of studies included in the review, ideally using a flow diagram.</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74">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48" w:hRule="atLeast"/>
          <w:tblHeader w:val="0"/>
        </w:trPr>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76">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16b</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77">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Cite studies that might appear to meet the inclusion criteria, but which were excluded, and explain why they were excluded.</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78">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103"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79">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Study characteristics </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7A">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7B">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Cite each included study and present its characteristics.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7C">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4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7D">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Risk of bias in studies </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7E">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7F">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 assessments of risk of bias for each included study.</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80">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rHeight w:val="4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81">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Results of individual studies </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82">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83">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all outcomes, present, for each study: (a) summary statistics for each group (where appropriate) and (b) an effect estimate and its precision (e.g. confidence/credible interval), ideally using structured tables or plots.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84">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48" w:hRule="atLeast"/>
          <w:tblHeader w:val="0"/>
        </w:trPr>
        <w:tc>
          <w:tcPr>
            <w:vMerge w:val="restart"/>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85">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Results of syntheses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86">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20a</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87">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each synthesis, briefly summarise the characteristics and risk of bias among contributing studies.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88">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203" w:hRule="atLeast"/>
          <w:tblHeader w:val="0"/>
        </w:trPr>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8A">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20b</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8B">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8C">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48" w:hRule="atLeast"/>
          <w:tblHeader w:val="0"/>
        </w:trPr>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8E">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20c</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8F">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 results of all investigations of possible causes of heterogeneity among study results.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0">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48" w:hRule="atLeast"/>
          <w:tblHeader w:val="0"/>
        </w:trPr>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2">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20d</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3">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 results of all sensitivity analyses conducted to assess the robustness of the synthesized results.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4">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rHeight w:val="4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5">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Reporting biases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6">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7">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 assessments of risk of bias due to missing results (arising from reporting biases) for each synthesis assessed.</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8">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rHeight w:val="4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9">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Certainty of evidence </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A">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B">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 assessments of certainty (or confidence) in the body of evidence for each outcome assessed.</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C">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rHeight w:val="24" w:hRule="atLeast"/>
          <w:tblHeader w:val="0"/>
        </w:trPr>
        <w:tc>
          <w:tcPr>
            <w:gridSpan w:val="3"/>
            <w:tcBorders>
              <w:top w:color="000000" w:space="0" w:sz="5" w:val="single"/>
              <w:left w:color="000000" w:space="0" w:sz="5" w:val="single"/>
              <w:bottom w:color="000000" w:space="0" w:sz="5" w:val="single"/>
              <w:right w:color="000000" w:space="0" w:sz="5" w:val="single"/>
            </w:tcBorders>
            <w:shd w:fill="ffffcc" w:val="clear"/>
            <w:vAlign w:val="center"/>
          </w:tcPr>
          <w:p w:rsidR="00000000" w:rsidDel="00000000" w:rsidP="00000000" w:rsidRDefault="00000000" w:rsidRPr="00000000" w14:paraId="0000009D">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DISCUSSION </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cc" w:val="clear"/>
          </w:tcPr>
          <w:p w:rsidR="00000000" w:rsidDel="00000000" w:rsidP="00000000" w:rsidRDefault="00000000" w:rsidRPr="00000000" w14:paraId="000000A0">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8" w:hRule="atLeast"/>
          <w:tblHeader w:val="0"/>
        </w:trPr>
        <w:tc>
          <w:tcPr>
            <w:vMerge w:val="restart"/>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1">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Discussion </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2">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23a</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3">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a general interpretation of the results in the context of other evidence.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4">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r>
      <w:tr>
        <w:trPr>
          <w:cantSplit w:val="0"/>
          <w:trHeight w:val="48" w:hRule="atLeast"/>
          <w:tblHeader w:val="0"/>
        </w:trPr>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6">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23b</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7">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any limitations of the evidence included in the review.</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8">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rHeight w:val="48" w:hRule="atLeast"/>
          <w:tblHeader w:val="0"/>
        </w:trPr>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5" w:val="single"/>
              <w:left w:color="000000" w:space="0" w:sz="5" w:val="single"/>
              <w:bottom w:color="000000" w:space="0" w:sz="4" w:val="single"/>
              <w:right w:color="000000" w:space="0" w:sz="5" w:val="single"/>
            </w:tcBorders>
          </w:tcPr>
          <w:p w:rsidR="00000000" w:rsidDel="00000000" w:rsidP="00000000" w:rsidRDefault="00000000" w:rsidRPr="00000000" w14:paraId="000000AA">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23c</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B">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any limitations of the review processes used.</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C">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rHeight w:val="48" w:hRule="atLeast"/>
          <w:tblHeader w:val="0"/>
        </w:trPr>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5" w:val="single"/>
              <w:bottom w:color="000000" w:space="0" w:sz="5" w:val="single"/>
              <w:right w:color="000000" w:space="0" w:sz="4" w:val="single"/>
            </w:tcBorders>
          </w:tcPr>
          <w:p w:rsidR="00000000" w:rsidDel="00000000" w:rsidP="00000000" w:rsidRDefault="00000000" w:rsidRPr="00000000" w14:paraId="000000AE">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23d</w:t>
            </w:r>
          </w:p>
        </w:tc>
        <w:tc>
          <w:tcPr>
            <w:tcBorders>
              <w:top w:color="000000" w:space="0" w:sz="5" w:val="single"/>
              <w:left w:color="000000" w:space="0" w:sz="4" w:val="single"/>
              <w:bottom w:color="000000" w:space="0" w:sz="5" w:val="single"/>
              <w:right w:color="000000" w:space="0" w:sz="5" w:val="single"/>
            </w:tcBorders>
          </w:tcPr>
          <w:p w:rsidR="00000000" w:rsidDel="00000000" w:rsidP="00000000" w:rsidRDefault="00000000" w:rsidRPr="00000000" w14:paraId="000000AF">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implications of the results for practice, policy, and future research.</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B0">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rHeight w:val="24" w:hRule="atLeast"/>
          <w:tblHeader w:val="0"/>
        </w:trPr>
        <w:tc>
          <w:tcPr>
            <w:gridSpan w:val="3"/>
            <w:tcBorders>
              <w:top w:color="000000" w:space="0" w:sz="5" w:val="single"/>
              <w:left w:color="000000" w:space="0" w:sz="5" w:val="single"/>
              <w:bottom w:color="000000" w:space="0" w:sz="5" w:val="single"/>
              <w:right w:color="000000" w:space="0" w:sz="5" w:val="single"/>
            </w:tcBorders>
            <w:shd w:fill="ffffcc" w:val="clear"/>
            <w:vAlign w:val="center"/>
          </w:tcPr>
          <w:p w:rsidR="00000000" w:rsidDel="00000000" w:rsidP="00000000" w:rsidRDefault="00000000" w:rsidRPr="00000000" w14:paraId="000000B1">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OTHER INFORMATION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cc" w:val="clear"/>
          </w:tcPr>
          <w:p w:rsidR="00000000" w:rsidDel="00000000" w:rsidP="00000000" w:rsidRDefault="00000000" w:rsidRPr="00000000" w14:paraId="000000B4">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8" w:hRule="atLeast"/>
          <w:tblHeader w:val="0"/>
        </w:trPr>
        <w:tc>
          <w:tcPr>
            <w:vMerge w:val="restart"/>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B5">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Registration and protocol</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B6">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24a</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B7">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registration information for the review, including register name and registration number, or state that the review was not registered.</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B8">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57" w:hRule="atLeast"/>
          <w:tblHeader w:val="0"/>
        </w:trPr>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BA">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24b</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BB">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Indicate where the review protocol can be accessed, or state that a protocol was not prepared.</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BC">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48" w:hRule="atLeast"/>
          <w:tblHeader w:val="0"/>
        </w:trPr>
        <w:tc>
          <w:tcPr>
            <w:vMerge w:val="continue"/>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BE">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24c</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BF">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and explain any amendments to information provided at registration or in the protocol.</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0">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r>
      <w:tr>
        <w:trPr>
          <w:cantSplit w:val="0"/>
          <w:trHeight w:val="4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1">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2">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3">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sources of financial or non-financial support for the review, and the role of the funders or sponsors in the review.</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4">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r>
      <w:tr>
        <w:trPr>
          <w:cantSplit w:val="0"/>
          <w:trHeight w:val="4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5">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Competing interests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6">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7">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Declare any competing interests of review authors.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8">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r>
      <w:tr>
        <w:trPr>
          <w:cantSplit w:val="0"/>
          <w:trHeight w:val="219"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9">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Availability of data, code and other materials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A">
            <w:pPr>
              <w:widowControl w:val="0"/>
              <w:spacing w:after="40" w:before="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B">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 which of the following are publicly available and where they can be found: template data collection forms; data extracted from included studies; data used for all analyses; analytic code; any other materials used in the review.</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C">
            <w:pPr>
              <w:widowControl w:val="0"/>
              <w:spacing w:after="40" w:before="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r>
    </w:tbl>
    <w:p w:rsidR="00000000" w:rsidDel="00000000" w:rsidP="00000000" w:rsidRDefault="00000000" w:rsidRPr="00000000" w14:paraId="000000C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after="160" w:line="278.0000000000000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2">
      <w:pPr>
        <w:spacing w:after="160" w:line="278.0000000000000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3">
      <w:pPr>
        <w:spacing w:after="160" w:line="278.0000000000000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4">
      <w:pPr>
        <w:spacing w:after="160" w:line="278.0000000000000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5">
      <w:pPr>
        <w:spacing w:after="160" w:line="278.0000000000000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Table 2. Quality Assessment (Newcastle-Ottawa Scale)</w:t>
      </w:r>
    </w:p>
    <w:p w:rsidR="00000000" w:rsidDel="00000000" w:rsidP="00000000" w:rsidRDefault="00000000" w:rsidRPr="00000000" w14:paraId="000000E6">
      <w:pPr>
        <w:spacing w:after="160" w:line="278.00000000000006" w:lineRule="auto"/>
        <w:jc w:val="both"/>
        <w:rPr>
          <w:rFonts w:ascii="Times New Roman" w:cs="Times New Roman" w:eastAsia="Times New Roman" w:hAnsi="Times New Roman"/>
          <w:b w:val="1"/>
          <w:bCs w:val="1"/>
          <w:sz w:val="24"/>
          <w:szCs w:val="24"/>
        </w:rPr>
      </w:pPr>
      <w:r w:rsidDel="00000000" w:rsidR="00000000" w:rsidRPr="00000000">
        <w:rPr>
          <w:rtl w:val="0"/>
        </w:rPr>
      </w:r>
    </w:p>
    <w:tbl>
      <w:tblPr>
        <w:tblStyle w:val="Table2"/>
        <w:tblW w:w="77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5"/>
        <w:gridCol w:w="1335"/>
        <w:gridCol w:w="1860"/>
        <w:gridCol w:w="1305"/>
        <w:gridCol w:w="825"/>
        <w:gridCol w:w="1050"/>
        <w:tblGridChange w:id="0">
          <w:tblGrid>
            <w:gridCol w:w="1395"/>
            <w:gridCol w:w="1335"/>
            <w:gridCol w:w="1860"/>
            <w:gridCol w:w="1305"/>
            <w:gridCol w:w="825"/>
            <w:gridCol w:w="1050"/>
          </w:tblGrid>
        </w:tblGridChange>
      </w:tblGrid>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shd w:fill="efefef" w:val="clear"/>
            <w:tcMar>
              <w:top w:w="240.0" w:type="dxa"/>
              <w:left w:w="0.0" w:type="dxa"/>
              <w:bottom w:w="240.0" w:type="dxa"/>
              <w:right w:w="180.0" w:type="dxa"/>
            </w:tcMar>
          </w:tcPr>
          <w:p w:rsidR="00000000" w:rsidDel="00000000" w:rsidP="00000000" w:rsidRDefault="00000000" w:rsidRPr="00000000" w14:paraId="000000E7">
            <w:pPr>
              <w:spacing w:after="480" w:lineRule="auto"/>
              <w:jc w:val="center"/>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Author (Year)</w:t>
            </w:r>
          </w:p>
        </w:tc>
        <w:tc>
          <w:tcPr>
            <w:tcBorders>
              <w:top w:color="1f1f1f" w:space="0" w:sz="6" w:val="single"/>
              <w:left w:color="1f1f1f" w:space="0" w:sz="6" w:val="single"/>
              <w:bottom w:color="1f1f1f" w:space="0" w:sz="6" w:val="single"/>
              <w:right w:color="1f1f1f" w:space="0" w:sz="6" w:val="single"/>
            </w:tcBorders>
            <w:shd w:fill="efefef" w:val="clear"/>
            <w:tcMar>
              <w:top w:w="240.0" w:type="dxa"/>
              <w:left w:w="0.0" w:type="dxa"/>
              <w:bottom w:w="240.0" w:type="dxa"/>
              <w:right w:w="180.0" w:type="dxa"/>
            </w:tcMar>
          </w:tcPr>
          <w:p w:rsidR="00000000" w:rsidDel="00000000" w:rsidP="00000000" w:rsidRDefault="00000000" w:rsidRPr="00000000" w14:paraId="000000E8">
            <w:pPr>
              <w:spacing w:after="480" w:lineRule="auto"/>
              <w:jc w:val="center"/>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Selection (0–4)</w:t>
            </w:r>
          </w:p>
        </w:tc>
        <w:tc>
          <w:tcPr>
            <w:tcBorders>
              <w:top w:color="1f1f1f" w:space="0" w:sz="6" w:val="single"/>
              <w:left w:color="1f1f1f" w:space="0" w:sz="6" w:val="single"/>
              <w:bottom w:color="1f1f1f" w:space="0" w:sz="6" w:val="single"/>
              <w:right w:color="1f1f1f" w:space="0" w:sz="6" w:val="single"/>
            </w:tcBorders>
            <w:shd w:fill="efefef" w:val="clear"/>
            <w:tcMar>
              <w:top w:w="240.0" w:type="dxa"/>
              <w:left w:w="0.0" w:type="dxa"/>
              <w:bottom w:w="240.0" w:type="dxa"/>
              <w:right w:w="180.0" w:type="dxa"/>
            </w:tcMar>
          </w:tcPr>
          <w:p w:rsidR="00000000" w:rsidDel="00000000" w:rsidP="00000000" w:rsidRDefault="00000000" w:rsidRPr="00000000" w14:paraId="000000E9">
            <w:pPr>
              <w:spacing w:after="480" w:lineRule="auto"/>
              <w:jc w:val="center"/>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Comparability (0–2)</w:t>
            </w:r>
          </w:p>
        </w:tc>
        <w:tc>
          <w:tcPr>
            <w:tcBorders>
              <w:top w:color="1f1f1f" w:space="0" w:sz="6" w:val="single"/>
              <w:left w:color="1f1f1f" w:space="0" w:sz="6" w:val="single"/>
              <w:bottom w:color="1f1f1f" w:space="0" w:sz="6" w:val="single"/>
              <w:right w:color="1f1f1f" w:space="0" w:sz="6" w:val="single"/>
            </w:tcBorders>
            <w:shd w:fill="efefef" w:val="clear"/>
            <w:tcMar>
              <w:top w:w="240.0" w:type="dxa"/>
              <w:left w:w="0.0" w:type="dxa"/>
              <w:bottom w:w="240.0" w:type="dxa"/>
              <w:right w:w="180.0" w:type="dxa"/>
            </w:tcMar>
          </w:tcPr>
          <w:p w:rsidR="00000000" w:rsidDel="00000000" w:rsidP="00000000" w:rsidRDefault="00000000" w:rsidRPr="00000000" w14:paraId="000000EA">
            <w:pPr>
              <w:spacing w:after="480" w:lineRule="auto"/>
              <w:jc w:val="center"/>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Outcome (0–3)</w:t>
            </w:r>
          </w:p>
        </w:tc>
        <w:tc>
          <w:tcPr>
            <w:tcBorders>
              <w:top w:color="1f1f1f" w:space="0" w:sz="6" w:val="single"/>
              <w:left w:color="1f1f1f" w:space="0" w:sz="6" w:val="single"/>
              <w:bottom w:color="1f1f1f" w:space="0" w:sz="6" w:val="single"/>
              <w:right w:color="1f1f1f" w:space="0" w:sz="6" w:val="single"/>
            </w:tcBorders>
            <w:shd w:fill="efefef" w:val="clear"/>
            <w:tcMar>
              <w:top w:w="240.0" w:type="dxa"/>
              <w:left w:w="0.0" w:type="dxa"/>
              <w:bottom w:w="240.0" w:type="dxa"/>
              <w:right w:w="180.0" w:type="dxa"/>
            </w:tcMar>
          </w:tcPr>
          <w:p w:rsidR="00000000" w:rsidDel="00000000" w:rsidP="00000000" w:rsidRDefault="00000000" w:rsidRPr="00000000" w14:paraId="000000EB">
            <w:pPr>
              <w:spacing w:after="480" w:lineRule="auto"/>
              <w:jc w:val="center"/>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Total (0–9)</w:t>
            </w:r>
          </w:p>
        </w:tc>
        <w:tc>
          <w:tcPr>
            <w:tcBorders>
              <w:top w:color="1f1f1f" w:space="0" w:sz="6" w:val="single"/>
              <w:left w:color="1f1f1f" w:space="0" w:sz="6" w:val="single"/>
              <w:bottom w:color="1f1f1f" w:space="0" w:sz="6" w:val="single"/>
              <w:right w:color="1f1f1f" w:space="0" w:sz="6" w:val="single"/>
            </w:tcBorders>
            <w:shd w:fill="efefef" w:val="clear"/>
            <w:tcMar>
              <w:top w:w="240.0" w:type="dxa"/>
              <w:left w:w="0.0" w:type="dxa"/>
              <w:bottom w:w="240.0" w:type="dxa"/>
              <w:right w:w="0.0" w:type="dxa"/>
            </w:tcMar>
          </w:tcPr>
          <w:p w:rsidR="00000000" w:rsidDel="00000000" w:rsidP="00000000" w:rsidRDefault="00000000" w:rsidRPr="00000000" w14:paraId="000000EC">
            <w:pPr>
              <w:spacing w:after="480" w:lineRule="auto"/>
              <w:jc w:val="center"/>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Quality</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0ED">
            <w:pPr>
              <w:spacing w:after="480" w:lineRule="auto"/>
              <w:jc w:val="center"/>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Abraham (2021)</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0EE">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3ᵄ</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0EF">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0ᵇ</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0F0">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3ᶜ</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0F1">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6</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tcPr>
          <w:p w:rsidR="00000000" w:rsidDel="00000000" w:rsidP="00000000" w:rsidRDefault="00000000" w:rsidRPr="00000000" w14:paraId="000000F2">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Moderate</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0F3">
            <w:pPr>
              <w:spacing w:after="480" w:lineRule="auto"/>
              <w:jc w:val="center"/>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Ishihara (2024)</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0F4">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4</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0F5">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2</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0F6">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3</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0F7">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9</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tcPr>
          <w:p w:rsidR="00000000" w:rsidDel="00000000" w:rsidP="00000000" w:rsidRDefault="00000000" w:rsidRPr="00000000" w14:paraId="000000F8">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High</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0F9">
            <w:pPr>
              <w:spacing w:after="480" w:lineRule="auto"/>
              <w:jc w:val="center"/>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Kerr (2019)</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0FA">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3ᵄ</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0FB">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0ᵇ</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0FC">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3</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0FD">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6</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tcPr>
          <w:p w:rsidR="00000000" w:rsidDel="00000000" w:rsidP="00000000" w:rsidRDefault="00000000" w:rsidRPr="00000000" w14:paraId="000000FE">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Moderate</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0FF">
            <w:pPr>
              <w:spacing w:after="480" w:lineRule="auto"/>
              <w:jc w:val="center"/>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Kesireddy (2023)</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00">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3ᵄ</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01">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0ᵇ</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02">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3</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03">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6</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tcPr>
          <w:p w:rsidR="00000000" w:rsidDel="00000000" w:rsidP="00000000" w:rsidRDefault="00000000" w:rsidRPr="00000000" w14:paraId="00000104">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Moderate</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05">
            <w:pPr>
              <w:spacing w:after="480" w:lineRule="auto"/>
              <w:jc w:val="center"/>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Ishihara (2024)</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06">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4</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07">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2</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08">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3</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09">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9</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tcPr>
          <w:p w:rsidR="00000000" w:rsidDel="00000000" w:rsidP="00000000" w:rsidRDefault="00000000" w:rsidRPr="00000000" w14:paraId="0000010A">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High</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0B">
            <w:pPr>
              <w:spacing w:after="480" w:lineRule="auto"/>
              <w:jc w:val="center"/>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Koks (2021)</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0C">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4</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0D">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2</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0E">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3</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0F">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9</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tcPr>
          <w:p w:rsidR="00000000" w:rsidDel="00000000" w:rsidP="00000000" w:rsidRDefault="00000000" w:rsidRPr="00000000" w14:paraId="00000110">
            <w:pPr>
              <w:spacing w:after="480" w:lineRule="auto"/>
              <w:jc w:val="center"/>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High</w:t>
            </w:r>
          </w:p>
        </w:tc>
      </w:tr>
      <w:tr>
        <w:trPr>
          <w:cantSplit w:val="0"/>
          <w:trHeight w:val="780"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11">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Kuo (2020)</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12">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4</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13">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1ᵈ</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14">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3</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15">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8</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tcPr>
          <w:p w:rsidR="00000000" w:rsidDel="00000000" w:rsidP="00000000" w:rsidRDefault="00000000" w:rsidRPr="00000000" w14:paraId="00000116">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High</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17">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Lumlertgul (2023)</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18">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4</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19">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2</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1A">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3</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1B">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9</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tcPr>
          <w:p w:rsidR="00000000" w:rsidDel="00000000" w:rsidP="00000000" w:rsidRDefault="00000000" w:rsidRPr="00000000" w14:paraId="0000011C">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High</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1D">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Sengul (2024)</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1E">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4</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1F">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1</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20">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3</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21">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8</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tcPr>
          <w:p w:rsidR="00000000" w:rsidDel="00000000" w:rsidP="00000000" w:rsidRDefault="00000000" w:rsidRPr="00000000" w14:paraId="00000122">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High</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23">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Seydel (2021)</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24">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4</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25">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1</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26">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3</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27">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7</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tcPr>
          <w:p w:rsidR="00000000" w:rsidDel="00000000" w:rsidP="00000000" w:rsidRDefault="00000000" w:rsidRPr="00000000" w14:paraId="00000128">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High</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29">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Stein (2021)</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2A">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4</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2B">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1</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2C">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3</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2D">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9</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tcPr>
          <w:p w:rsidR="00000000" w:rsidDel="00000000" w:rsidP="00000000" w:rsidRDefault="00000000" w:rsidRPr="00000000" w14:paraId="0000012E">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High</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2F">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Tachibana (2019)</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30">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4</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31">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0</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32">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3</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33">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7</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tcPr>
          <w:p w:rsidR="00000000" w:rsidDel="00000000" w:rsidP="00000000" w:rsidRDefault="00000000" w:rsidRPr="00000000" w14:paraId="00000134">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High</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35">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Wang (2022)</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36">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4</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37">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1</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38">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3</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39">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8</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tcPr>
          <w:p w:rsidR="00000000" w:rsidDel="00000000" w:rsidP="00000000" w:rsidRDefault="00000000" w:rsidRPr="00000000" w14:paraId="0000013A">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High</w:t>
            </w:r>
          </w:p>
        </w:tc>
      </w:tr>
      <w:tr>
        <w:trPr>
          <w:cantSplit w:val="0"/>
          <w:trHeight w:val="780"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3B">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Tiu (2023)</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3C">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4</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3D">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2</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3E">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3</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tcPr>
          <w:p w:rsidR="00000000" w:rsidDel="00000000" w:rsidP="00000000" w:rsidRDefault="00000000" w:rsidRPr="00000000" w14:paraId="0000013F">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9</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tcPr>
          <w:p w:rsidR="00000000" w:rsidDel="00000000" w:rsidP="00000000" w:rsidRDefault="00000000" w:rsidRPr="00000000" w14:paraId="00000140">
            <w:pPr>
              <w:spacing w:after="480" w:lineRule="auto"/>
              <w:jc w:val="both"/>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High</w:t>
            </w:r>
          </w:p>
        </w:tc>
      </w:tr>
    </w:tbl>
    <w:p w:rsidR="00000000" w:rsidDel="00000000" w:rsidP="00000000" w:rsidRDefault="00000000" w:rsidRPr="00000000" w14:paraId="00000141">
      <w:pPr>
        <w:spacing w:after="160" w:line="278.0000000000000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42">
      <w:pPr>
        <w:spacing w:after="240" w:before="240" w:line="278.0000000000000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Footnotes:</w:t>
      </w:r>
    </w:p>
    <w:p w:rsidR="00000000" w:rsidDel="00000000" w:rsidP="00000000" w:rsidRDefault="00000000" w:rsidRPr="00000000" w14:paraId="00000143">
      <w:pPr>
        <w:numPr>
          <w:ilvl w:val="0"/>
          <w:numId w:val="1"/>
        </w:numPr>
        <w:spacing w:before="240" w:line="278.00000000000006" w:lineRule="auto"/>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ᵃ Selection: Single arm study (Abraham et al. had 1 loss at start for absolute analysis).</w:t>
      </w:r>
    </w:p>
    <w:p w:rsidR="00000000" w:rsidDel="00000000" w:rsidP="00000000" w:rsidRDefault="00000000" w:rsidRPr="00000000" w14:paraId="00000144">
      <w:pPr>
        <w:numPr>
          <w:ilvl w:val="0"/>
          <w:numId w:val="1"/>
        </w:numPr>
        <w:spacing w:line="278.00000000000006" w:lineRule="auto"/>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ᵇ Comparability: Zero score due to no comparator group.</w:t>
      </w:r>
    </w:p>
    <w:p w:rsidR="00000000" w:rsidDel="00000000" w:rsidP="00000000" w:rsidRDefault="00000000" w:rsidRPr="00000000" w14:paraId="00000145">
      <w:pPr>
        <w:numPr>
          <w:ilvl w:val="0"/>
          <w:numId w:val="1"/>
        </w:numPr>
        <w:spacing w:line="278.00000000000006" w:lineRule="auto"/>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ᶜ Outcome: Loss to follow-up &lt; 20% (borderline).</w:t>
      </w:r>
    </w:p>
    <w:p w:rsidR="00000000" w:rsidDel="00000000" w:rsidP="00000000" w:rsidRDefault="00000000" w:rsidRPr="00000000" w14:paraId="00000146">
      <w:pPr>
        <w:numPr>
          <w:ilvl w:val="0"/>
          <w:numId w:val="1"/>
        </w:numPr>
        <w:spacing w:after="240" w:line="278.00000000000006" w:lineRule="auto"/>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ᵈ Comparability: ESDR not included in the analysis.</w:t>
      </w:r>
    </w:p>
    <w:p w:rsidR="00000000" w:rsidDel="00000000" w:rsidP="00000000" w:rsidRDefault="00000000" w:rsidRPr="00000000" w14:paraId="00000147">
      <w:pPr>
        <w:spacing w:after="160" w:line="278.0000000000000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48">
      <w:pPr>
        <w:spacing w:after="160" w:line="278.0000000000000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Table 3. GRADE assessment for mains analysis outcomes</w:t>
      </w:r>
    </w:p>
    <w:p w:rsidR="00000000" w:rsidDel="00000000" w:rsidP="00000000" w:rsidRDefault="00000000" w:rsidRPr="00000000" w14:paraId="00000149">
      <w:pPr>
        <w:widowControl w:val="0"/>
        <w:rPr>
          <w:rFonts w:ascii="Times New Roman" w:cs="Times New Roman" w:eastAsia="Times New Roman" w:hAnsi="Times New Roman"/>
        </w:rPr>
      </w:pPr>
      <w:r w:rsidDel="00000000" w:rsidR="00000000" w:rsidRPr="00000000">
        <w:rPr>
          <w:rtl w:val="0"/>
        </w:rPr>
      </w:r>
    </w:p>
    <w:tbl>
      <w:tblPr>
        <w:tblStyle w:val="Table3"/>
        <w:tblW w:w="10520.0" w:type="dxa"/>
        <w:jc w:val="left"/>
        <w:tblInd w:w="-75.0" w:type="dxa"/>
        <w:tblLayout w:type="fixed"/>
        <w:tblLook w:val="0400"/>
      </w:tblPr>
      <w:tblGrid>
        <w:gridCol w:w="1660"/>
        <w:gridCol w:w="1260"/>
        <w:gridCol w:w="1260"/>
        <w:gridCol w:w="1260"/>
        <w:gridCol w:w="1260"/>
        <w:gridCol w:w="1080"/>
        <w:gridCol w:w="2740"/>
        <w:tblGridChange w:id="0">
          <w:tblGrid>
            <w:gridCol w:w="1660"/>
            <w:gridCol w:w="1260"/>
            <w:gridCol w:w="1260"/>
            <w:gridCol w:w="1260"/>
            <w:gridCol w:w="1260"/>
            <w:gridCol w:w="1080"/>
            <w:gridCol w:w="2740"/>
          </w:tblGrid>
        </w:tblGridChange>
      </w:tblGrid>
      <w:tr>
        <w:trPr>
          <w:cantSplit w:val="1"/>
          <w:tblHeader w:val="1"/>
        </w:trPr>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A">
            <w:pPr>
              <w:spacing w:after="160" w:line="259" w:lineRule="auto"/>
              <w:rPr>
                <w:rFonts w:ascii="Times New Roman" w:cs="Times New Roman" w:eastAsia="Times New Roman" w:hAnsi="Times New Roman"/>
                <w:sz w:val="16"/>
                <w:szCs w:val="16"/>
              </w:rPr>
            </w:pPr>
            <w:r w:rsidDel="00000000" w:rsidR="00000000" w:rsidRPr="00000000">
              <w:rPr>
                <w:rtl w:val="0"/>
              </w:rPr>
            </w:r>
          </w:p>
        </w:tc>
      </w:tr>
      <w:tr>
        <w:trPr>
          <w:cantSplit w:val="1"/>
          <w:tblHeader w:val="1"/>
        </w:trPr>
        <w:tc>
          <w:tcPr>
            <w:gridSpan w:val="7"/>
            <w:tcBorders>
              <w:top w:color="000000" w:space="0" w:sz="12" w:val="single"/>
              <w:left w:color="000000" w:space="0" w:sz="0" w:val="nil"/>
              <w:bottom w:color="000000" w:space="0" w:sz="12" w:val="single"/>
              <w:right w:color="000000" w:space="0" w:sz="0" w:val="nil"/>
            </w:tcBorders>
          </w:tcPr>
          <w:p w:rsidR="00000000" w:rsidDel="00000000" w:rsidP="00000000" w:rsidRDefault="00000000" w:rsidRPr="00000000" w14:paraId="00000151">
            <w:pPr>
              <w:spacing w:line="240" w:lineRule="auto"/>
              <w:rPr>
                <w:rFonts w:ascii="Times New Roman" w:cs="Times New Roman" w:eastAsia="Times New Roman" w:hAnsi="Times New Roman"/>
              </w:rPr>
            </w:pPr>
            <w:r w:rsidDel="00000000" w:rsidR="00000000" w:rsidRPr="00000000">
              <w:rPr>
                <w:rtl w:val="0"/>
              </w:rPr>
            </w:r>
          </w:p>
        </w:tc>
      </w:tr>
      <w:tr>
        <w:trPr>
          <w:cantSplit w:val="1"/>
          <w:tblHeader w:val="1"/>
        </w:trPr>
        <w:tc>
          <w:tcPr>
            <w:gridSpan w:val="7"/>
            <w:tcBorders>
              <w:top w:color="000000" w:space="0" w:sz="12" w:val="single"/>
              <w:left w:color="000000" w:space="0" w:sz="0" w:val="nil"/>
              <w:bottom w:color="000000" w:space="0" w:sz="12" w:val="single"/>
              <w:right w:color="000000" w:space="0" w:sz="0" w:val="nil"/>
            </w:tcBorders>
          </w:tcPr>
          <w:p w:rsidR="00000000" w:rsidDel="00000000" w:rsidP="00000000" w:rsidRDefault="00000000" w:rsidRPr="00000000" w14:paraId="00000158">
            <w:pPr>
              <w:spacing w:after="160" w:line="259" w:lineRule="auto"/>
              <w:rPr>
                <w:rFonts w:ascii="Times New Roman" w:cs="Times New Roman" w:eastAsia="Times New Roman" w:hAnsi="Times New Roman"/>
                <w:sz w:val="16"/>
                <w:szCs w:val="16"/>
              </w:rPr>
            </w:pPr>
            <w:r w:rsidDel="00000000" w:rsidR="00000000" w:rsidRPr="00000000">
              <w:rPr>
                <w:rtl w:val="0"/>
              </w:rPr>
            </w:r>
          </w:p>
        </w:tc>
      </w:tr>
      <w:tr>
        <w:trPr>
          <w:cantSplit w:val="1"/>
          <w:tblHeader w:val="1"/>
        </w:trPr>
        <w:tc>
          <w:tcPr>
            <w:vMerge w:val="restart"/>
            <w:tcBorders>
              <w:right w:color="efefef" w:space="0" w:sz="6" w:val="single"/>
            </w:tcBorders>
            <w:shd w:fill="3271aa" w:val="clear"/>
            <w:vAlign w:val="center"/>
          </w:tcPr>
          <w:p w:rsidR="00000000" w:rsidDel="00000000" w:rsidP="00000000" w:rsidRDefault="00000000" w:rsidRPr="00000000" w14:paraId="0000015F">
            <w:pPr>
              <w:spacing w:after="160" w:line="259" w:lineRule="auto"/>
              <w:jc w:val="center"/>
              <w:rPr>
                <w:rFonts w:ascii="Times New Roman" w:cs="Times New Roman" w:eastAsia="Times New Roman" w:hAnsi="Times New Roman"/>
                <w:color w:val="ffffff"/>
                <w:sz w:val="16"/>
                <w:szCs w:val="16"/>
              </w:rPr>
            </w:pPr>
            <w:r w:rsidDel="00000000" w:rsidR="00000000" w:rsidRPr="00000000">
              <w:rPr>
                <w:rFonts w:ascii="Times New Roman" w:cs="Times New Roman" w:eastAsia="Times New Roman" w:hAnsi="Times New Roman"/>
                <w:color w:val="ffffff"/>
                <w:sz w:val="16"/>
                <w:szCs w:val="16"/>
                <w:rtl w:val="0"/>
              </w:rPr>
              <w:t xml:space="preserve">Outcome</w:t>
              <w:br w:type="textWrapping"/>
              <w:t xml:space="preserve">№ of participants</w:t>
              <w:br w:type="textWrapping"/>
              <w:t xml:space="preserve">(studies)</w:t>
            </w:r>
          </w:p>
        </w:tc>
        <w:tc>
          <w:tcPr>
            <w:vMerge w:val="restart"/>
            <w:tcBorders>
              <w:right w:color="efefef" w:space="0" w:sz="6" w:val="single"/>
            </w:tcBorders>
            <w:shd w:fill="3271aa" w:val="clear"/>
            <w:vAlign w:val="center"/>
          </w:tcPr>
          <w:p w:rsidR="00000000" w:rsidDel="00000000" w:rsidP="00000000" w:rsidRDefault="00000000" w:rsidRPr="00000000" w14:paraId="00000160">
            <w:pPr>
              <w:spacing w:after="160" w:line="259" w:lineRule="auto"/>
              <w:jc w:val="center"/>
              <w:rPr>
                <w:rFonts w:ascii="Times New Roman" w:cs="Times New Roman" w:eastAsia="Times New Roman" w:hAnsi="Times New Roman"/>
                <w:color w:val="ffffff"/>
                <w:sz w:val="16"/>
                <w:szCs w:val="16"/>
              </w:rPr>
            </w:pPr>
            <w:r w:rsidDel="00000000" w:rsidR="00000000" w:rsidRPr="00000000">
              <w:rPr>
                <w:rFonts w:ascii="Times New Roman" w:cs="Times New Roman" w:eastAsia="Times New Roman" w:hAnsi="Times New Roman"/>
                <w:color w:val="ffffff"/>
                <w:sz w:val="16"/>
                <w:szCs w:val="16"/>
                <w:rtl w:val="0"/>
              </w:rPr>
              <w:t xml:space="preserve">Relative effect</w:t>
              <w:br w:type="textWrapping"/>
              <w:t xml:space="preserve">(95% CI)</w:t>
            </w:r>
          </w:p>
        </w:tc>
        <w:tc>
          <w:tcPr>
            <w:gridSpan w:val="3"/>
            <w:tcBorders>
              <w:top w:color="efefef" w:space="0" w:sz="6" w:val="single"/>
              <w:right w:color="efefef" w:space="0" w:sz="6" w:val="single"/>
            </w:tcBorders>
            <w:shd w:fill="e0e0e0" w:val="clear"/>
            <w:vAlign w:val="center"/>
          </w:tcPr>
          <w:p w:rsidR="00000000" w:rsidDel="00000000" w:rsidP="00000000" w:rsidRDefault="00000000" w:rsidRPr="00000000" w14:paraId="00000161">
            <w:pPr>
              <w:spacing w:after="160" w:line="259"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Anticipated absolute effects (95% CI)</w:t>
            </w:r>
          </w:p>
        </w:tc>
        <w:tc>
          <w:tcPr>
            <w:vMerge w:val="restart"/>
            <w:tcBorders>
              <w:right w:color="efefef" w:space="0" w:sz="6" w:val="single"/>
            </w:tcBorders>
            <w:shd w:fill="3271aa" w:val="clear"/>
            <w:vAlign w:val="center"/>
          </w:tcPr>
          <w:p w:rsidR="00000000" w:rsidDel="00000000" w:rsidP="00000000" w:rsidRDefault="00000000" w:rsidRPr="00000000" w14:paraId="00000164">
            <w:pPr>
              <w:spacing w:after="160" w:line="259" w:lineRule="auto"/>
              <w:jc w:val="center"/>
              <w:rPr>
                <w:rFonts w:ascii="Times New Roman" w:cs="Times New Roman" w:eastAsia="Times New Roman" w:hAnsi="Times New Roman"/>
                <w:color w:val="ffffff"/>
                <w:sz w:val="16"/>
                <w:szCs w:val="16"/>
              </w:rPr>
            </w:pPr>
            <w:r w:rsidDel="00000000" w:rsidR="00000000" w:rsidRPr="00000000">
              <w:rPr>
                <w:rFonts w:ascii="Times New Roman" w:cs="Times New Roman" w:eastAsia="Times New Roman" w:hAnsi="Times New Roman"/>
                <w:color w:val="ffffff"/>
                <w:sz w:val="16"/>
                <w:szCs w:val="16"/>
                <w:rtl w:val="0"/>
              </w:rPr>
              <w:t xml:space="preserve">Certainty</w:t>
            </w:r>
          </w:p>
        </w:tc>
        <w:tc>
          <w:tcPr>
            <w:vMerge w:val="restart"/>
            <w:tcBorders>
              <w:right w:color="efefef" w:space="0" w:sz="6" w:val="single"/>
            </w:tcBorders>
            <w:shd w:fill="3271aa" w:val="clear"/>
            <w:vAlign w:val="center"/>
          </w:tcPr>
          <w:p w:rsidR="00000000" w:rsidDel="00000000" w:rsidP="00000000" w:rsidRDefault="00000000" w:rsidRPr="00000000" w14:paraId="00000165">
            <w:pPr>
              <w:spacing w:after="160" w:line="259" w:lineRule="auto"/>
              <w:jc w:val="center"/>
              <w:rPr>
                <w:rFonts w:ascii="Times New Roman" w:cs="Times New Roman" w:eastAsia="Times New Roman" w:hAnsi="Times New Roman"/>
                <w:color w:val="ffffff"/>
                <w:sz w:val="16"/>
                <w:szCs w:val="16"/>
              </w:rPr>
            </w:pPr>
            <w:r w:rsidDel="00000000" w:rsidR="00000000" w:rsidRPr="00000000">
              <w:rPr>
                <w:rFonts w:ascii="Times New Roman" w:cs="Times New Roman" w:eastAsia="Times New Roman" w:hAnsi="Times New Roman"/>
                <w:color w:val="ffffff"/>
                <w:sz w:val="16"/>
                <w:szCs w:val="16"/>
                <w:rtl w:val="0"/>
              </w:rPr>
              <w:t xml:space="preserve">What happens</w:t>
            </w:r>
          </w:p>
        </w:tc>
      </w:tr>
      <w:tr>
        <w:trPr>
          <w:cantSplit w:val="1"/>
          <w:tblHeader w:val="1"/>
        </w:trPr>
        <w:tc>
          <w:tcPr>
            <w:vMerge w:val="continue"/>
            <w:tcBorders>
              <w:right w:color="efefef" w:space="0" w:sz="6" w:val="single"/>
            </w:tcBorders>
            <w:shd w:fill="3271aa" w:val="clear"/>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16"/>
                <w:szCs w:val="16"/>
              </w:rPr>
            </w:pPr>
            <w:r w:rsidDel="00000000" w:rsidR="00000000" w:rsidRPr="00000000">
              <w:rPr>
                <w:rtl w:val="0"/>
              </w:rPr>
            </w:r>
          </w:p>
        </w:tc>
        <w:tc>
          <w:tcPr>
            <w:vMerge w:val="continue"/>
            <w:tcBorders>
              <w:right w:color="efefef" w:space="0" w:sz="6" w:val="single"/>
            </w:tcBorders>
            <w:shd w:fill="3271aa" w:val="clear"/>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16"/>
                <w:szCs w:val="16"/>
              </w:rPr>
            </w:pPr>
            <w:r w:rsidDel="00000000" w:rsidR="00000000" w:rsidRPr="00000000">
              <w:rPr>
                <w:rtl w:val="0"/>
              </w:rPr>
            </w:r>
          </w:p>
        </w:tc>
        <w:tc>
          <w:tcPr>
            <w:tcBorders>
              <w:top w:color="efefef" w:space="0" w:sz="6" w:val="single"/>
              <w:right w:color="efefef" w:space="0" w:sz="6" w:val="single"/>
            </w:tcBorders>
            <w:shd w:fill="e0e0e0" w:val="clear"/>
            <w:vAlign w:val="center"/>
          </w:tcPr>
          <w:p w:rsidR="00000000" w:rsidDel="00000000" w:rsidP="00000000" w:rsidRDefault="00000000" w:rsidRPr="00000000" w14:paraId="00000168">
            <w:pPr>
              <w:spacing w:after="160" w:line="259"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[comparison]</w:t>
            </w:r>
          </w:p>
        </w:tc>
        <w:tc>
          <w:tcPr>
            <w:tcBorders>
              <w:top w:color="efefef" w:space="0" w:sz="6" w:val="single"/>
              <w:right w:color="efefef" w:space="0" w:sz="6" w:val="single"/>
            </w:tcBorders>
            <w:shd w:fill="e0e0e0" w:val="clear"/>
            <w:vAlign w:val="center"/>
          </w:tcPr>
          <w:p w:rsidR="00000000" w:rsidDel="00000000" w:rsidP="00000000" w:rsidRDefault="00000000" w:rsidRPr="00000000" w14:paraId="00000169">
            <w:pPr>
              <w:spacing w:after="160" w:line="259"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[intervention]</w:t>
            </w:r>
          </w:p>
        </w:tc>
        <w:tc>
          <w:tcPr>
            <w:tcBorders>
              <w:top w:color="efefef" w:space="0" w:sz="6" w:val="single"/>
              <w:right w:color="efefef" w:space="0" w:sz="6" w:val="single"/>
            </w:tcBorders>
            <w:shd w:fill="e0e0e0" w:val="clear"/>
            <w:vAlign w:val="center"/>
          </w:tcPr>
          <w:p w:rsidR="00000000" w:rsidDel="00000000" w:rsidP="00000000" w:rsidRDefault="00000000" w:rsidRPr="00000000" w14:paraId="0000016A">
            <w:pPr>
              <w:spacing w:after="160" w:line="259"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Difference</w:t>
            </w:r>
          </w:p>
        </w:tc>
        <w:tc>
          <w:tcPr>
            <w:vMerge w:val="continue"/>
            <w:tcBorders>
              <w:right w:color="efefef" w:space="0" w:sz="6" w:val="single"/>
            </w:tcBorders>
            <w:shd w:fill="3271aa" w:val="clear"/>
            <w:vAlign w:val="cente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16"/>
                <w:szCs w:val="16"/>
              </w:rPr>
            </w:pPr>
            <w:r w:rsidDel="00000000" w:rsidR="00000000" w:rsidRPr="00000000">
              <w:rPr>
                <w:rtl w:val="0"/>
              </w:rPr>
            </w:r>
          </w:p>
        </w:tc>
        <w:tc>
          <w:tcPr>
            <w:vMerge w:val="continue"/>
            <w:tcBorders>
              <w:right w:color="efefef" w:space="0" w:sz="6" w:val="single"/>
            </w:tcBorders>
            <w:shd w:fill="3271aa" w:val="clear"/>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16"/>
                <w:szCs w:val="16"/>
              </w:rPr>
            </w:pPr>
            <w:r w:rsidDel="00000000" w:rsidR="00000000" w:rsidRPr="00000000">
              <w:rPr>
                <w:rtl w:val="0"/>
              </w:rPr>
            </w:r>
          </w:p>
        </w:tc>
      </w:tr>
      <w:tr>
        <w:trPr>
          <w:cantSplit w:val="1"/>
          <w:tblHeader w:val="0"/>
        </w:trPr>
        <w:tc>
          <w:tcPr>
            <w:vMerge w:val="restart"/>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6D">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Overall survival</w:t>
              <w:br w:type="textWrapping"/>
              <w:t xml:space="preserve">assessed with: Overall survival measured as hazard ratio (HR).</w:t>
              <w:br w:type="textWrapping"/>
              <w:t xml:space="preserve">№ of participants: 7635</w:t>
              <w:br w:type="textWrapping"/>
              <w:t xml:space="preserve">(4 non-randomised studies)</w:t>
            </w:r>
            <w:r w:rsidDel="00000000" w:rsidR="00000000" w:rsidRPr="00000000">
              <w:rPr>
                <w:rtl w:val="0"/>
              </w:rPr>
            </w:r>
          </w:p>
        </w:tc>
        <w:tc>
          <w:tcPr>
            <w:vMerge w:val="restart"/>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6E">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HR 0.97</w:t>
            </w:r>
            <w:r w:rsidDel="00000000" w:rsidR="00000000" w:rsidRPr="00000000">
              <w:rPr>
                <w:rFonts w:ascii="Times New Roman" w:cs="Times New Roman" w:eastAsia="Times New Roman" w:hAnsi="Times New Roman"/>
                <w:sz w:val="16"/>
                <w:szCs w:val="16"/>
                <w:rtl w:val="0"/>
              </w:rPr>
              <w:br w:type="textWrapping"/>
              <w:t xml:space="preserve">(0.58 to 1.61)</w:t>
              <w:br w:type="textWrapping"/>
              <w:t xml:space="preserve">[Overall survival]</w:t>
            </w:r>
          </w:p>
        </w:tc>
        <w:tc>
          <w:tcPr>
            <w:gridSpan w:val="3"/>
            <w:tcBorders>
              <w:top w:color="000000" w:space="0" w:sz="6" w:val="single"/>
              <w:left w:color="000000" w:space="0" w:sz="0" w:val="nil"/>
              <w:bottom w:color="000000" w:space="0" w:sz="6" w:val="single"/>
              <w:right w:color="000000" w:space="0" w:sz="0" w:val="nil"/>
            </w:tcBorders>
            <w:shd w:fill="e0e0e0" w:val="clear"/>
            <w:vAlign w:val="center"/>
          </w:tcPr>
          <w:p w:rsidR="00000000" w:rsidDel="00000000" w:rsidP="00000000" w:rsidRDefault="00000000" w:rsidRPr="00000000" w14:paraId="0000016F">
            <w:pPr>
              <w:spacing w:after="160" w:line="259"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High</w:t>
            </w:r>
          </w:p>
        </w:tc>
        <w:tc>
          <w:tcPr>
            <w:vMerge w:val="restart"/>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72">
            <w:pPr>
              <w:spacing w:after="160" w:line="259" w:lineRule="auto"/>
              <w:jc w:val="center"/>
              <w:rPr>
                <w:rFonts w:ascii="Times New Roman" w:cs="Times New Roman" w:eastAsia="Times New Roman" w:hAnsi="Times New Roman"/>
                <w:sz w:val="16"/>
                <w:szCs w:val="16"/>
              </w:rPr>
            </w:pPr>
            <w:r w:rsidDel="00000000" w:rsidR="00000000" w:rsidRPr="00000000">
              <w:rPr>
                <w:rFonts w:ascii="Cardo" w:cs="Cardo" w:eastAsia="Cardo" w:hAnsi="Cardo"/>
                <w:sz w:val="21"/>
                <w:szCs w:val="21"/>
                <w:rtl w:val="0"/>
              </w:rPr>
              <w:t xml:space="preserve">⨁◯◯◯</w:t>
            </w:r>
            <w:r w:rsidDel="00000000" w:rsidR="00000000" w:rsidRPr="00000000">
              <w:rPr>
                <w:rFonts w:ascii="Times New Roman" w:cs="Times New Roman" w:eastAsia="Times New Roman" w:hAnsi="Times New Roman"/>
                <w:sz w:val="16"/>
                <w:szCs w:val="16"/>
                <w:rtl w:val="0"/>
              </w:rPr>
              <w:br w:type="textWrapping"/>
              <w:t xml:space="preserve">Very low</w:t>
            </w:r>
            <w:r w:rsidDel="00000000" w:rsidR="00000000" w:rsidRPr="00000000">
              <w:rPr>
                <w:rFonts w:ascii="Times New Roman" w:cs="Times New Roman" w:eastAsia="Times New Roman" w:hAnsi="Times New Roman"/>
                <w:sz w:val="16"/>
                <w:szCs w:val="16"/>
                <w:vertAlign w:val="superscript"/>
                <w:rtl w:val="0"/>
              </w:rPr>
              <w:t xml:space="preserve">a,b,c</w:t>
            </w:r>
            <w:r w:rsidDel="00000000" w:rsidR="00000000" w:rsidRPr="00000000">
              <w:rPr>
                <w:rtl w:val="0"/>
              </w:rPr>
            </w:r>
          </w:p>
        </w:tc>
        <w:tc>
          <w:tcPr>
            <w:vMerge w:val="restart"/>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73">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 effect of CKD on the risk of death in patients receiving immune checkpoint inhibitors is very uncertain.</w:t>
            </w:r>
          </w:p>
        </w:tc>
      </w:tr>
      <w:tr>
        <w:trPr>
          <w:cantSplit w:val="1"/>
          <w:tblHeader w:val="0"/>
        </w:trPr>
        <w:tc>
          <w:tcPr>
            <w:vMerge w:val="continue"/>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ebebeb" w:val="clear"/>
            <w:vAlign w:val="center"/>
          </w:tcPr>
          <w:p w:rsidR="00000000" w:rsidDel="00000000" w:rsidP="00000000" w:rsidRDefault="00000000" w:rsidRPr="00000000" w14:paraId="00000176">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30.0%</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ebebeb" w:val="clear"/>
            <w:vAlign w:val="center"/>
          </w:tcPr>
          <w:p w:rsidR="00000000" w:rsidDel="00000000" w:rsidP="00000000" w:rsidRDefault="00000000" w:rsidRPr="00000000" w14:paraId="00000177">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8"/>
                <w:szCs w:val="18"/>
                <w:rtl w:val="0"/>
              </w:rPr>
              <w:t xml:space="preserve">29.2%</w:t>
            </w:r>
            <w:r w:rsidDel="00000000" w:rsidR="00000000" w:rsidRPr="00000000">
              <w:rPr>
                <w:rFonts w:ascii="Times New Roman" w:cs="Times New Roman" w:eastAsia="Times New Roman" w:hAnsi="Times New Roman"/>
                <w:sz w:val="18"/>
                <w:szCs w:val="18"/>
                <w:rtl w:val="0"/>
              </w:rPr>
              <w:br w:type="textWrapping"/>
              <w:t xml:space="preserve">(18.7 to 43.7)</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78">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8"/>
                <w:szCs w:val="18"/>
                <w:rtl w:val="0"/>
              </w:rPr>
              <w:t xml:space="preserve">0.8% fewer</w:t>
            </w:r>
            <w:r w:rsidDel="00000000" w:rsidR="00000000" w:rsidRPr="00000000">
              <w:rPr>
                <w:rFonts w:ascii="Times New Roman" w:cs="Times New Roman" w:eastAsia="Times New Roman" w:hAnsi="Times New Roman"/>
                <w:sz w:val="18"/>
                <w:szCs w:val="18"/>
                <w:rtl w:val="0"/>
              </w:rPr>
              <w:br w:type="textWrapping"/>
              <w:t xml:space="preserve">(11.3% fewer to 13.7% more)</w:t>
            </w:r>
            <w:r w:rsidDel="00000000" w:rsidR="00000000" w:rsidRPr="00000000">
              <w:rPr>
                <w:rtl w:val="0"/>
              </w:rPr>
            </w:r>
          </w:p>
        </w:tc>
        <w:tc>
          <w:tcPr>
            <w:vMerge w:val="continue"/>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r>
      <w:tr>
        <w:trPr>
          <w:cantSplit w:val="1"/>
          <w:tblHeader w:val="0"/>
        </w:trPr>
        <w:tc>
          <w:tcPr>
            <w:vMerge w:val="restart"/>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7B">
            <w:pPr>
              <w:spacing w:line="259"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Progression-free survival (PFS)</w:t>
              <w:br w:type="textWrapping"/>
              <w:t xml:space="preserve">assessed with: RECIST v1.1 criteria</w:t>
            </w:r>
          </w:p>
          <w:p w:rsidR="00000000" w:rsidDel="00000000" w:rsidP="00000000" w:rsidRDefault="00000000" w:rsidRPr="00000000" w14:paraId="0000017C">
            <w:pPr>
              <w:spacing w:line="259"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of participants: 443</w:t>
              <w:br w:type="textWrapping"/>
              <w:t xml:space="preserve">(3 non-randomised studies)</w:t>
            </w:r>
          </w:p>
        </w:tc>
        <w:tc>
          <w:tcPr>
            <w:vMerge w:val="restart"/>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7D">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HR 1.05</w:t>
            </w:r>
            <w:r w:rsidDel="00000000" w:rsidR="00000000" w:rsidRPr="00000000">
              <w:rPr>
                <w:rFonts w:ascii="Times New Roman" w:cs="Times New Roman" w:eastAsia="Times New Roman" w:hAnsi="Times New Roman"/>
                <w:sz w:val="16"/>
                <w:szCs w:val="16"/>
                <w:rtl w:val="0"/>
              </w:rPr>
              <w:br w:type="textWrapping"/>
              <w:t xml:space="preserve">(0.76 to 1.44)</w:t>
              <w:br w:type="textWrapping"/>
              <w:t xml:space="preserve">[Progression-free survival (PFS)]</w:t>
            </w:r>
          </w:p>
        </w:tc>
        <w:tc>
          <w:tcPr>
            <w:gridSpan w:val="3"/>
            <w:tcBorders>
              <w:top w:color="000000" w:space="0" w:sz="6" w:val="single"/>
              <w:left w:color="000000" w:space="0" w:sz="0" w:val="nil"/>
              <w:bottom w:color="000000" w:space="0" w:sz="6" w:val="single"/>
              <w:right w:color="000000" w:space="0" w:sz="0" w:val="nil"/>
            </w:tcBorders>
            <w:shd w:fill="e0e0e0" w:val="clear"/>
            <w:vAlign w:val="center"/>
          </w:tcPr>
          <w:p w:rsidR="00000000" w:rsidDel="00000000" w:rsidP="00000000" w:rsidRDefault="00000000" w:rsidRPr="00000000" w14:paraId="0000017E">
            <w:pPr>
              <w:spacing w:after="160" w:line="259"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High</w:t>
            </w:r>
          </w:p>
        </w:tc>
        <w:tc>
          <w:tcPr>
            <w:vMerge w:val="restart"/>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81">
            <w:pPr>
              <w:spacing w:after="160" w:line="259" w:lineRule="auto"/>
              <w:jc w:val="center"/>
              <w:rPr>
                <w:rFonts w:ascii="Times New Roman" w:cs="Times New Roman" w:eastAsia="Times New Roman" w:hAnsi="Times New Roman"/>
                <w:sz w:val="16"/>
                <w:szCs w:val="16"/>
              </w:rPr>
            </w:pPr>
            <w:r w:rsidDel="00000000" w:rsidR="00000000" w:rsidRPr="00000000">
              <w:rPr>
                <w:rFonts w:ascii="Cardo" w:cs="Cardo" w:eastAsia="Cardo" w:hAnsi="Cardo"/>
                <w:sz w:val="21"/>
                <w:szCs w:val="21"/>
                <w:rtl w:val="0"/>
              </w:rPr>
              <w:t xml:space="preserve">⨁◯◯◯</w:t>
            </w:r>
            <w:r w:rsidDel="00000000" w:rsidR="00000000" w:rsidRPr="00000000">
              <w:rPr>
                <w:rFonts w:ascii="Times New Roman" w:cs="Times New Roman" w:eastAsia="Times New Roman" w:hAnsi="Times New Roman"/>
                <w:sz w:val="16"/>
                <w:szCs w:val="16"/>
                <w:rtl w:val="0"/>
              </w:rPr>
              <w:br w:type="textWrapping"/>
              <w:t xml:space="preserve">Very low</w:t>
            </w:r>
            <w:r w:rsidDel="00000000" w:rsidR="00000000" w:rsidRPr="00000000">
              <w:rPr>
                <w:rFonts w:ascii="Times New Roman" w:cs="Times New Roman" w:eastAsia="Times New Roman" w:hAnsi="Times New Roman"/>
                <w:sz w:val="16"/>
                <w:szCs w:val="16"/>
                <w:vertAlign w:val="superscript"/>
                <w:rtl w:val="0"/>
              </w:rPr>
              <w:t xml:space="preserve">d,e</w:t>
            </w:r>
            <w:r w:rsidDel="00000000" w:rsidR="00000000" w:rsidRPr="00000000">
              <w:rPr>
                <w:rtl w:val="0"/>
              </w:rPr>
            </w:r>
          </w:p>
        </w:tc>
        <w:tc>
          <w:tcPr>
            <w:vMerge w:val="restart"/>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82">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 effect of CKD on progression-free survival in patients receiving immune checkpoint inhibitors is very uncertain.</w:t>
            </w:r>
          </w:p>
        </w:tc>
      </w:tr>
      <w:tr>
        <w:trPr>
          <w:cantSplit w:val="1"/>
          <w:tblHeader w:val="0"/>
        </w:trPr>
        <w:tc>
          <w:tcPr>
            <w:vMerge w:val="continue"/>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ebebeb" w:val="clear"/>
            <w:vAlign w:val="center"/>
          </w:tcPr>
          <w:p w:rsidR="00000000" w:rsidDel="00000000" w:rsidP="00000000" w:rsidRDefault="00000000" w:rsidRPr="00000000" w14:paraId="00000185">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50.0%</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ebebeb" w:val="clear"/>
            <w:vAlign w:val="center"/>
          </w:tcPr>
          <w:p w:rsidR="00000000" w:rsidDel="00000000" w:rsidP="00000000" w:rsidRDefault="00000000" w:rsidRPr="00000000" w14:paraId="00000186">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8"/>
                <w:szCs w:val="18"/>
                <w:rtl w:val="0"/>
              </w:rPr>
              <w:t xml:space="preserve">51.7%</w:t>
            </w:r>
            <w:r w:rsidDel="00000000" w:rsidR="00000000" w:rsidRPr="00000000">
              <w:rPr>
                <w:rFonts w:ascii="Times New Roman" w:cs="Times New Roman" w:eastAsia="Times New Roman" w:hAnsi="Times New Roman"/>
                <w:sz w:val="18"/>
                <w:szCs w:val="18"/>
                <w:rtl w:val="0"/>
              </w:rPr>
              <w:br w:type="textWrapping"/>
              <w:t xml:space="preserve">(41 to 63.1)</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87">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8"/>
                <w:szCs w:val="18"/>
                <w:rtl w:val="0"/>
              </w:rPr>
              <w:t xml:space="preserve">1.7% more</w:t>
            </w:r>
            <w:r w:rsidDel="00000000" w:rsidR="00000000" w:rsidRPr="00000000">
              <w:rPr>
                <w:rFonts w:ascii="Times New Roman" w:cs="Times New Roman" w:eastAsia="Times New Roman" w:hAnsi="Times New Roman"/>
                <w:sz w:val="18"/>
                <w:szCs w:val="18"/>
                <w:rtl w:val="0"/>
              </w:rPr>
              <w:br w:type="textWrapping"/>
              <w:t xml:space="preserve">(9.0% fewer to 13.1% more)</w:t>
            </w:r>
            <w:r w:rsidDel="00000000" w:rsidR="00000000" w:rsidRPr="00000000">
              <w:rPr>
                <w:rtl w:val="0"/>
              </w:rPr>
            </w:r>
          </w:p>
        </w:tc>
        <w:tc>
          <w:tcPr>
            <w:vMerge w:val="continue"/>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r>
      <w:tr>
        <w:trPr>
          <w:cantSplit w:val="1"/>
          <w:tblHeader w:val="0"/>
        </w:trPr>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8A">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Incidence of nephritis</w:t>
              <w:br w:type="textWrapping"/>
              <w:t xml:space="preserve">assessed with: Clinician-reported immune-related adverse events according to CTCAE criteria</w:t>
              <w:br w:type="textWrapping"/>
              <w:t xml:space="preserve">№ of participants: 7413</w:t>
              <w:br w:type="textWrapping"/>
              <w:t xml:space="preserve">(3 non-randomised studies)</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8B">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RR 2.43</w:t>
            </w:r>
            <w:r w:rsidDel="00000000" w:rsidR="00000000" w:rsidRPr="00000000">
              <w:rPr>
                <w:rFonts w:ascii="Times New Roman" w:cs="Times New Roman" w:eastAsia="Times New Roman" w:hAnsi="Times New Roman"/>
                <w:sz w:val="16"/>
                <w:szCs w:val="16"/>
                <w:rtl w:val="0"/>
              </w:rPr>
              <w:br w:type="textWrapping"/>
              <w:t xml:space="preserve">(1.11 to 5.33)</w:t>
            </w:r>
          </w:p>
        </w:tc>
        <w:tc>
          <w:tcPr>
            <w:tcBorders>
              <w:top w:color="000000" w:space="0" w:sz="6" w:val="single"/>
              <w:left w:color="000000" w:space="0" w:sz="0" w:val="nil"/>
              <w:bottom w:color="000000" w:space="0" w:sz="6" w:val="single"/>
              <w:right w:color="000000" w:space="0" w:sz="0" w:val="nil"/>
            </w:tcBorders>
            <w:shd w:fill="ebebeb" w:val="clear"/>
            <w:vAlign w:val="center"/>
          </w:tcPr>
          <w:p w:rsidR="00000000" w:rsidDel="00000000" w:rsidP="00000000" w:rsidRDefault="00000000" w:rsidRPr="00000000" w14:paraId="0000018C">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2.2%</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ebebeb" w:val="clear"/>
            <w:vAlign w:val="center"/>
          </w:tcPr>
          <w:p w:rsidR="00000000" w:rsidDel="00000000" w:rsidP="00000000" w:rsidRDefault="00000000" w:rsidRPr="00000000" w14:paraId="0000018D">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8"/>
                <w:szCs w:val="18"/>
                <w:rtl w:val="0"/>
              </w:rPr>
              <w:t xml:space="preserve">5.3%</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8E">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8"/>
                <w:szCs w:val="18"/>
                <w:rtl w:val="0"/>
              </w:rPr>
              <w:t xml:space="preserve">3.1% more</w:t>
            </w:r>
            <w:r w:rsidDel="00000000" w:rsidR="00000000" w:rsidRPr="00000000">
              <w:rPr>
                <w:rFonts w:ascii="Times New Roman" w:cs="Times New Roman" w:eastAsia="Times New Roman" w:hAnsi="Times New Roman"/>
                <w:sz w:val="18"/>
                <w:szCs w:val="18"/>
                <w:rtl w:val="0"/>
              </w:rPr>
              <w:br w:type="textWrapping"/>
              <w:t xml:space="preserve">(0.2% more to 9.4% more)</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8F">
            <w:pPr>
              <w:spacing w:after="160" w:line="259" w:lineRule="auto"/>
              <w:jc w:val="center"/>
              <w:rPr>
                <w:rFonts w:ascii="Times New Roman" w:cs="Times New Roman" w:eastAsia="Times New Roman" w:hAnsi="Times New Roman"/>
                <w:sz w:val="16"/>
                <w:szCs w:val="16"/>
              </w:rPr>
            </w:pPr>
            <w:r w:rsidDel="00000000" w:rsidR="00000000" w:rsidRPr="00000000">
              <w:rPr>
                <w:rFonts w:ascii="Cardo" w:cs="Cardo" w:eastAsia="Cardo" w:hAnsi="Cardo"/>
                <w:sz w:val="21"/>
                <w:szCs w:val="21"/>
                <w:rtl w:val="0"/>
              </w:rPr>
              <w:t xml:space="preserve">⨁◯◯◯</w:t>
            </w:r>
            <w:r w:rsidDel="00000000" w:rsidR="00000000" w:rsidRPr="00000000">
              <w:rPr>
                <w:rFonts w:ascii="Times New Roman" w:cs="Times New Roman" w:eastAsia="Times New Roman" w:hAnsi="Times New Roman"/>
                <w:sz w:val="16"/>
                <w:szCs w:val="16"/>
                <w:rtl w:val="0"/>
              </w:rPr>
              <w:br w:type="textWrapping"/>
              <w:t xml:space="preserve">Very low</w:t>
            </w:r>
            <w:r w:rsidDel="00000000" w:rsidR="00000000" w:rsidRPr="00000000">
              <w:rPr>
                <w:rFonts w:ascii="Times New Roman" w:cs="Times New Roman" w:eastAsia="Times New Roman" w:hAnsi="Times New Roman"/>
                <w:sz w:val="16"/>
                <w:szCs w:val="16"/>
                <w:vertAlign w:val="superscript"/>
                <w:rtl w:val="0"/>
              </w:rPr>
              <w:t xml:space="preserve">f</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90">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 effect of CKD on the risk of nephritis in patients treated with immune checkpoint inhibitors is very uncertain.</w:t>
            </w:r>
          </w:p>
        </w:tc>
      </w:tr>
      <w:tr>
        <w:trPr>
          <w:cantSplit w:val="1"/>
          <w:tblHeader w:val="0"/>
        </w:trPr>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91">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Incidence of acute kidney injury</w:t>
              <w:br w:type="textWrapping"/>
              <w:t xml:space="preserve">assessed with: KDIGO criteria</w:t>
              <w:br w:type="textWrapping"/>
              <w:t xml:space="preserve">№ of participants: 3898</w:t>
              <w:br w:type="textWrapping"/>
              <w:t xml:space="preserve">(6 non-randomised studies)</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92">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RR 1.39</w:t>
            </w:r>
            <w:r w:rsidDel="00000000" w:rsidR="00000000" w:rsidRPr="00000000">
              <w:rPr>
                <w:rFonts w:ascii="Times New Roman" w:cs="Times New Roman" w:eastAsia="Times New Roman" w:hAnsi="Times New Roman"/>
                <w:sz w:val="16"/>
                <w:szCs w:val="16"/>
                <w:rtl w:val="0"/>
              </w:rPr>
              <w:br w:type="textWrapping"/>
              <w:t xml:space="preserve">(0.93 to 2.08)</w:t>
            </w:r>
          </w:p>
        </w:tc>
        <w:tc>
          <w:tcPr>
            <w:tcBorders>
              <w:top w:color="000000" w:space="0" w:sz="6" w:val="single"/>
              <w:left w:color="000000" w:space="0" w:sz="0" w:val="nil"/>
              <w:bottom w:color="000000" w:space="0" w:sz="6" w:val="single"/>
              <w:right w:color="000000" w:space="0" w:sz="0" w:val="nil"/>
            </w:tcBorders>
            <w:shd w:fill="ebebeb" w:val="clear"/>
            <w:vAlign w:val="center"/>
          </w:tcPr>
          <w:p w:rsidR="00000000" w:rsidDel="00000000" w:rsidP="00000000" w:rsidRDefault="00000000" w:rsidRPr="00000000" w14:paraId="00000193">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9.9%</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ebebeb" w:val="clear"/>
            <w:vAlign w:val="center"/>
          </w:tcPr>
          <w:p w:rsidR="00000000" w:rsidDel="00000000" w:rsidP="00000000" w:rsidRDefault="00000000" w:rsidRPr="00000000" w14:paraId="00000194">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8"/>
                <w:szCs w:val="18"/>
                <w:rtl w:val="0"/>
              </w:rPr>
              <w:t xml:space="preserve">13.8%</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95">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8"/>
                <w:szCs w:val="18"/>
                <w:rtl w:val="0"/>
              </w:rPr>
              <w:t xml:space="preserve">3.9% more</w:t>
            </w:r>
            <w:r w:rsidDel="00000000" w:rsidR="00000000" w:rsidRPr="00000000">
              <w:rPr>
                <w:rFonts w:ascii="Times New Roman" w:cs="Times New Roman" w:eastAsia="Times New Roman" w:hAnsi="Times New Roman"/>
                <w:sz w:val="18"/>
                <w:szCs w:val="18"/>
                <w:rtl w:val="0"/>
              </w:rPr>
              <w:br w:type="textWrapping"/>
              <w:t xml:space="preserve">(0.7% fewer to 10.7% more)</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96">
            <w:pPr>
              <w:spacing w:after="160" w:line="259" w:lineRule="auto"/>
              <w:jc w:val="center"/>
              <w:rPr>
                <w:rFonts w:ascii="Times New Roman" w:cs="Times New Roman" w:eastAsia="Times New Roman" w:hAnsi="Times New Roman"/>
                <w:sz w:val="16"/>
                <w:szCs w:val="16"/>
              </w:rPr>
            </w:pPr>
            <w:r w:rsidDel="00000000" w:rsidR="00000000" w:rsidRPr="00000000">
              <w:rPr>
                <w:rFonts w:ascii="Cardo" w:cs="Cardo" w:eastAsia="Cardo" w:hAnsi="Cardo"/>
                <w:sz w:val="21"/>
                <w:szCs w:val="21"/>
                <w:rtl w:val="0"/>
              </w:rPr>
              <w:t xml:space="preserve">⨁◯◯◯</w:t>
            </w:r>
            <w:r w:rsidDel="00000000" w:rsidR="00000000" w:rsidRPr="00000000">
              <w:rPr>
                <w:rFonts w:ascii="Times New Roman" w:cs="Times New Roman" w:eastAsia="Times New Roman" w:hAnsi="Times New Roman"/>
                <w:sz w:val="16"/>
                <w:szCs w:val="16"/>
                <w:rtl w:val="0"/>
              </w:rPr>
              <w:br w:type="textWrapping"/>
              <w:t xml:space="preserve">Very low</w:t>
            </w:r>
            <w:r w:rsidDel="00000000" w:rsidR="00000000" w:rsidRPr="00000000">
              <w:rPr>
                <w:rFonts w:ascii="Times New Roman" w:cs="Times New Roman" w:eastAsia="Times New Roman" w:hAnsi="Times New Roman"/>
                <w:sz w:val="16"/>
                <w:szCs w:val="16"/>
                <w:vertAlign w:val="superscript"/>
                <w:rtl w:val="0"/>
              </w:rPr>
              <w:t xml:space="preserve">g,h</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97">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 effect of CKD on the incidence of acute kidney injury in patients treated with immune checkpoint inhibitors is very uncertain.</w:t>
            </w:r>
          </w:p>
        </w:tc>
      </w:tr>
      <w:tr>
        <w:trPr>
          <w:cantSplit w:val="1"/>
          <w:tblHeader w:val="0"/>
        </w:trPr>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98">
            <w:pPr>
              <w:spacing w:after="160" w:line="259" w:lineRule="auto"/>
              <w:jc w:val="center"/>
              <w:rPr>
                <w:rFonts w:ascii="Times New Roman" w:cs="Times New Roman" w:eastAsia="Times New Roman" w:hAnsi="Times New Roman"/>
                <w:sz w:val="16"/>
                <w:szCs w:val="16"/>
              </w:rPr>
            </w:pPr>
            <w:r w:rsidDel="00000000" w:rsidR="00000000" w:rsidRPr="00000000">
              <w:rPr>
                <w:rFonts w:ascii="Gungsuh" w:cs="Gungsuh" w:eastAsia="Gungsuh" w:hAnsi="Gungsuh"/>
                <w:sz w:val="18"/>
                <w:szCs w:val="18"/>
                <w:rtl w:val="0"/>
              </w:rPr>
              <w:t xml:space="preserve">Incidence of grade ≥3 irAEs</w:t>
              <w:br w:type="textWrapping"/>
              <w:t xml:space="preserve">assessed with: Clinician-reported immune-related adverse events graded according to CTCAE criteria</w:t>
              <w:br w:type="textWrapping"/>
              <w:t xml:space="preserve">№ of participants: 7485</w:t>
              <w:br w:type="textWrapping"/>
              <w:t xml:space="preserve">(3 non-randomised studies)</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99">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RR 1.07</w:t>
            </w:r>
            <w:r w:rsidDel="00000000" w:rsidR="00000000" w:rsidRPr="00000000">
              <w:rPr>
                <w:rFonts w:ascii="Times New Roman" w:cs="Times New Roman" w:eastAsia="Times New Roman" w:hAnsi="Times New Roman"/>
                <w:sz w:val="16"/>
                <w:szCs w:val="16"/>
                <w:rtl w:val="0"/>
              </w:rPr>
              <w:br w:type="textWrapping"/>
              <w:t xml:space="preserve">(0.92 to 1.25)</w:t>
            </w:r>
          </w:p>
        </w:tc>
        <w:tc>
          <w:tcPr>
            <w:tcBorders>
              <w:top w:color="000000" w:space="0" w:sz="6" w:val="single"/>
              <w:left w:color="000000" w:space="0" w:sz="0" w:val="nil"/>
              <w:bottom w:color="000000" w:space="0" w:sz="6" w:val="single"/>
              <w:right w:color="000000" w:space="0" w:sz="0" w:val="nil"/>
            </w:tcBorders>
            <w:shd w:fill="ebebeb" w:val="clear"/>
            <w:vAlign w:val="center"/>
          </w:tcPr>
          <w:p w:rsidR="00000000" w:rsidDel="00000000" w:rsidP="00000000" w:rsidRDefault="00000000" w:rsidRPr="00000000" w14:paraId="0000019A">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11.5%</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ebebeb" w:val="clear"/>
            <w:vAlign w:val="center"/>
          </w:tcPr>
          <w:p w:rsidR="00000000" w:rsidDel="00000000" w:rsidP="00000000" w:rsidRDefault="00000000" w:rsidRPr="00000000" w14:paraId="0000019B">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8"/>
                <w:szCs w:val="18"/>
                <w:rtl w:val="0"/>
              </w:rPr>
              <w:t xml:space="preserve">12.3%</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9C">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8"/>
                <w:szCs w:val="18"/>
                <w:rtl w:val="0"/>
              </w:rPr>
              <w:t xml:space="preserve">0.8% more</w:t>
            </w:r>
            <w:r w:rsidDel="00000000" w:rsidR="00000000" w:rsidRPr="00000000">
              <w:rPr>
                <w:rFonts w:ascii="Times New Roman" w:cs="Times New Roman" w:eastAsia="Times New Roman" w:hAnsi="Times New Roman"/>
                <w:sz w:val="18"/>
                <w:szCs w:val="18"/>
                <w:rtl w:val="0"/>
              </w:rPr>
              <w:br w:type="textWrapping"/>
              <w:t xml:space="preserve">(0.9% fewer to 2.9% more)</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9D">
            <w:pPr>
              <w:spacing w:after="160" w:line="259" w:lineRule="auto"/>
              <w:jc w:val="center"/>
              <w:rPr>
                <w:rFonts w:ascii="Times New Roman" w:cs="Times New Roman" w:eastAsia="Times New Roman" w:hAnsi="Times New Roman"/>
                <w:sz w:val="16"/>
                <w:szCs w:val="16"/>
              </w:rPr>
            </w:pPr>
            <w:r w:rsidDel="00000000" w:rsidR="00000000" w:rsidRPr="00000000">
              <w:rPr>
                <w:rFonts w:ascii="Cardo" w:cs="Cardo" w:eastAsia="Cardo" w:hAnsi="Cardo"/>
                <w:sz w:val="21"/>
                <w:szCs w:val="21"/>
                <w:rtl w:val="0"/>
              </w:rPr>
              <w:t xml:space="preserve">⨁◯◯◯</w:t>
            </w:r>
            <w:r w:rsidDel="00000000" w:rsidR="00000000" w:rsidRPr="00000000">
              <w:rPr>
                <w:rFonts w:ascii="Times New Roman" w:cs="Times New Roman" w:eastAsia="Times New Roman" w:hAnsi="Times New Roman"/>
                <w:sz w:val="16"/>
                <w:szCs w:val="16"/>
                <w:rtl w:val="0"/>
              </w:rPr>
              <w:br w:type="textWrapping"/>
              <w:t xml:space="preserve">Very low</w:t>
            </w:r>
            <w:r w:rsidDel="00000000" w:rsidR="00000000" w:rsidRPr="00000000">
              <w:rPr>
                <w:rFonts w:ascii="Times New Roman" w:cs="Times New Roman" w:eastAsia="Times New Roman" w:hAnsi="Times New Roman"/>
                <w:sz w:val="16"/>
                <w:szCs w:val="16"/>
                <w:vertAlign w:val="superscript"/>
                <w:rtl w:val="0"/>
              </w:rPr>
              <w:t xml:space="preserve">i,j</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vAlign w:val="center"/>
          </w:tcPr>
          <w:p w:rsidR="00000000" w:rsidDel="00000000" w:rsidP="00000000" w:rsidRDefault="00000000" w:rsidRPr="00000000" w14:paraId="0000019E">
            <w:pPr>
              <w:spacing w:after="160" w:line="259"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 effect of CKD on the incidence of grade 3 or higher immune-related adverse events in patients treated with immune checkpoint inhibitors is very uncertain.</w:t>
            </w:r>
          </w:p>
        </w:tc>
      </w:tr>
      <w:tr>
        <w:trPr>
          <w:cantSplit w:val="1"/>
          <w:tblHeader w:val="0"/>
        </w:trPr>
        <w:tc>
          <w:tcPr>
            <w:gridSpan w:val="7"/>
            <w:tcBorders>
              <w:top w:color="000000" w:space="0" w:sz="6" w:val="single"/>
              <w:left w:color="000000" w:space="0" w:sz="0" w:val="nil"/>
              <w:bottom w:color="000000" w:space="0" w:sz="6" w:val="single"/>
              <w:right w:color="000000" w:space="0" w:sz="0" w:val="nil"/>
            </w:tcBorders>
          </w:tcPr>
          <w:p w:rsidR="00000000" w:rsidDel="00000000" w:rsidP="00000000" w:rsidRDefault="00000000" w:rsidRPr="00000000" w14:paraId="0000019F">
            <w:pPr>
              <w:spacing w:after="160" w:line="259"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Fonts w:ascii="Times New Roman" w:cs="Times New Roman" w:eastAsia="Times New Roman" w:hAnsi="Times New Roman"/>
                <w:b w:val="1"/>
                <w:bCs w:val="1"/>
                <w:sz w:val="16"/>
                <w:szCs w:val="16"/>
                <w:rtl w:val="0"/>
              </w:rPr>
              <w:t xml:space="preserve">The risk in the intervention group</w:t>
            </w:r>
            <w:r w:rsidDel="00000000" w:rsidR="00000000" w:rsidRPr="00000000">
              <w:rPr>
                <w:rFonts w:ascii="Times New Roman" w:cs="Times New Roman" w:eastAsia="Times New Roman" w:hAnsi="Times New Roman"/>
                <w:sz w:val="16"/>
                <w:szCs w:val="16"/>
                <w:rtl w:val="0"/>
              </w:rPr>
              <w:t xml:space="preserve"> (and its 95% confidence interval) is based on the assumed risk in the comparison group and the </w:t>
            </w:r>
            <w:r w:rsidDel="00000000" w:rsidR="00000000" w:rsidRPr="00000000">
              <w:rPr>
                <w:rFonts w:ascii="Times New Roman" w:cs="Times New Roman" w:eastAsia="Times New Roman" w:hAnsi="Times New Roman"/>
                <w:b w:val="1"/>
                <w:bCs w:val="1"/>
                <w:sz w:val="16"/>
                <w:szCs w:val="16"/>
                <w:rtl w:val="0"/>
              </w:rPr>
              <w:t xml:space="preserve">relative effect</w:t>
            </w:r>
            <w:r w:rsidDel="00000000" w:rsidR="00000000" w:rsidRPr="00000000">
              <w:rPr>
                <w:rFonts w:ascii="Times New Roman" w:cs="Times New Roman" w:eastAsia="Times New Roman" w:hAnsi="Times New Roman"/>
                <w:sz w:val="16"/>
                <w:szCs w:val="16"/>
                <w:rtl w:val="0"/>
              </w:rPr>
              <w:t xml:space="preserve"> of the intervention (and its 95% CI).</w:t>
              <w:br w:type="textWrapping"/>
              <w:br w:type="textWrapping"/>
            </w:r>
            <w:r w:rsidDel="00000000" w:rsidR="00000000" w:rsidRPr="00000000">
              <w:rPr>
                <w:rFonts w:ascii="Times New Roman" w:cs="Times New Roman" w:eastAsia="Times New Roman" w:hAnsi="Times New Roman"/>
                <w:b w:val="1"/>
                <w:bCs w:val="1"/>
                <w:sz w:val="16"/>
                <w:szCs w:val="16"/>
                <w:rtl w:val="0"/>
              </w:rPr>
              <w:t xml:space="preserve">CI:</w:t>
            </w:r>
            <w:r w:rsidDel="00000000" w:rsidR="00000000" w:rsidRPr="00000000">
              <w:rPr>
                <w:rFonts w:ascii="Times New Roman" w:cs="Times New Roman" w:eastAsia="Times New Roman" w:hAnsi="Times New Roman"/>
                <w:sz w:val="16"/>
                <w:szCs w:val="16"/>
                <w:rtl w:val="0"/>
              </w:rPr>
              <w:t xml:space="preserve"> confidence interval; </w:t>
            </w:r>
            <w:r w:rsidDel="00000000" w:rsidR="00000000" w:rsidRPr="00000000">
              <w:rPr>
                <w:rFonts w:ascii="Times New Roman" w:cs="Times New Roman" w:eastAsia="Times New Roman" w:hAnsi="Times New Roman"/>
                <w:b w:val="1"/>
                <w:bCs w:val="1"/>
                <w:sz w:val="16"/>
                <w:szCs w:val="16"/>
                <w:rtl w:val="0"/>
              </w:rPr>
              <w:t xml:space="preserve">HR:</w:t>
            </w:r>
            <w:r w:rsidDel="00000000" w:rsidR="00000000" w:rsidRPr="00000000">
              <w:rPr>
                <w:rFonts w:ascii="Times New Roman" w:cs="Times New Roman" w:eastAsia="Times New Roman" w:hAnsi="Times New Roman"/>
                <w:sz w:val="16"/>
                <w:szCs w:val="16"/>
                <w:rtl w:val="0"/>
              </w:rPr>
              <w:t xml:space="preserve"> hazard ratio; </w:t>
            </w:r>
            <w:r w:rsidDel="00000000" w:rsidR="00000000" w:rsidRPr="00000000">
              <w:rPr>
                <w:rFonts w:ascii="Times New Roman" w:cs="Times New Roman" w:eastAsia="Times New Roman" w:hAnsi="Times New Roman"/>
                <w:b w:val="1"/>
                <w:bCs w:val="1"/>
                <w:sz w:val="16"/>
                <w:szCs w:val="16"/>
                <w:rtl w:val="0"/>
              </w:rPr>
              <w:t xml:space="preserve">RR:</w:t>
            </w:r>
            <w:r w:rsidDel="00000000" w:rsidR="00000000" w:rsidRPr="00000000">
              <w:rPr>
                <w:rFonts w:ascii="Times New Roman" w:cs="Times New Roman" w:eastAsia="Times New Roman" w:hAnsi="Times New Roman"/>
                <w:sz w:val="16"/>
                <w:szCs w:val="16"/>
                <w:rtl w:val="0"/>
              </w:rPr>
              <w:t xml:space="preserve"> risk ratio</w:t>
            </w:r>
          </w:p>
        </w:tc>
      </w:tr>
      <w:tr>
        <w:trPr>
          <w:cantSplit w:val="1"/>
          <w:tblHeader w:val="0"/>
        </w:trPr>
        <w:tc>
          <w:tcPr>
            <w:gridSpan w:val="7"/>
            <w:tcBorders>
              <w:top w:color="000000" w:space="0" w:sz="6" w:val="single"/>
              <w:left w:color="000000" w:space="0" w:sz="0" w:val="nil"/>
              <w:bottom w:color="000000" w:space="0" w:sz="6" w:val="single"/>
              <w:right w:color="000000" w:space="0" w:sz="0" w:val="nil"/>
            </w:tcBorders>
          </w:tcPr>
          <w:p w:rsidR="00000000" w:rsidDel="00000000" w:rsidP="00000000" w:rsidRDefault="00000000" w:rsidRPr="00000000" w14:paraId="000001A6">
            <w:pPr>
              <w:spacing w:after="160" w:line="259"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GRADE Working Group grades of evidence</w:t>
            </w:r>
            <w:r w:rsidDel="00000000" w:rsidR="00000000" w:rsidRPr="00000000">
              <w:rPr>
                <w:rFonts w:ascii="Times New Roman" w:cs="Times New Roman" w:eastAsia="Times New Roman" w:hAnsi="Times New Roman"/>
                <w:sz w:val="16"/>
                <w:szCs w:val="16"/>
                <w:rtl w:val="0"/>
              </w:rPr>
              <w:br w:type="textWrapping"/>
            </w:r>
            <w:r w:rsidDel="00000000" w:rsidR="00000000" w:rsidRPr="00000000">
              <w:rPr>
                <w:rFonts w:ascii="Times New Roman" w:cs="Times New Roman" w:eastAsia="Times New Roman" w:hAnsi="Times New Roman"/>
                <w:b w:val="1"/>
                <w:bCs w:val="1"/>
                <w:sz w:val="16"/>
                <w:szCs w:val="16"/>
                <w:rtl w:val="0"/>
              </w:rPr>
              <w:t xml:space="preserve">High certainty:</w:t>
            </w:r>
            <w:r w:rsidDel="00000000" w:rsidR="00000000" w:rsidRPr="00000000">
              <w:rPr>
                <w:rFonts w:ascii="Times New Roman" w:cs="Times New Roman" w:eastAsia="Times New Roman" w:hAnsi="Times New Roman"/>
                <w:sz w:val="16"/>
                <w:szCs w:val="16"/>
                <w:rtl w:val="0"/>
              </w:rPr>
              <w:t xml:space="preserve"> we are very confident that the true effect lies close to that of the estimate of the effect.</w:t>
              <w:br w:type="textWrapping"/>
            </w:r>
            <w:r w:rsidDel="00000000" w:rsidR="00000000" w:rsidRPr="00000000">
              <w:rPr>
                <w:rFonts w:ascii="Times New Roman" w:cs="Times New Roman" w:eastAsia="Times New Roman" w:hAnsi="Times New Roman"/>
                <w:b w:val="1"/>
                <w:bCs w:val="1"/>
                <w:sz w:val="16"/>
                <w:szCs w:val="16"/>
                <w:rtl w:val="0"/>
              </w:rPr>
              <w:t xml:space="preserve">Moderate certainty:</w:t>
            </w:r>
            <w:r w:rsidDel="00000000" w:rsidR="00000000" w:rsidRPr="00000000">
              <w:rPr>
                <w:rFonts w:ascii="Times New Roman" w:cs="Times New Roman" w:eastAsia="Times New Roman" w:hAnsi="Times New Roman"/>
                <w:sz w:val="16"/>
                <w:szCs w:val="16"/>
                <w:rtl w:val="0"/>
              </w:rPr>
              <w:t xml:space="preserve"> we are moderately confident in the effect estimate: the true effect is likely to be close to the estimate of the effect, but there is a possibility that it is substantially different.</w:t>
              <w:br w:type="textWrapping"/>
            </w:r>
            <w:r w:rsidDel="00000000" w:rsidR="00000000" w:rsidRPr="00000000">
              <w:rPr>
                <w:rFonts w:ascii="Times New Roman" w:cs="Times New Roman" w:eastAsia="Times New Roman" w:hAnsi="Times New Roman"/>
                <w:b w:val="1"/>
                <w:bCs w:val="1"/>
                <w:sz w:val="16"/>
                <w:szCs w:val="16"/>
                <w:rtl w:val="0"/>
              </w:rPr>
              <w:t xml:space="preserve">Low certainty:</w:t>
            </w:r>
            <w:r w:rsidDel="00000000" w:rsidR="00000000" w:rsidRPr="00000000">
              <w:rPr>
                <w:rFonts w:ascii="Times New Roman" w:cs="Times New Roman" w:eastAsia="Times New Roman" w:hAnsi="Times New Roman"/>
                <w:sz w:val="16"/>
                <w:szCs w:val="16"/>
                <w:rtl w:val="0"/>
              </w:rPr>
              <w:t xml:space="preserve"> our confidence in the effect estimate is limited: the true effect may be substantially different from the estimate of the effect.</w:t>
              <w:br w:type="textWrapping"/>
            </w:r>
            <w:r w:rsidDel="00000000" w:rsidR="00000000" w:rsidRPr="00000000">
              <w:rPr>
                <w:rFonts w:ascii="Times New Roman" w:cs="Times New Roman" w:eastAsia="Times New Roman" w:hAnsi="Times New Roman"/>
                <w:b w:val="1"/>
                <w:bCs w:val="1"/>
                <w:sz w:val="16"/>
                <w:szCs w:val="16"/>
                <w:rtl w:val="0"/>
              </w:rPr>
              <w:t xml:space="preserve">Very low certainty:</w:t>
            </w:r>
            <w:r w:rsidDel="00000000" w:rsidR="00000000" w:rsidRPr="00000000">
              <w:rPr>
                <w:rFonts w:ascii="Times New Roman" w:cs="Times New Roman" w:eastAsia="Times New Roman" w:hAnsi="Times New Roman"/>
                <w:sz w:val="16"/>
                <w:szCs w:val="16"/>
                <w:rtl w:val="0"/>
              </w:rPr>
              <w:t xml:space="preserve"> we have very little confidence in the effect estimate: the true effect is likely to be substantially different from the estimate of effect.</w:t>
            </w:r>
          </w:p>
        </w:tc>
      </w:tr>
    </w:tbl>
    <w:p w:rsidR="00000000" w:rsidDel="00000000" w:rsidP="00000000" w:rsidRDefault="00000000" w:rsidRPr="00000000" w14:paraId="000001AD">
      <w:pPr>
        <w:pStyle w:val="Heading4"/>
        <w:keepNext w:val="0"/>
        <w:keepLines w:val="0"/>
        <w:spacing w:after="160" w:before="0" w:line="240" w:lineRule="auto"/>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Explanations</w:t>
      </w:r>
    </w:p>
    <w:p w:rsidR="00000000" w:rsidDel="00000000" w:rsidP="00000000" w:rsidRDefault="00000000" w:rsidRPr="00000000" w14:paraId="000001AE">
      <w:pPr>
        <w:spacing w:after="160" w:line="259"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 Observational studies with residual confounding and limited comparability between CKD and non-CKD groups.</w:t>
      </w:r>
    </w:p>
    <w:p w:rsidR="00000000" w:rsidDel="00000000" w:rsidP="00000000" w:rsidRDefault="00000000" w:rsidRPr="00000000" w14:paraId="000001AF">
      <w:pPr>
        <w:spacing w:after="160" w:line="259"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 Moderate between-study heterogeneity was present (I² = 56%).</w:t>
      </w:r>
    </w:p>
    <w:p w:rsidR="00000000" w:rsidDel="00000000" w:rsidP="00000000" w:rsidRDefault="00000000" w:rsidRPr="00000000" w14:paraId="000001B0">
      <w:pPr>
        <w:spacing w:after="160" w:line="259"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 The pooled estimate was imprecise because the 95% CI was wide and compatible with both benefit and harm.</w:t>
      </w:r>
    </w:p>
    <w:p w:rsidR="00000000" w:rsidDel="00000000" w:rsidP="00000000" w:rsidRDefault="00000000" w:rsidRPr="00000000" w14:paraId="000001B1">
      <w:pPr>
        <w:spacing w:after="160" w:line="259"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 Observational retrospective studies with potential residual confounding and limited comparability between CKD and non-CKD groups.</w:t>
      </w:r>
    </w:p>
    <w:p w:rsidR="00000000" w:rsidDel="00000000" w:rsidP="00000000" w:rsidRDefault="00000000" w:rsidRPr="00000000" w14:paraId="000001B2">
      <w:pPr>
        <w:spacing w:after="160" w:line="259"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 The confidence interval was wide (HR 0.76 to 1.44) and crossed the line of no effect.</w:t>
      </w:r>
    </w:p>
    <w:p w:rsidR="00000000" w:rsidDel="00000000" w:rsidP="00000000" w:rsidRDefault="00000000" w:rsidRPr="00000000" w14:paraId="000001B3">
      <w:pPr>
        <w:spacing w:after="160" w:line="259"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 Evidence derived from retrospective observational studies with potential residual confounding.</w:t>
      </w:r>
    </w:p>
    <w:p w:rsidR="00000000" w:rsidDel="00000000" w:rsidP="00000000" w:rsidRDefault="00000000" w:rsidRPr="00000000" w14:paraId="000001B4">
      <w:pPr>
        <w:spacing w:after="160" w:line="259"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 Evidence derived from retrospective observational cohort studies with potential residual confounding.</w:t>
      </w:r>
    </w:p>
    <w:p w:rsidR="00000000" w:rsidDel="00000000" w:rsidP="00000000" w:rsidRDefault="00000000" w:rsidRPr="00000000" w14:paraId="000001B5">
      <w:pPr>
        <w:spacing w:after="160" w:line="259"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 Confidence interval crossed the line of no effect and included both potential harm and no effect.</w:t>
      </w:r>
    </w:p>
    <w:p w:rsidR="00000000" w:rsidDel="00000000" w:rsidP="00000000" w:rsidRDefault="00000000" w:rsidRPr="00000000" w14:paraId="000001B6">
      <w:pPr>
        <w:spacing w:after="160" w:line="259"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 Evidence derived from retrospective observational cohort studies with potential residual confounding.</w:t>
      </w:r>
    </w:p>
    <w:p w:rsidR="00000000" w:rsidDel="00000000" w:rsidP="00000000" w:rsidRDefault="00000000" w:rsidRPr="00000000" w14:paraId="000001B7">
      <w:pPr>
        <w:spacing w:after="160" w:line="259"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j. The confidence interval crossed the line of no effect and included both possible harm and no effect.</w:t>
      </w:r>
    </w:p>
    <w:p w:rsidR="00000000" w:rsidDel="00000000" w:rsidP="00000000" w:rsidRDefault="00000000" w:rsidRPr="00000000" w14:paraId="000001B8">
      <w:pPr>
        <w:spacing w:after="160" w:line="278.0000000000000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9">
      <w:pPr>
        <w:pStyle w:val="Heading2"/>
        <w:keepNext w:val="0"/>
        <w:keepLines w:val="0"/>
        <w:spacing w:after="80" w:line="278.00000000000006" w:lineRule="auto"/>
        <w:jc w:val="both"/>
        <w:rPr>
          <w:rFonts w:ascii="Times New Roman" w:cs="Times New Roman" w:eastAsia="Times New Roman" w:hAnsi="Times New Roman"/>
          <w:b w:val="1"/>
          <w:bCs w:val="1"/>
          <w:sz w:val="24"/>
          <w:szCs w:val="24"/>
        </w:rPr>
      </w:pPr>
      <w:bookmarkStart w:colFirst="0" w:colLast="0" w:name="_94u9cct2foxh" w:id="0"/>
      <w:bookmarkEnd w:id="0"/>
      <w:r w:rsidDel="00000000" w:rsidR="00000000" w:rsidRPr="00000000">
        <w:rPr>
          <w:rFonts w:ascii="Times New Roman" w:cs="Times New Roman" w:eastAsia="Times New Roman" w:hAnsi="Times New Roman"/>
          <w:b w:val="1"/>
          <w:bCs w:val="1"/>
          <w:sz w:val="24"/>
          <w:szCs w:val="24"/>
          <w:rtl w:val="0"/>
        </w:rPr>
        <w:t xml:space="preserve">Supplementary Figure 1. Leave-one-out analyses</w:t>
      </w:r>
    </w:p>
    <w:p w:rsidR="00000000" w:rsidDel="00000000" w:rsidP="00000000" w:rsidRDefault="00000000" w:rsidRPr="00000000" w14:paraId="000001BA">
      <w:pPr>
        <w:spacing w:after="240" w:before="240" w:lineRule="auto"/>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(A) Overall survival</w:t>
        <w:br w:type="textWrapping"/>
        <w:t xml:space="preserve"> (B) Progression-free survival</w:t>
        <w:br w:type="textWrapping"/>
        <w:t xml:space="preserve"> (C) Acute kidney injury incidence</w:t>
        <w:br w:type="textWrapping"/>
        <w:t xml:space="preserve"> (D) Grade ≥3 immune-related adverse events incidence</w:t>
        <w:br w:type="textWrapping"/>
        <w:t xml:space="preserve"> (E) Any-grade immune-related adverse events incidence</w:t>
      </w:r>
    </w:p>
    <w:p w:rsidR="00000000" w:rsidDel="00000000" w:rsidP="00000000" w:rsidRDefault="00000000" w:rsidRPr="00000000" w14:paraId="000001BB">
      <w:pPr>
        <w:spacing w:after="240" w:before="240" w:line="278.0000000000000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b w:val="1"/>
          <w:bCs w:val="1"/>
          <w:sz w:val="24"/>
          <w:szCs w:val="24"/>
          <w:rtl w:val="0"/>
        </w:rPr>
        <w:br w:type="textWrapping"/>
      </w:r>
    </w:p>
    <w:p w:rsidR="00000000" w:rsidDel="00000000" w:rsidP="00000000" w:rsidRDefault="00000000" w:rsidRPr="00000000" w14:paraId="000001BC">
      <w:pPr>
        <w:spacing w:after="160" w:line="27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731200" cy="24130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2413000"/>
                    </a:xfrm>
                    <a:prstGeom prst="rect"/>
                    <a:ln/>
                  </pic:spPr>
                </pic:pic>
              </a:graphicData>
            </a:graphic>
          </wp:inline>
        </w:drawing>
      </w:r>
      <w:r w:rsidDel="00000000" w:rsidR="00000000" w:rsidRPr="00000000">
        <w:rPr>
          <w:rFonts w:ascii="Times New Roman" w:cs="Times New Roman" w:eastAsia="Times New Roman" w:hAnsi="Times New Roman"/>
          <w:b w:val="1"/>
          <w:bCs w:val="1"/>
          <w:sz w:val="24"/>
          <w:szCs w:val="24"/>
          <w:rtl w:val="0"/>
        </w:rPr>
        <w:br w:type="textWrapping"/>
        <w:t xml:space="preserve">(</w:t>
      </w:r>
      <w:r w:rsidDel="00000000" w:rsidR="00000000" w:rsidRPr="00000000">
        <w:rPr>
          <w:rFonts w:ascii="Times New Roman" w:cs="Times New Roman" w:eastAsia="Times New Roman" w:hAnsi="Times New Roman"/>
          <w:sz w:val="24"/>
          <w:szCs w:val="24"/>
          <w:rtl w:val="0"/>
        </w:rPr>
        <w:t xml:space="preserve">B)</w:t>
      </w:r>
    </w:p>
    <w:p w:rsidR="00000000" w:rsidDel="00000000" w:rsidP="00000000" w:rsidRDefault="00000000" w:rsidRPr="00000000" w14:paraId="000001BD">
      <w:pPr>
        <w:spacing w:after="160" w:line="27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731200" cy="2603500"/>
            <wp:effectExtent b="0" l="0" r="0" t="0"/>
            <wp:docPr id="3"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spacing w:after="240" w:before="240" w:line="278.0000000000000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b w:val="1"/>
          <w:bCs w:val="1"/>
          <w:sz w:val="24"/>
          <w:szCs w:val="24"/>
          <w:rtl w:val="0"/>
        </w:rPr>
        <w:br w:type="textWrapping"/>
      </w:r>
    </w:p>
    <w:p w:rsidR="00000000" w:rsidDel="00000000" w:rsidP="00000000" w:rsidRDefault="00000000" w:rsidRPr="00000000" w14:paraId="000001BF">
      <w:pPr>
        <w:spacing w:after="160" w:line="27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731200" cy="2641600"/>
            <wp:effectExtent b="0" l="0" r="0" t="0"/>
            <wp:docPr id="2"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7312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spacing w:after="160" w:line="278.0000000000000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pacing w:after="240" w:before="240" w:line="278.0000000000000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b w:val="1"/>
          <w:bCs w:val="1"/>
          <w:sz w:val="24"/>
          <w:szCs w:val="24"/>
          <w:rtl w:val="0"/>
        </w:rPr>
        <w:br w:type="textWrapping"/>
      </w:r>
    </w:p>
    <w:p w:rsidR="00000000" w:rsidDel="00000000" w:rsidP="00000000" w:rsidRDefault="00000000" w:rsidRPr="00000000" w14:paraId="000001C2">
      <w:pPr>
        <w:spacing w:after="160" w:line="27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731200" cy="2298700"/>
            <wp:effectExtent b="0" l="0" r="0" t="0"/>
            <wp:docPr id="5"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7312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spacing w:after="240" w:before="240" w:line="27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w:t>
      </w:r>
    </w:p>
    <w:p w:rsidR="00000000" w:rsidDel="00000000" w:rsidP="00000000" w:rsidRDefault="00000000" w:rsidRPr="00000000" w14:paraId="000001C4">
      <w:pPr>
        <w:spacing w:after="160" w:line="278.0000000000000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731200" cy="2222500"/>
            <wp:effectExtent b="0" l="0" r="0" t="0"/>
            <wp:docPr id="4"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7312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spacing w:after="160" w:line="27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Abbreviations:</w:t>
      </w:r>
      <w:r w:rsidDel="00000000" w:rsidR="00000000" w:rsidRPr="00000000">
        <w:rPr>
          <w:rFonts w:ascii="Times New Roman" w:cs="Times New Roman" w:eastAsia="Times New Roman" w:hAnsi="Times New Roman"/>
          <w:sz w:val="24"/>
          <w:szCs w:val="24"/>
          <w:rtl w:val="0"/>
        </w:rPr>
        <w:t xml:space="preserve"> CI, confidence interval; CKD, chronic kidney disease; HR, hazard ratio; RR, risk ratio; ICI, immune checkpoint inhibitor; IV, inverse variance; RCC, renal cell carcinoma; TKI, tyrosine kinase inhibitor; UC, urothelial carcinoma.</w:t>
      </w:r>
    </w:p>
    <w:p w:rsidR="00000000" w:rsidDel="00000000" w:rsidP="00000000" w:rsidRDefault="00000000" w:rsidRPr="00000000" w14:paraId="000001C6">
      <w:pPr>
        <w:spacing w:after="160" w:line="278.0000000000000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pStyle w:val="Heading2"/>
        <w:keepNext w:val="0"/>
        <w:keepLines w:val="0"/>
        <w:spacing w:after="80" w:lineRule="auto"/>
        <w:rPr>
          <w:rFonts w:ascii="Times New Roman" w:cs="Times New Roman" w:eastAsia="Times New Roman" w:hAnsi="Times New Roman"/>
          <w:b w:val="1"/>
          <w:bCs w:val="1"/>
          <w:sz w:val="24"/>
          <w:szCs w:val="24"/>
        </w:rPr>
      </w:pPr>
      <w:bookmarkStart w:colFirst="0" w:colLast="0" w:name="_t0p2otk7jkf4" w:id="1"/>
      <w:bookmarkEnd w:id="1"/>
      <w:r w:rsidDel="00000000" w:rsidR="00000000" w:rsidRPr="00000000">
        <w:rPr>
          <w:rFonts w:ascii="Times New Roman" w:cs="Times New Roman" w:eastAsia="Times New Roman" w:hAnsi="Times New Roman"/>
          <w:b w:val="1"/>
          <w:bCs w:val="1"/>
          <w:sz w:val="24"/>
          <w:szCs w:val="24"/>
          <w:rtl w:val="0"/>
        </w:rPr>
        <w:t xml:space="preserve">Supplementary Figure 2. Moderate CKD subgroup analyses</w:t>
      </w:r>
    </w:p>
    <w:p w:rsidR="00000000" w:rsidDel="00000000" w:rsidP="00000000" w:rsidRDefault="00000000" w:rsidRPr="00000000" w14:paraId="000001C8">
      <w:pPr>
        <w:spacing w:after="240" w:before="240" w:lineRule="auto"/>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(A) Overall survival in patients with moderate CKD vs no CKD</w:t>
        <w:br w:type="textWrapping"/>
        <w:t xml:space="preserve"> (B) Grade ≥3 immune-related adverse events incidence in patients with moderate CKD vs no CKD</w:t>
        <w:br w:type="textWrapping"/>
        <w:t xml:space="preserve"> (C) Any-grade immune-related adverse events incidence in patients with moderate CKD vs no CKD</w:t>
      </w:r>
    </w:p>
    <w:p w:rsidR="00000000" w:rsidDel="00000000" w:rsidP="00000000" w:rsidRDefault="00000000" w:rsidRPr="00000000" w14:paraId="000001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p w:rsidR="00000000" w:rsidDel="00000000" w:rsidP="00000000" w:rsidRDefault="00000000" w:rsidRPr="00000000" w14:paraId="000001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1727200"/>
            <wp:effectExtent b="0" l="0" r="0" t="0"/>
            <wp:docPr id="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3120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r>
    </w:p>
    <w:p w:rsidR="00000000" w:rsidDel="00000000" w:rsidP="00000000" w:rsidRDefault="00000000" w:rsidRPr="00000000" w14:paraId="000001CF">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1854200"/>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312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p>
    <w:p w:rsidR="00000000" w:rsidDel="00000000" w:rsidP="00000000" w:rsidRDefault="00000000" w:rsidRPr="00000000" w14:paraId="000001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019300"/>
            <wp:effectExtent b="0" l="0" r="0" t="0"/>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7312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pacing w:after="160" w:line="278.0000000000000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D3">
      <w:pPr>
        <w:spacing w:after="160" w:line="27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CI: </w:t>
      </w:r>
      <w:r w:rsidDel="00000000" w:rsidR="00000000" w:rsidRPr="00000000">
        <w:rPr>
          <w:rFonts w:ascii="Times New Roman" w:cs="Times New Roman" w:eastAsia="Times New Roman" w:hAnsi="Times New Roman"/>
          <w:sz w:val="24"/>
          <w:szCs w:val="24"/>
          <w:rtl w:val="0"/>
        </w:rPr>
        <w:t xml:space="preserve">Confidence Interval; </w:t>
      </w:r>
      <w:r w:rsidDel="00000000" w:rsidR="00000000" w:rsidRPr="00000000">
        <w:rPr>
          <w:rFonts w:ascii="Times New Roman" w:cs="Times New Roman" w:eastAsia="Times New Roman" w:hAnsi="Times New Roman"/>
          <w:b w:val="1"/>
          <w:bCs w:val="1"/>
          <w:sz w:val="24"/>
          <w:szCs w:val="24"/>
          <w:rtl w:val="0"/>
        </w:rPr>
        <w:t xml:space="preserve">CKD: </w:t>
      </w:r>
      <w:r w:rsidDel="00000000" w:rsidR="00000000" w:rsidRPr="00000000">
        <w:rPr>
          <w:rFonts w:ascii="Times New Roman" w:cs="Times New Roman" w:eastAsia="Times New Roman" w:hAnsi="Times New Roman"/>
          <w:sz w:val="24"/>
          <w:szCs w:val="24"/>
          <w:rtl w:val="0"/>
        </w:rPr>
        <w:t xml:space="preserve">Chronic Kidney Disease; </w:t>
      </w:r>
      <w:r w:rsidDel="00000000" w:rsidR="00000000" w:rsidRPr="00000000">
        <w:rPr>
          <w:rFonts w:ascii="Times New Roman" w:cs="Times New Roman" w:eastAsia="Times New Roman" w:hAnsi="Times New Roman"/>
          <w:b w:val="1"/>
          <w:bCs w:val="1"/>
          <w:sz w:val="24"/>
          <w:szCs w:val="24"/>
          <w:rtl w:val="0"/>
        </w:rPr>
        <w:t xml:space="preserve">HR: </w:t>
      </w:r>
      <w:r w:rsidDel="00000000" w:rsidR="00000000" w:rsidRPr="00000000">
        <w:rPr>
          <w:rFonts w:ascii="Times New Roman" w:cs="Times New Roman" w:eastAsia="Times New Roman" w:hAnsi="Times New Roman"/>
          <w:sz w:val="24"/>
          <w:szCs w:val="24"/>
          <w:rtl w:val="0"/>
        </w:rPr>
        <w:t xml:space="preserve">Hazard Ratio; </w:t>
      </w:r>
      <w:r w:rsidDel="00000000" w:rsidR="00000000" w:rsidRPr="00000000">
        <w:rPr>
          <w:rFonts w:ascii="Times New Roman" w:cs="Times New Roman" w:eastAsia="Times New Roman" w:hAnsi="Times New Roman"/>
          <w:b w:val="1"/>
          <w:bCs w:val="1"/>
          <w:sz w:val="24"/>
          <w:szCs w:val="24"/>
          <w:rtl w:val="0"/>
        </w:rPr>
        <w:t xml:space="preserve">ICI: </w:t>
      </w:r>
      <w:r w:rsidDel="00000000" w:rsidR="00000000" w:rsidRPr="00000000">
        <w:rPr>
          <w:rFonts w:ascii="Times New Roman" w:cs="Times New Roman" w:eastAsia="Times New Roman" w:hAnsi="Times New Roman"/>
          <w:sz w:val="24"/>
          <w:szCs w:val="24"/>
          <w:rtl w:val="0"/>
        </w:rPr>
        <w:t xml:space="preserve">Immune-Checkpoint Inhibitors; </w:t>
      </w:r>
      <w:r w:rsidDel="00000000" w:rsidR="00000000" w:rsidRPr="00000000">
        <w:rPr>
          <w:rFonts w:ascii="Times New Roman" w:cs="Times New Roman" w:eastAsia="Times New Roman" w:hAnsi="Times New Roman"/>
          <w:b w:val="1"/>
          <w:bCs w:val="1"/>
          <w:sz w:val="24"/>
          <w:szCs w:val="24"/>
          <w:rtl w:val="0"/>
        </w:rPr>
        <w:t xml:space="preserve">IV: </w:t>
      </w:r>
      <w:r w:rsidDel="00000000" w:rsidR="00000000" w:rsidRPr="00000000">
        <w:rPr>
          <w:rFonts w:ascii="Times New Roman" w:cs="Times New Roman" w:eastAsia="Times New Roman" w:hAnsi="Times New Roman"/>
          <w:sz w:val="24"/>
          <w:szCs w:val="24"/>
          <w:rtl w:val="0"/>
        </w:rPr>
        <w:t xml:space="preserve">Inverse-Variance; </w:t>
      </w:r>
      <w:r w:rsidDel="00000000" w:rsidR="00000000" w:rsidRPr="00000000">
        <w:rPr>
          <w:rFonts w:ascii="Times New Roman" w:cs="Times New Roman" w:eastAsia="Times New Roman" w:hAnsi="Times New Roman"/>
          <w:b w:val="1"/>
          <w:bCs w:val="1"/>
          <w:sz w:val="24"/>
          <w:szCs w:val="24"/>
          <w:rtl w:val="0"/>
        </w:rPr>
        <w:t xml:space="preserve">RCC: </w:t>
      </w:r>
      <w:r w:rsidDel="00000000" w:rsidR="00000000" w:rsidRPr="00000000">
        <w:rPr>
          <w:rFonts w:ascii="Times New Roman" w:cs="Times New Roman" w:eastAsia="Times New Roman" w:hAnsi="Times New Roman"/>
          <w:sz w:val="24"/>
          <w:szCs w:val="24"/>
          <w:rtl w:val="0"/>
        </w:rPr>
        <w:t xml:space="preserve">Renal Cell Carcinoma; </w:t>
      </w:r>
      <w:r w:rsidDel="00000000" w:rsidR="00000000" w:rsidRPr="00000000">
        <w:rPr>
          <w:rFonts w:ascii="Times New Roman" w:cs="Times New Roman" w:eastAsia="Times New Roman" w:hAnsi="Times New Roman"/>
          <w:b w:val="1"/>
          <w:bCs w:val="1"/>
          <w:sz w:val="24"/>
          <w:szCs w:val="24"/>
          <w:rtl w:val="0"/>
        </w:rPr>
        <w:t xml:space="preserve">TKI: </w:t>
      </w:r>
      <w:r w:rsidDel="00000000" w:rsidR="00000000" w:rsidRPr="00000000">
        <w:rPr>
          <w:rFonts w:ascii="Times New Roman" w:cs="Times New Roman" w:eastAsia="Times New Roman" w:hAnsi="Times New Roman"/>
          <w:sz w:val="24"/>
          <w:szCs w:val="24"/>
          <w:rtl w:val="0"/>
        </w:rPr>
        <w:t xml:space="preserve">Tyrosine Kinase Inhibitor; </w:t>
      </w:r>
      <w:r w:rsidDel="00000000" w:rsidR="00000000" w:rsidRPr="00000000">
        <w:rPr>
          <w:rFonts w:ascii="Times New Roman" w:cs="Times New Roman" w:eastAsia="Times New Roman" w:hAnsi="Times New Roman"/>
          <w:b w:val="1"/>
          <w:bCs w:val="1"/>
          <w:sz w:val="24"/>
          <w:szCs w:val="24"/>
          <w:rtl w:val="0"/>
        </w:rPr>
        <w:t xml:space="preserve">UC: </w:t>
      </w:r>
      <w:r w:rsidDel="00000000" w:rsidR="00000000" w:rsidRPr="00000000">
        <w:rPr>
          <w:rFonts w:ascii="Times New Roman" w:cs="Times New Roman" w:eastAsia="Times New Roman" w:hAnsi="Times New Roman"/>
          <w:sz w:val="24"/>
          <w:szCs w:val="24"/>
          <w:rtl w:val="0"/>
        </w:rPr>
        <w:t xml:space="preserve">Urothelial Carcinoma.</w:t>
      </w:r>
    </w:p>
    <w:p w:rsidR="00000000" w:rsidDel="00000000" w:rsidP="00000000" w:rsidRDefault="00000000" w:rsidRPr="00000000" w14:paraId="000001D4">
      <w:pPr>
        <w:spacing w:after="160" w:line="278.0000000000000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5">
      <w:pPr>
        <w:pStyle w:val="Heading2"/>
        <w:keepNext w:val="0"/>
        <w:keepLines w:val="0"/>
        <w:spacing w:after="80" w:line="278.00000000000006" w:lineRule="auto"/>
        <w:jc w:val="both"/>
        <w:rPr>
          <w:rFonts w:ascii="Times New Roman" w:cs="Times New Roman" w:eastAsia="Times New Roman" w:hAnsi="Times New Roman"/>
          <w:b w:val="1"/>
          <w:bCs w:val="1"/>
          <w:sz w:val="24"/>
          <w:szCs w:val="24"/>
        </w:rPr>
      </w:pPr>
      <w:bookmarkStart w:colFirst="0" w:colLast="0" w:name="_paqdw11qufja" w:id="2"/>
      <w:bookmarkEnd w:id="2"/>
      <w:r w:rsidDel="00000000" w:rsidR="00000000" w:rsidRPr="00000000">
        <w:rPr>
          <w:rFonts w:ascii="Times New Roman" w:cs="Times New Roman" w:eastAsia="Times New Roman" w:hAnsi="Times New Roman"/>
          <w:b w:val="1"/>
          <w:bCs w:val="1"/>
          <w:sz w:val="24"/>
          <w:szCs w:val="24"/>
          <w:rtl w:val="0"/>
        </w:rPr>
        <w:t xml:space="preserve">Supplementary Figure 3. Advanced CKD subgroup analyses</w:t>
      </w:r>
    </w:p>
    <w:p w:rsidR="00000000" w:rsidDel="00000000" w:rsidP="00000000" w:rsidRDefault="00000000" w:rsidRPr="00000000" w14:paraId="000001D6">
      <w:pPr>
        <w:spacing w:after="240" w:before="240" w:line="27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Overall survival in patients with advanced CKD vs no CKD</w:t>
      </w:r>
      <w:r w:rsidDel="00000000" w:rsidR="00000000" w:rsidRPr="00000000">
        <w:rPr>
          <w:rFonts w:ascii="Times New Roman" w:cs="Times New Roman" w:eastAsia="Times New Roman" w:hAnsi="Times New Roman"/>
          <w:sz w:val="24"/>
          <w:szCs w:val="24"/>
          <w:rtl w:val="0"/>
        </w:rPr>
        <w:br w:type="textWrapping"/>
        <w:t xml:space="preserve"> (B) Any-grade immune-related adverse events </w:t>
      </w:r>
      <w:r w:rsidDel="00000000" w:rsidR="00000000" w:rsidRPr="00000000">
        <w:rPr>
          <w:rFonts w:ascii="Times New Roman" w:cs="Times New Roman" w:eastAsia="Times New Roman" w:hAnsi="Times New Roman"/>
          <w:sz w:val="24"/>
          <w:szCs w:val="24"/>
          <w:rtl w:val="0"/>
        </w:rPr>
        <w:t xml:space="preserve">incidence in patients with advanced CKD vs no CKD</w:t>
        <w:br w:type="textWrapping"/>
      </w:r>
      <w:r w:rsidDel="00000000" w:rsidR="00000000" w:rsidRPr="00000000">
        <w:rPr>
          <w:rFonts w:ascii="Times New Roman" w:cs="Times New Roman" w:eastAsia="Times New Roman" w:hAnsi="Times New Roman"/>
          <w:sz w:val="24"/>
          <w:szCs w:val="24"/>
          <w:rtl w:val="0"/>
        </w:rPr>
        <w:t xml:space="preserve">(C) Progression-free survival in patients with advanced CKD vs no CKD</w:t>
      </w:r>
      <w:r w:rsidDel="00000000" w:rsidR="00000000" w:rsidRPr="00000000">
        <w:rPr>
          <w:rFonts w:ascii="Gungsuh" w:cs="Gungsuh" w:eastAsia="Gungsuh" w:hAnsi="Gungsuh"/>
          <w:sz w:val="24"/>
          <w:szCs w:val="24"/>
          <w:rtl w:val="0"/>
        </w:rPr>
        <w:br w:type="textWrapping"/>
        <w:t xml:space="preserve"> (D) Grade ≥3 immune-related adverse events incidence in patients with advanced CKD vs no CKD</w:t>
        <w:br w:type="textWrapping"/>
        <w:t xml:space="preserve"> (E) Objective response rate in patients with advanced CKD vs no CKD</w:t>
        <w:br w:type="textWrapping"/>
        <w:t xml:space="preserve"> (F) Disease control rate in patients with advanced CKD vs no CKD</w:t>
      </w:r>
    </w:p>
    <w:p w:rsidR="00000000" w:rsidDel="00000000" w:rsidP="00000000" w:rsidRDefault="00000000" w:rsidRPr="00000000" w14:paraId="000001D7">
      <w:pPr>
        <w:spacing w:after="160" w:line="278.0000000000000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spacing w:after="160" w:line="27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p w:rsidR="00000000" w:rsidDel="00000000" w:rsidP="00000000" w:rsidRDefault="00000000" w:rsidRPr="00000000" w14:paraId="000001D9">
      <w:pPr>
        <w:spacing w:after="160" w:line="278.0000000000000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1689100"/>
            <wp:effectExtent b="0" l="0" r="0" t="0"/>
            <wp:docPr id="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731200" cy="168910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spacing w:after="160" w:line="27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r>
    </w:p>
    <w:p w:rsidR="00000000" w:rsidDel="00000000" w:rsidP="00000000" w:rsidRDefault="00000000" w:rsidRPr="00000000" w14:paraId="000001DB">
      <w:pPr>
        <w:spacing w:after="160" w:line="278.0000000000000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1841500"/>
            <wp:effectExtent b="0" l="0" r="0" t="0"/>
            <wp:docPr id="1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73120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spacing w:after="160" w:line="27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p>
    <w:p w:rsidR="00000000" w:rsidDel="00000000" w:rsidP="00000000" w:rsidRDefault="00000000" w:rsidRPr="00000000" w14:paraId="000001DD">
      <w:pPr>
        <w:spacing w:after="160" w:line="278.0000000000000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1587500"/>
            <wp:effectExtent b="0" l="0" r="0" t="0"/>
            <wp:docPr id="10"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73120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spacing w:after="160" w:line="27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w:t>
      </w:r>
      <w:r w:rsidDel="00000000" w:rsidR="00000000" w:rsidRPr="00000000">
        <w:rPr>
          <w:rFonts w:ascii="Times New Roman" w:cs="Times New Roman" w:eastAsia="Times New Roman" w:hAnsi="Times New Roman"/>
          <w:sz w:val="24"/>
          <w:szCs w:val="24"/>
        </w:rPr>
        <w:drawing>
          <wp:inline distB="114300" distT="114300" distL="114300" distR="114300">
            <wp:extent cx="5731200" cy="1638300"/>
            <wp:effectExtent b="0" l="0" r="0" t="0"/>
            <wp:docPr id="11"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7312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spacing w:after="160" w:line="27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w:t>
      </w:r>
    </w:p>
    <w:p w:rsidR="00000000" w:rsidDel="00000000" w:rsidP="00000000" w:rsidRDefault="00000000" w:rsidRPr="00000000" w14:paraId="000001E0">
      <w:pPr>
        <w:spacing w:after="160" w:line="278.0000000000000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1498600"/>
            <wp:effectExtent b="0" l="0" r="0" t="0"/>
            <wp:docPr id="1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7312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spacing w:after="160" w:line="27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w:t>
      </w:r>
    </w:p>
    <w:p w:rsidR="00000000" w:rsidDel="00000000" w:rsidP="00000000" w:rsidRDefault="00000000" w:rsidRPr="00000000" w14:paraId="000001E2">
      <w:pPr>
        <w:spacing w:after="160" w:line="278.0000000000000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1562100"/>
            <wp:effectExtent b="0" l="0" r="0" t="0"/>
            <wp:docPr id="14"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7312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spacing w:after="160" w:line="27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CI: </w:t>
      </w:r>
      <w:r w:rsidDel="00000000" w:rsidR="00000000" w:rsidRPr="00000000">
        <w:rPr>
          <w:rFonts w:ascii="Times New Roman" w:cs="Times New Roman" w:eastAsia="Times New Roman" w:hAnsi="Times New Roman"/>
          <w:sz w:val="24"/>
          <w:szCs w:val="24"/>
          <w:rtl w:val="0"/>
        </w:rPr>
        <w:t xml:space="preserve">Confidence Interval; </w:t>
      </w:r>
      <w:r w:rsidDel="00000000" w:rsidR="00000000" w:rsidRPr="00000000">
        <w:rPr>
          <w:rFonts w:ascii="Times New Roman" w:cs="Times New Roman" w:eastAsia="Times New Roman" w:hAnsi="Times New Roman"/>
          <w:b w:val="1"/>
          <w:bCs w:val="1"/>
          <w:sz w:val="24"/>
          <w:szCs w:val="24"/>
          <w:rtl w:val="0"/>
        </w:rPr>
        <w:t xml:space="preserve">CKD: </w:t>
      </w:r>
      <w:r w:rsidDel="00000000" w:rsidR="00000000" w:rsidRPr="00000000">
        <w:rPr>
          <w:rFonts w:ascii="Times New Roman" w:cs="Times New Roman" w:eastAsia="Times New Roman" w:hAnsi="Times New Roman"/>
          <w:sz w:val="24"/>
          <w:szCs w:val="24"/>
          <w:rtl w:val="0"/>
        </w:rPr>
        <w:t xml:space="preserve">Chronic Kidney Disease; </w:t>
      </w:r>
      <w:r w:rsidDel="00000000" w:rsidR="00000000" w:rsidRPr="00000000">
        <w:rPr>
          <w:rFonts w:ascii="Times New Roman" w:cs="Times New Roman" w:eastAsia="Times New Roman" w:hAnsi="Times New Roman"/>
          <w:b w:val="1"/>
          <w:bCs w:val="1"/>
          <w:sz w:val="24"/>
          <w:szCs w:val="24"/>
          <w:rtl w:val="0"/>
        </w:rPr>
        <w:t xml:space="preserve">ICI: </w:t>
      </w:r>
      <w:r w:rsidDel="00000000" w:rsidR="00000000" w:rsidRPr="00000000">
        <w:rPr>
          <w:rFonts w:ascii="Times New Roman" w:cs="Times New Roman" w:eastAsia="Times New Roman" w:hAnsi="Times New Roman"/>
          <w:sz w:val="24"/>
          <w:szCs w:val="24"/>
          <w:rtl w:val="0"/>
        </w:rPr>
        <w:t xml:space="preserve">Immune-Checkpoint Inhibitors; </w:t>
      </w:r>
      <w:r w:rsidDel="00000000" w:rsidR="00000000" w:rsidRPr="00000000">
        <w:rPr>
          <w:rFonts w:ascii="Times New Roman" w:cs="Times New Roman" w:eastAsia="Times New Roman" w:hAnsi="Times New Roman"/>
          <w:b w:val="1"/>
          <w:bCs w:val="1"/>
          <w:sz w:val="24"/>
          <w:szCs w:val="24"/>
          <w:rtl w:val="0"/>
        </w:rPr>
        <w:t xml:space="preserve">RR: </w:t>
      </w:r>
      <w:r w:rsidDel="00000000" w:rsidR="00000000" w:rsidRPr="00000000">
        <w:rPr>
          <w:rFonts w:ascii="Times New Roman" w:cs="Times New Roman" w:eastAsia="Times New Roman" w:hAnsi="Times New Roman"/>
          <w:sz w:val="24"/>
          <w:szCs w:val="24"/>
          <w:rtl w:val="0"/>
        </w:rPr>
        <w:t xml:space="preserve">Risk Ratio; </w:t>
      </w:r>
      <w:r w:rsidDel="00000000" w:rsidR="00000000" w:rsidRPr="00000000">
        <w:rPr>
          <w:rFonts w:ascii="Times New Roman" w:cs="Times New Roman" w:eastAsia="Times New Roman" w:hAnsi="Times New Roman"/>
          <w:b w:val="1"/>
          <w:bCs w:val="1"/>
          <w:sz w:val="24"/>
          <w:szCs w:val="24"/>
          <w:rtl w:val="0"/>
        </w:rPr>
        <w:t xml:space="preserve">TKI: </w:t>
      </w:r>
      <w:r w:rsidDel="00000000" w:rsidR="00000000" w:rsidRPr="00000000">
        <w:rPr>
          <w:rFonts w:ascii="Times New Roman" w:cs="Times New Roman" w:eastAsia="Times New Roman" w:hAnsi="Times New Roman"/>
          <w:sz w:val="24"/>
          <w:szCs w:val="24"/>
          <w:rtl w:val="0"/>
        </w:rPr>
        <w:t xml:space="preserve">Tyrosine Kinase Inhibitor.</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75.0" w:type="dxa"/>
        <w:left w:w="75.0" w:type="dxa"/>
        <w:bottom w:w="75.0" w:type="dxa"/>
        <w:right w:w="7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14.png"/><Relationship Id="rId13" Type="http://schemas.openxmlformats.org/officeDocument/2006/relationships/image" Target="media/image9.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4.png"/><Relationship Id="rId14" Type="http://schemas.openxmlformats.org/officeDocument/2006/relationships/image" Target="media/image7.png"/><Relationship Id="rId17" Type="http://schemas.openxmlformats.org/officeDocument/2006/relationships/image" Target="media/image5.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image" Target="media/image3.png"/><Relationship Id="rId18" Type="http://schemas.openxmlformats.org/officeDocument/2006/relationships/image" Target="media/image2.png"/><Relationship Id="rId7" Type="http://schemas.openxmlformats.org/officeDocument/2006/relationships/image" Target="media/image12.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