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2929C0B">
      <w:pPr>
        <w:spacing w:line="300" w:lineRule="exact"/>
        <w:jc w:val="center"/>
        <w:rPr>
          <w:rFonts w:hint="default" w:ascii="Times New Roman" w:hAnsi="Times New Roman" w:cs="Times New Roman"/>
          <w:b/>
          <w:bCs/>
          <w:color w:val="auto"/>
          <w:sz w:val="20"/>
          <w:szCs w:val="20"/>
        </w:rPr>
      </w:pPr>
      <w:r>
        <w:rPr>
          <w:rFonts w:hint="default" w:ascii="Times New Roman" w:hAnsi="Times New Roman" w:cs="Times New Roman"/>
          <w:b/>
          <w:bCs/>
          <w:color w:val="auto"/>
          <w:sz w:val="20"/>
          <w:szCs w:val="20"/>
        </w:rPr>
        <w:t xml:space="preserve">Supplementary file </w:t>
      </w:r>
      <w:r>
        <w:rPr>
          <w:rFonts w:hint="default" w:ascii="Times New Roman" w:hAnsi="Times New Roman" w:cs="Times New Roman"/>
          <w:b/>
          <w:bCs/>
          <w:color w:val="auto"/>
          <w:sz w:val="20"/>
          <w:szCs w:val="20"/>
          <w:lang w:val="en-US" w:eastAsia="zh-CN"/>
        </w:rPr>
        <w:t>2</w:t>
      </w:r>
      <w:r>
        <w:rPr>
          <w:rFonts w:hint="eastAsia" w:ascii="Times New Roman" w:hAnsi="Times New Roman" w:cs="Times New Roman"/>
          <w:b/>
          <w:bCs/>
          <w:color w:val="auto"/>
          <w:sz w:val="20"/>
          <w:szCs w:val="20"/>
          <w:lang w:val="en-US" w:eastAsia="zh-CN"/>
        </w:rPr>
        <w:t>.</w:t>
      </w:r>
      <w:bookmarkStart w:id="0" w:name="_GoBack"/>
      <w:bookmarkEnd w:id="0"/>
      <w:r>
        <w:rPr>
          <w:rFonts w:hint="default" w:ascii="Times New Roman" w:hAnsi="Times New Roman" w:cs="Times New Roman"/>
          <w:b/>
          <w:bCs/>
          <w:color w:val="auto"/>
          <w:sz w:val="20"/>
          <w:szCs w:val="20"/>
        </w:rPr>
        <w:t xml:space="preserve"> The PCAT-AS dimension scores were compared between patients in the specialized outpatient clinic group and those in the general outpatient clinic group.</w:t>
      </w:r>
    </w:p>
    <w:p w14:paraId="3D3D5E69">
      <w:pPr>
        <w:spacing w:line="300" w:lineRule="exact"/>
        <w:jc w:val="center"/>
        <w:rPr>
          <w:rFonts w:hint="default" w:ascii="Times New Roman" w:hAnsi="Times New Roman" w:cs="Times New Roman"/>
          <w:b/>
          <w:bCs/>
          <w:color w:val="auto"/>
          <w:sz w:val="20"/>
          <w:szCs w:val="20"/>
        </w:rPr>
      </w:pPr>
    </w:p>
    <w:p w14:paraId="5A5BA151">
      <w:pPr>
        <w:spacing w:line="300" w:lineRule="exact"/>
        <w:jc w:val="center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cs="Times New Roman"/>
          <w:b/>
          <w:bCs/>
          <w:color w:val="auto"/>
          <w:sz w:val="20"/>
          <w:szCs w:val="20"/>
        </w:rPr>
        <w:t xml:space="preserve">Appendix </w:t>
      </w:r>
      <w:r>
        <w:rPr>
          <w:rFonts w:hint="default" w:ascii="Times New Roman" w:hAnsi="Times New Roman" w:cs="Times New Roman"/>
          <w:b/>
          <w:bCs/>
          <w:color w:val="auto"/>
          <w:sz w:val="20"/>
          <w:szCs w:val="20"/>
          <w:lang w:val="en-US" w:eastAsia="zh-CN"/>
        </w:rPr>
        <w:t>t</w:t>
      </w:r>
      <w:r>
        <w:rPr>
          <w:rFonts w:hint="default" w:ascii="Times New Roman" w:hAnsi="Times New Roman" w:cs="Times New Roman"/>
          <w:b/>
          <w:bCs/>
          <w:color w:val="auto"/>
          <w:sz w:val="20"/>
          <w:szCs w:val="20"/>
        </w:rPr>
        <w:t xml:space="preserve">able 1 </w:t>
      </w:r>
      <w:r>
        <w:rPr>
          <w:rFonts w:hint="default" w:ascii="Times New Roman" w:hAnsi="Times New Roman" w:cs="Times New Roman"/>
          <w:color w:val="FF0000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Comparison of PCAT-AS scores in all dimensions and total scores between</w:t>
      </w:r>
      <w:r>
        <w:rPr>
          <w:rFonts w:hint="default" w:ascii="Times New Roman" w:hAnsi="Times New Roman" w:cs="Times New Roman"/>
          <w:sz w:val="20"/>
          <w:szCs w:val="20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patients in</w:t>
      </w:r>
      <w:r>
        <w:rPr>
          <w:rFonts w:hint="default" w:ascii="Times New Roman" w:hAnsi="Times New Roman" w:cs="Times New Roman"/>
          <w:sz w:val="20"/>
          <w:szCs w:val="20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the specialized clinic group</w:t>
      </w:r>
      <w:r>
        <w:rPr>
          <w:rFonts w:hint="default" w:ascii="Times New Roman" w:hAnsi="Times New Roman" w:cs="Times New Roman"/>
          <w:sz w:val="20"/>
          <w:szCs w:val="20"/>
          <w:lang w:val="en-US" w:eastAsia="zh-CN"/>
        </w:rPr>
        <w:t xml:space="preserve"> and </w:t>
      </w:r>
      <w:r>
        <w:rPr>
          <w:rFonts w:hint="default" w:ascii="Times New Roman" w:hAnsi="Times New Roman" w:cs="Times New Roman"/>
          <w:sz w:val="20"/>
          <w:szCs w:val="20"/>
        </w:rPr>
        <w:t>the general outpatient clinic group</w:t>
      </w:r>
    </w:p>
    <w:tbl>
      <w:tblPr>
        <w:tblStyle w:val="4"/>
        <w:tblW w:w="5000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86"/>
        <w:gridCol w:w="1451"/>
        <w:gridCol w:w="2172"/>
        <w:gridCol w:w="1887"/>
        <w:gridCol w:w="1026"/>
      </w:tblGrid>
      <w:tr w14:paraId="54DEA5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12" w:hRule="atLeast"/>
        </w:trPr>
        <w:tc>
          <w:tcPr>
            <w:tcW w:w="1165" w:type="pct"/>
            <w:vMerge w:val="restart"/>
            <w:tcBorders>
              <w:top w:val="single" w:color="000000" w:themeColor="dark1" w:sz="12" w:space="0"/>
              <w:left w:val="nil"/>
              <w:bottom w:val="single" w:color="000000" w:themeColor="dark1" w:sz="6" w:space="0"/>
              <w:right w:val="nil"/>
            </w:tcBorders>
            <w:shd w:val="clear" w:color="auto" w:fill="FFFFFF"/>
            <w:noWrap/>
            <w:vAlign w:val="center"/>
          </w:tcPr>
          <w:p w14:paraId="5DA47F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kern w:val="2"/>
                <w:sz w:val="20"/>
                <w:szCs w:val="20"/>
                <w:lang w:val="en-US" w:eastAsia="zh-CN" w:bidi="ar-SA"/>
              </w:rPr>
              <w:t>Domain</w:t>
            </w:r>
          </w:p>
        </w:tc>
        <w:tc>
          <w:tcPr>
            <w:tcW w:w="851" w:type="pct"/>
            <w:vMerge w:val="restart"/>
            <w:tcBorders>
              <w:top w:val="single" w:color="000000" w:themeColor="dark1" w:sz="12" w:space="0"/>
              <w:left w:val="nil"/>
              <w:bottom w:val="single" w:color="000000" w:themeColor="dark1" w:sz="6" w:space="0"/>
              <w:right w:val="nil"/>
            </w:tcBorders>
            <w:shd w:val="clear" w:color="auto" w:fill="FFFFFF"/>
            <w:noWrap/>
            <w:vAlign w:val="center"/>
          </w:tcPr>
          <w:p w14:paraId="059D8B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default" w:ascii="Times New Roman" w:hAnsi="Times New Roman" w:eastAsia="HelveticaNeueLTStd-Lt" w:cs="Times New Roman"/>
                <w:b/>
                <w:color w:val="231F20"/>
                <w:kern w:val="0"/>
                <w:sz w:val="20"/>
                <w:szCs w:val="20"/>
                <w:lang w:val="en-US" w:eastAsia="zh-CN" w:bidi="ar"/>
              </w:rPr>
              <w:t>Total</w:t>
            </w:r>
            <w:r>
              <w:rPr>
                <w:rFonts w:hint="default" w:ascii="Times New Roman" w:hAnsi="Times New Roman" w:eastAsia="宋体" w:cs="Times New Roman"/>
                <w:b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(n=581)</w:t>
            </w:r>
          </w:p>
        </w:tc>
        <w:tc>
          <w:tcPr>
            <w:tcW w:w="2381" w:type="pct"/>
            <w:gridSpan w:val="2"/>
            <w:tcBorders>
              <w:top w:val="single" w:color="000000" w:themeColor="dark1" w:sz="12" w:space="0"/>
              <w:left w:val="nil"/>
              <w:bottom w:val="single" w:color="000000" w:themeColor="dark1" w:sz="6" w:space="0"/>
              <w:right w:val="nil"/>
            </w:tcBorders>
            <w:shd w:val="clear" w:color="auto" w:fill="FFFFFF"/>
            <w:noWrap/>
            <w:vAlign w:val="center"/>
          </w:tcPr>
          <w:p w14:paraId="7EBB97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kern w:val="2"/>
                <w:sz w:val="20"/>
                <w:szCs w:val="20"/>
                <w:lang w:val="en-US" w:eastAsia="zh-CN" w:bidi="ar-SA"/>
              </w:rPr>
              <w:t>Outpatient category</w:t>
            </w:r>
          </w:p>
        </w:tc>
        <w:tc>
          <w:tcPr>
            <w:tcW w:w="601" w:type="pct"/>
            <w:vMerge w:val="restart"/>
            <w:tcBorders>
              <w:top w:val="single" w:color="000000" w:themeColor="dark1" w:sz="12" w:space="0"/>
              <w:left w:val="nil"/>
              <w:bottom w:val="single" w:color="000000" w:themeColor="dark1" w:sz="6" w:space="0"/>
              <w:right w:val="nil"/>
            </w:tcBorders>
            <w:shd w:val="clear" w:color="auto" w:fill="FFFFFF"/>
            <w:noWrap/>
            <w:vAlign w:val="center"/>
          </w:tcPr>
          <w:p w14:paraId="496C43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iCs w:val="0"/>
                <w:color w:val="000000" w:themeColor="dark1"/>
                <w:sz w:val="20"/>
                <w:szCs w:val="20"/>
                <w:u w:val="none"/>
                <w14:textFill>
                  <w14:solidFill>
                    <w14:schemeClr w14:val="dk1"/>
                  </w14:solidFill>
                </w14:textFill>
              </w:rPr>
            </w:pPr>
            <w:r>
              <w:rPr>
                <w:rFonts w:hint="default" w:ascii="Times New Roman Bold Italic" w:hAnsi="Times New Roman Bold Italic" w:eastAsia="宋体" w:cs="Times New Roman Bold Italic"/>
                <w:b/>
                <w:i/>
                <w:iCs w:val="0"/>
                <w:color w:val="000000" w:themeColor="dark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dk1"/>
                  </w14:solidFill>
                </w14:textFill>
              </w:rPr>
              <w:t xml:space="preserve">P </w:t>
            </w:r>
            <w:r>
              <w:rPr>
                <w:rFonts w:hint="default" w:ascii="Times New Roman" w:hAnsi="Times New Roman" w:eastAsia="宋体" w:cs="Times New Roman"/>
                <w:b/>
                <w:i w:val="0"/>
                <w:iCs w:val="0"/>
                <w:color w:val="000000" w:themeColor="dark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dk1"/>
                  </w14:solidFill>
                </w14:textFill>
              </w:rPr>
              <w:t>value</w:t>
            </w:r>
          </w:p>
        </w:tc>
      </w:tr>
      <w:tr w14:paraId="0A0CD5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12" w:hRule="atLeast"/>
        </w:trPr>
        <w:tc>
          <w:tcPr>
            <w:tcW w:w="1165" w:type="pct"/>
            <w:vMerge w:val="continue"/>
            <w:tcBorders>
              <w:top w:val="single" w:color="000000" w:themeColor="dark1" w:sz="6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13268DA"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8090C"/>
                <w:sz w:val="20"/>
                <w:szCs w:val="20"/>
                <w:u w:val="none"/>
              </w:rPr>
            </w:pPr>
          </w:p>
        </w:tc>
        <w:tc>
          <w:tcPr>
            <w:tcW w:w="851" w:type="pct"/>
            <w:vMerge w:val="continue"/>
            <w:tcBorders>
              <w:top w:val="single" w:color="000000" w:themeColor="dark1" w:sz="6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821EB62"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8090C"/>
                <w:sz w:val="20"/>
                <w:szCs w:val="20"/>
                <w:u w:val="none"/>
              </w:rPr>
            </w:pPr>
          </w:p>
        </w:tc>
        <w:tc>
          <w:tcPr>
            <w:tcW w:w="1274" w:type="pct"/>
            <w:tcBorders>
              <w:top w:val="single" w:color="000000" w:themeColor="dark1" w:sz="6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3DE69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i w:val="0"/>
                <w:strike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strike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The specialized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outpatient </w:t>
            </w:r>
            <w:r>
              <w:rPr>
                <w:rFonts w:hint="default" w:ascii="Times New Roman" w:hAnsi="Times New Roman" w:cs="Times New Roman"/>
                <w:b w:val="0"/>
                <w:i w:val="0"/>
                <w:strike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clinic group</w:t>
            </w:r>
          </w:p>
          <w:p w14:paraId="6EC699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(n=289)</w:t>
            </w:r>
          </w:p>
        </w:tc>
        <w:tc>
          <w:tcPr>
            <w:tcW w:w="1107" w:type="pct"/>
            <w:tcBorders>
              <w:top w:val="single" w:color="000000" w:themeColor="dark1" w:sz="6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0A609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strike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The general outpatient clinic group</w:t>
            </w:r>
          </w:p>
          <w:p w14:paraId="1EA79A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(n=292)</w:t>
            </w:r>
          </w:p>
        </w:tc>
        <w:tc>
          <w:tcPr>
            <w:tcW w:w="601" w:type="pct"/>
            <w:vMerge w:val="continue"/>
            <w:tcBorders>
              <w:top w:val="single" w:color="000000" w:themeColor="dark1" w:sz="6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6DF1539"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8090C"/>
                <w:sz w:val="20"/>
                <w:szCs w:val="20"/>
                <w:u w:val="none"/>
              </w:rPr>
            </w:pPr>
          </w:p>
        </w:tc>
      </w:tr>
      <w:tr w14:paraId="432F5B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12" w:hRule="atLeast"/>
        </w:trPr>
        <w:tc>
          <w:tcPr>
            <w:tcW w:w="1165" w:type="pct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01AB2ED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  <w:u w:val="none"/>
                <w:lang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  <w:u w:val="none"/>
                <w:lang w:bidi="ar"/>
              </w:rPr>
              <w:t>First-contact Utilization</w:t>
            </w:r>
          </w:p>
          <w:p w14:paraId="63A4EBC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  <w:u w:val="none"/>
                <w:lang w:bidi="ar"/>
              </w:rPr>
            </w:pPr>
            <w:r>
              <w:rPr>
                <w:rFonts w:hint="default" w:ascii="Times New Roman" w:hAnsi="Times New Roman" w:eastAsia="HelveticaNeueLTStd-Lt" w:cs="Times New Roman"/>
                <w:color w:val="231F20"/>
                <w:kern w:val="0"/>
                <w:sz w:val="20"/>
                <w:szCs w:val="20"/>
                <w:lang w:val="en-US" w:eastAsia="zh-CN" w:bidi="ar"/>
              </w:rPr>
              <w:t>Mean (SE)</w:t>
            </w:r>
          </w:p>
        </w:tc>
        <w:tc>
          <w:tcPr>
            <w:tcW w:w="851" w:type="pct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752C281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8090C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8090C"/>
                <w:kern w:val="0"/>
                <w:sz w:val="20"/>
                <w:szCs w:val="20"/>
                <w:u w:val="none"/>
                <w:lang w:val="en-US" w:eastAsia="zh-CN" w:bidi="ar"/>
              </w:rPr>
              <w:t>3.44±0.58</w:t>
            </w:r>
          </w:p>
        </w:tc>
        <w:tc>
          <w:tcPr>
            <w:tcW w:w="1274" w:type="pct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5C843AE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8090C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8090C"/>
                <w:kern w:val="0"/>
                <w:sz w:val="20"/>
                <w:szCs w:val="20"/>
                <w:u w:val="none"/>
                <w:lang w:val="en-US" w:eastAsia="zh-CN" w:bidi="ar"/>
              </w:rPr>
              <w:t>3.56±0.49</w:t>
            </w: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98E48C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8090C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8090C"/>
                <w:kern w:val="0"/>
                <w:sz w:val="20"/>
                <w:szCs w:val="20"/>
                <w:u w:val="none"/>
                <w:lang w:val="en-US" w:eastAsia="zh-CN" w:bidi="ar"/>
              </w:rPr>
              <w:t>3.31±0.63</w:t>
            </w:r>
          </w:p>
        </w:tc>
        <w:tc>
          <w:tcPr>
            <w:tcW w:w="601" w:type="pct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5BAFA9C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8090C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8090C"/>
                <w:kern w:val="0"/>
                <w:sz w:val="20"/>
                <w:szCs w:val="20"/>
                <w:u w:val="none"/>
                <w:lang w:val="en-US" w:eastAsia="zh-CN" w:bidi="ar"/>
              </w:rPr>
              <w:t>＜0.001</w:t>
            </w:r>
          </w:p>
        </w:tc>
      </w:tr>
      <w:tr w14:paraId="0826D2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12" w:hRule="atLeast"/>
        </w:trPr>
        <w:tc>
          <w:tcPr>
            <w:tcW w:w="116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6C2931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First-contact Accessibility</w:t>
            </w:r>
          </w:p>
          <w:p w14:paraId="2BDEEEF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HelveticaNeueLTStd-Lt" w:cs="Times New Roman"/>
                <w:color w:val="231F20"/>
                <w:kern w:val="0"/>
                <w:sz w:val="20"/>
                <w:szCs w:val="20"/>
                <w:lang w:val="en-US" w:eastAsia="zh-CN" w:bidi="ar"/>
              </w:rPr>
              <w:t>Mean (SE)</w:t>
            </w:r>
          </w:p>
        </w:tc>
        <w:tc>
          <w:tcPr>
            <w:tcW w:w="8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146DBD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8090C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8090C"/>
                <w:kern w:val="0"/>
                <w:sz w:val="20"/>
                <w:szCs w:val="20"/>
                <w:u w:val="none"/>
                <w:lang w:val="en-US" w:eastAsia="zh-CN" w:bidi="ar"/>
              </w:rPr>
              <w:t>3.21±0.53</w:t>
            </w:r>
          </w:p>
        </w:tc>
        <w:tc>
          <w:tcPr>
            <w:tcW w:w="127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C5152C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8090C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8090C"/>
                <w:kern w:val="0"/>
                <w:sz w:val="20"/>
                <w:szCs w:val="20"/>
                <w:u w:val="none"/>
                <w:lang w:val="en-US" w:eastAsia="zh-CN" w:bidi="ar"/>
              </w:rPr>
              <w:t>3.31±0.46</w:t>
            </w: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B5600A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8090C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8090C"/>
                <w:kern w:val="0"/>
                <w:sz w:val="20"/>
                <w:szCs w:val="20"/>
                <w:u w:val="none"/>
                <w:lang w:val="en-US" w:eastAsia="zh-CN" w:bidi="ar"/>
              </w:rPr>
              <w:t>3.11±0.59</w:t>
            </w:r>
          </w:p>
        </w:tc>
        <w:tc>
          <w:tcPr>
            <w:tcW w:w="60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B2375B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8090C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8090C"/>
                <w:kern w:val="0"/>
                <w:sz w:val="20"/>
                <w:szCs w:val="20"/>
                <w:u w:val="none"/>
                <w:lang w:val="en-US" w:eastAsia="zh-CN" w:bidi="ar"/>
              </w:rPr>
              <w:t>＜0.001</w:t>
            </w:r>
          </w:p>
        </w:tc>
      </w:tr>
      <w:tr w14:paraId="287CCD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12" w:hRule="atLeast"/>
        </w:trPr>
        <w:tc>
          <w:tcPr>
            <w:tcW w:w="1165" w:type="pct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4C38DB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Continuity of Care</w:t>
            </w:r>
          </w:p>
          <w:p w14:paraId="7CD5015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HelveticaNeueLTStd-Lt" w:cs="Times New Roman"/>
                <w:color w:val="231F20"/>
                <w:kern w:val="0"/>
                <w:sz w:val="20"/>
                <w:szCs w:val="20"/>
                <w:lang w:val="en-US" w:eastAsia="zh-CN" w:bidi="ar"/>
              </w:rPr>
              <w:t>Mean (SE)</w:t>
            </w:r>
          </w:p>
        </w:tc>
        <w:tc>
          <w:tcPr>
            <w:tcW w:w="851" w:type="pct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7C5F799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8090C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8090C"/>
                <w:kern w:val="0"/>
                <w:sz w:val="20"/>
                <w:szCs w:val="20"/>
                <w:u w:val="none"/>
                <w:lang w:val="en-US" w:eastAsia="zh-CN" w:bidi="ar"/>
              </w:rPr>
              <w:t>3.21±0.56</w:t>
            </w:r>
          </w:p>
        </w:tc>
        <w:tc>
          <w:tcPr>
            <w:tcW w:w="1274" w:type="pct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C51FD1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8090C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8090C"/>
                <w:kern w:val="0"/>
                <w:sz w:val="20"/>
                <w:szCs w:val="20"/>
                <w:u w:val="none"/>
                <w:lang w:val="en-US" w:eastAsia="zh-CN" w:bidi="ar"/>
              </w:rPr>
              <w:t>3.33±0.49</w:t>
            </w: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72141C6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8090C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8090C"/>
                <w:kern w:val="0"/>
                <w:sz w:val="20"/>
                <w:szCs w:val="20"/>
                <w:u w:val="none"/>
                <w:lang w:val="en-US" w:eastAsia="zh-CN" w:bidi="ar"/>
              </w:rPr>
              <w:t>3.09±0.59</w:t>
            </w:r>
          </w:p>
        </w:tc>
        <w:tc>
          <w:tcPr>
            <w:tcW w:w="601" w:type="pct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375F673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8090C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8090C"/>
                <w:kern w:val="0"/>
                <w:sz w:val="20"/>
                <w:szCs w:val="20"/>
                <w:u w:val="none"/>
                <w:lang w:val="en-US" w:eastAsia="zh-CN" w:bidi="ar"/>
              </w:rPr>
              <w:t>＜0.001</w:t>
            </w:r>
          </w:p>
        </w:tc>
      </w:tr>
      <w:tr w14:paraId="323A04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12" w:hRule="atLeast"/>
        </w:trPr>
        <w:tc>
          <w:tcPr>
            <w:tcW w:w="116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348548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Coordination (Referrals)</w:t>
            </w:r>
          </w:p>
          <w:p w14:paraId="11671C7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HelveticaNeueLTStd-Lt" w:cs="Times New Roman"/>
                <w:color w:val="231F20"/>
                <w:kern w:val="0"/>
                <w:sz w:val="20"/>
                <w:szCs w:val="20"/>
                <w:lang w:val="en-US" w:eastAsia="zh-CN" w:bidi="ar"/>
              </w:rPr>
              <w:t>Mean (SE)</w:t>
            </w:r>
          </w:p>
        </w:tc>
        <w:tc>
          <w:tcPr>
            <w:tcW w:w="8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6B57C9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8090C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8090C"/>
                <w:kern w:val="0"/>
                <w:sz w:val="20"/>
                <w:szCs w:val="20"/>
                <w:u w:val="none"/>
                <w:lang w:val="en-US" w:eastAsia="zh-CN" w:bidi="ar"/>
              </w:rPr>
              <w:t>2.46±1.57</w:t>
            </w:r>
          </w:p>
        </w:tc>
        <w:tc>
          <w:tcPr>
            <w:tcW w:w="127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6A65B7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8090C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8090C"/>
                <w:kern w:val="0"/>
                <w:sz w:val="20"/>
                <w:szCs w:val="20"/>
                <w:u w:val="none"/>
                <w:lang w:val="en-US" w:eastAsia="zh-CN" w:bidi="ar"/>
              </w:rPr>
              <w:t>2.83±1.49</w:t>
            </w: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724172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8090C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8090C"/>
                <w:kern w:val="0"/>
                <w:sz w:val="20"/>
                <w:szCs w:val="20"/>
                <w:u w:val="none"/>
                <w:lang w:val="en-US" w:eastAsia="zh-CN" w:bidi="ar"/>
              </w:rPr>
              <w:t>2.10±1.57</w:t>
            </w:r>
          </w:p>
        </w:tc>
        <w:tc>
          <w:tcPr>
            <w:tcW w:w="60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065E81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8090C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8090C"/>
                <w:kern w:val="0"/>
                <w:sz w:val="20"/>
                <w:szCs w:val="20"/>
                <w:u w:val="none"/>
                <w:lang w:val="en-US" w:eastAsia="zh-CN" w:bidi="ar"/>
              </w:rPr>
              <w:t>＜0.001</w:t>
            </w:r>
          </w:p>
        </w:tc>
      </w:tr>
      <w:tr w14:paraId="56AE42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12" w:hRule="atLeast"/>
        </w:trPr>
        <w:tc>
          <w:tcPr>
            <w:tcW w:w="1165" w:type="pct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BF5618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Coordination (Information Systems)</w:t>
            </w:r>
          </w:p>
          <w:p w14:paraId="004CDE1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HelveticaNeueLTStd-Lt" w:cs="Times New Roman"/>
                <w:color w:val="231F20"/>
                <w:kern w:val="0"/>
                <w:sz w:val="20"/>
                <w:szCs w:val="20"/>
                <w:lang w:val="en-US" w:eastAsia="zh-CN" w:bidi="ar"/>
              </w:rPr>
              <w:t>Mean (SE)</w:t>
            </w:r>
          </w:p>
        </w:tc>
        <w:tc>
          <w:tcPr>
            <w:tcW w:w="851" w:type="pct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74F453E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8090C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8090C"/>
                <w:kern w:val="0"/>
                <w:sz w:val="20"/>
                <w:szCs w:val="20"/>
                <w:u w:val="none"/>
                <w:lang w:val="en-US" w:eastAsia="zh-CN" w:bidi="ar"/>
              </w:rPr>
              <w:t>3.27±0.53</w:t>
            </w:r>
          </w:p>
        </w:tc>
        <w:tc>
          <w:tcPr>
            <w:tcW w:w="1274" w:type="pct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1D12C9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8090C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8090C"/>
                <w:kern w:val="0"/>
                <w:sz w:val="20"/>
                <w:szCs w:val="20"/>
                <w:u w:val="none"/>
                <w:lang w:val="en-US" w:eastAsia="zh-CN" w:bidi="ar"/>
              </w:rPr>
              <w:t>3.38±0.47</w:t>
            </w: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720ADC5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8090C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8090C"/>
                <w:kern w:val="0"/>
                <w:sz w:val="20"/>
                <w:szCs w:val="20"/>
                <w:u w:val="none"/>
                <w:lang w:val="en-US" w:eastAsia="zh-CN" w:bidi="ar"/>
              </w:rPr>
              <w:t>3.17±0.57</w:t>
            </w:r>
          </w:p>
        </w:tc>
        <w:tc>
          <w:tcPr>
            <w:tcW w:w="601" w:type="pct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3D7B113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8090C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8090C"/>
                <w:kern w:val="0"/>
                <w:sz w:val="20"/>
                <w:szCs w:val="20"/>
                <w:u w:val="none"/>
                <w:lang w:val="en-US" w:eastAsia="zh-CN" w:bidi="ar"/>
              </w:rPr>
              <w:t>＜0.001</w:t>
            </w:r>
          </w:p>
        </w:tc>
      </w:tr>
      <w:tr w14:paraId="395348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12" w:hRule="atLeast"/>
        </w:trPr>
        <w:tc>
          <w:tcPr>
            <w:tcW w:w="116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A0737C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Comprehensiveness (Available Services)</w:t>
            </w:r>
          </w:p>
          <w:p w14:paraId="441EFB8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HelveticaNeueLTStd-Lt" w:cs="Times New Roman"/>
                <w:color w:val="231F20"/>
                <w:kern w:val="0"/>
                <w:sz w:val="20"/>
                <w:szCs w:val="20"/>
                <w:lang w:val="en-US" w:eastAsia="zh-CN" w:bidi="ar"/>
              </w:rPr>
              <w:t>Mean (SE)</w:t>
            </w:r>
          </w:p>
        </w:tc>
        <w:tc>
          <w:tcPr>
            <w:tcW w:w="8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C1F369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8090C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8090C"/>
                <w:kern w:val="0"/>
                <w:sz w:val="20"/>
                <w:szCs w:val="20"/>
                <w:u w:val="none"/>
                <w:lang w:val="en-US" w:eastAsia="zh-CN" w:bidi="ar"/>
              </w:rPr>
              <w:t>3.28±0.56</w:t>
            </w:r>
          </w:p>
        </w:tc>
        <w:tc>
          <w:tcPr>
            <w:tcW w:w="127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B91C8B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8090C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8090C"/>
                <w:kern w:val="0"/>
                <w:sz w:val="20"/>
                <w:szCs w:val="20"/>
                <w:u w:val="none"/>
                <w:lang w:val="en-US" w:eastAsia="zh-CN" w:bidi="ar"/>
              </w:rPr>
              <w:t>3.41±0.51</w:t>
            </w: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7B3B94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8090C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8090C"/>
                <w:kern w:val="0"/>
                <w:sz w:val="20"/>
                <w:szCs w:val="20"/>
                <w:u w:val="none"/>
                <w:lang w:val="en-US" w:eastAsia="zh-CN" w:bidi="ar"/>
              </w:rPr>
              <w:t>3.16±0.57</w:t>
            </w:r>
          </w:p>
        </w:tc>
        <w:tc>
          <w:tcPr>
            <w:tcW w:w="60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B9258D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8090C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8090C"/>
                <w:kern w:val="0"/>
                <w:sz w:val="20"/>
                <w:szCs w:val="20"/>
                <w:u w:val="none"/>
                <w:lang w:val="en-US" w:eastAsia="zh-CN" w:bidi="ar"/>
              </w:rPr>
              <w:t>＜0.001</w:t>
            </w:r>
          </w:p>
        </w:tc>
      </w:tr>
      <w:tr w14:paraId="6827CF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12" w:hRule="atLeast"/>
        </w:trPr>
        <w:tc>
          <w:tcPr>
            <w:tcW w:w="1165" w:type="pct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1FBD61C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  <w:u w:val="none"/>
                <w:lang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  <w:u w:val="none"/>
                <w:lang w:bidi="ar"/>
              </w:rPr>
              <w:t>Comprehensiveness (Service Delivery)</w:t>
            </w:r>
          </w:p>
          <w:p w14:paraId="12057DC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  <w:u w:val="none"/>
                <w:lang w:bidi="ar"/>
              </w:rPr>
            </w:pPr>
            <w:r>
              <w:rPr>
                <w:rFonts w:hint="default" w:ascii="Times New Roman" w:hAnsi="Times New Roman" w:eastAsia="HelveticaNeueLTStd-Lt" w:cs="Times New Roman"/>
                <w:color w:val="231F20"/>
                <w:kern w:val="0"/>
                <w:sz w:val="20"/>
                <w:szCs w:val="20"/>
                <w:lang w:val="en-US" w:eastAsia="zh-CN" w:bidi="ar"/>
              </w:rPr>
              <w:t>Mean (SE)</w:t>
            </w:r>
          </w:p>
        </w:tc>
        <w:tc>
          <w:tcPr>
            <w:tcW w:w="851" w:type="pct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31A9245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8090C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8090C"/>
                <w:kern w:val="0"/>
                <w:sz w:val="20"/>
                <w:szCs w:val="20"/>
                <w:u w:val="none"/>
                <w:lang w:val="en-US" w:eastAsia="zh-CN" w:bidi="ar"/>
              </w:rPr>
              <w:t>3.45±0.53</w:t>
            </w:r>
          </w:p>
        </w:tc>
        <w:tc>
          <w:tcPr>
            <w:tcW w:w="1274" w:type="pct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88FE2A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8090C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8090C"/>
                <w:kern w:val="0"/>
                <w:sz w:val="20"/>
                <w:szCs w:val="20"/>
                <w:u w:val="none"/>
                <w:lang w:val="en-US" w:eastAsia="zh-CN" w:bidi="ar"/>
              </w:rPr>
              <w:t>3.59±0.42</w:t>
            </w: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0C38FAA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8090C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8090C"/>
                <w:kern w:val="0"/>
                <w:sz w:val="20"/>
                <w:szCs w:val="20"/>
                <w:u w:val="none"/>
                <w:lang w:val="en-US" w:eastAsia="zh-CN" w:bidi="ar"/>
              </w:rPr>
              <w:t>3.31±0.59</w:t>
            </w:r>
          </w:p>
        </w:tc>
        <w:tc>
          <w:tcPr>
            <w:tcW w:w="601" w:type="pct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0F10114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8090C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8090C"/>
                <w:kern w:val="0"/>
                <w:sz w:val="20"/>
                <w:szCs w:val="20"/>
                <w:u w:val="none"/>
                <w:lang w:val="en-US" w:eastAsia="zh-CN" w:bidi="ar"/>
              </w:rPr>
              <w:t>＜0.001</w:t>
            </w:r>
          </w:p>
        </w:tc>
      </w:tr>
      <w:tr w14:paraId="112E92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12" w:hRule="atLeast"/>
        </w:trPr>
        <w:tc>
          <w:tcPr>
            <w:tcW w:w="116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61401D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Family-centredness</w:t>
            </w:r>
          </w:p>
          <w:p w14:paraId="6649792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HelveticaNeueLTStd-Lt" w:cs="Times New Roman"/>
                <w:color w:val="231F20"/>
                <w:kern w:val="0"/>
                <w:sz w:val="20"/>
                <w:szCs w:val="20"/>
                <w:lang w:val="en-US" w:eastAsia="zh-CN" w:bidi="ar"/>
              </w:rPr>
              <w:t>Mean (SE)</w:t>
            </w:r>
          </w:p>
        </w:tc>
        <w:tc>
          <w:tcPr>
            <w:tcW w:w="8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153CD2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8090C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8090C"/>
                <w:kern w:val="0"/>
                <w:sz w:val="20"/>
                <w:szCs w:val="20"/>
                <w:u w:val="none"/>
                <w:lang w:val="en-US" w:eastAsia="zh-CN" w:bidi="ar"/>
              </w:rPr>
              <w:t>3.30±0.57</w:t>
            </w:r>
          </w:p>
        </w:tc>
        <w:tc>
          <w:tcPr>
            <w:tcW w:w="127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DC85E7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8090C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8090C"/>
                <w:kern w:val="0"/>
                <w:sz w:val="20"/>
                <w:szCs w:val="20"/>
                <w:u w:val="none"/>
                <w:lang w:val="en-US" w:eastAsia="zh-CN" w:bidi="ar"/>
              </w:rPr>
              <w:t>3.37±0.49</w:t>
            </w: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7C10E2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8090C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8090C"/>
                <w:kern w:val="0"/>
                <w:sz w:val="20"/>
                <w:szCs w:val="20"/>
                <w:u w:val="none"/>
                <w:lang w:val="en-US" w:eastAsia="zh-CN" w:bidi="ar"/>
              </w:rPr>
              <w:t>3.23±0.62</w:t>
            </w:r>
          </w:p>
        </w:tc>
        <w:tc>
          <w:tcPr>
            <w:tcW w:w="60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005882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8090C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8090C"/>
                <w:kern w:val="0"/>
                <w:sz w:val="20"/>
                <w:szCs w:val="20"/>
                <w:u w:val="none"/>
                <w:lang w:val="en-US" w:eastAsia="zh-CN" w:bidi="ar"/>
              </w:rPr>
              <w:t>0.002</w:t>
            </w:r>
          </w:p>
        </w:tc>
      </w:tr>
      <w:tr w14:paraId="337189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12" w:hRule="atLeast"/>
        </w:trPr>
        <w:tc>
          <w:tcPr>
            <w:tcW w:w="1165" w:type="pct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51368CC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Community Orientation</w:t>
            </w:r>
          </w:p>
          <w:p w14:paraId="76D40AE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HelveticaNeueLTStd-Lt" w:cs="Times New Roman"/>
                <w:color w:val="231F20"/>
                <w:kern w:val="0"/>
                <w:sz w:val="20"/>
                <w:szCs w:val="20"/>
                <w:lang w:val="en-US" w:eastAsia="zh-CN" w:bidi="ar"/>
              </w:rPr>
              <w:t>Mean (SE)</w:t>
            </w:r>
          </w:p>
        </w:tc>
        <w:tc>
          <w:tcPr>
            <w:tcW w:w="851" w:type="pct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3E78C4F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8090C"/>
                <w:sz w:val="20"/>
                <w:szCs w:val="20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8090C"/>
                <w:kern w:val="0"/>
                <w:sz w:val="20"/>
                <w:szCs w:val="20"/>
                <w:u w:val="none"/>
                <w:lang w:val="en-US" w:eastAsia="zh-CN" w:bidi="ar"/>
              </w:rPr>
              <w:t>3.15±0.60</w:t>
            </w:r>
          </w:p>
        </w:tc>
        <w:tc>
          <w:tcPr>
            <w:tcW w:w="1274" w:type="pct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72FF543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8090C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8090C"/>
                <w:kern w:val="0"/>
                <w:sz w:val="20"/>
                <w:szCs w:val="20"/>
                <w:u w:val="none"/>
                <w:lang w:val="en-US" w:eastAsia="zh-CN" w:bidi="ar"/>
              </w:rPr>
              <w:t>3.23±0.55</w:t>
            </w: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7A01AF3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8090C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8090C"/>
                <w:kern w:val="0"/>
                <w:sz w:val="20"/>
                <w:szCs w:val="20"/>
                <w:u w:val="none"/>
                <w:lang w:val="en-US" w:eastAsia="zh-CN" w:bidi="ar"/>
              </w:rPr>
              <w:t>3.07±0.64</w:t>
            </w:r>
          </w:p>
        </w:tc>
        <w:tc>
          <w:tcPr>
            <w:tcW w:w="601" w:type="pct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6D39783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8090C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8090C"/>
                <w:kern w:val="0"/>
                <w:sz w:val="20"/>
                <w:szCs w:val="20"/>
                <w:u w:val="none"/>
                <w:lang w:val="en-US" w:eastAsia="zh-CN" w:bidi="ar"/>
              </w:rPr>
              <w:t>0.002</w:t>
            </w:r>
          </w:p>
        </w:tc>
      </w:tr>
      <w:tr w14:paraId="21F5C7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12" w:hRule="atLeast"/>
        </w:trPr>
        <w:tc>
          <w:tcPr>
            <w:tcW w:w="116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7A72EB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Cultural competence</w:t>
            </w:r>
          </w:p>
          <w:p w14:paraId="16015D4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HelveticaNeueLTStd-Lt" w:cs="Times New Roman"/>
                <w:color w:val="231F20"/>
                <w:kern w:val="0"/>
                <w:sz w:val="20"/>
                <w:szCs w:val="20"/>
                <w:lang w:val="en-US" w:eastAsia="zh-CN" w:bidi="ar"/>
              </w:rPr>
              <w:t>Mean (SE)</w:t>
            </w:r>
          </w:p>
        </w:tc>
        <w:tc>
          <w:tcPr>
            <w:tcW w:w="8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57A2D1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8090C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8090C"/>
                <w:kern w:val="0"/>
                <w:sz w:val="20"/>
                <w:szCs w:val="20"/>
                <w:u w:val="none"/>
                <w:lang w:val="en-US" w:eastAsia="zh-CN" w:bidi="ar"/>
              </w:rPr>
              <w:t>3.37±0.58</w:t>
            </w:r>
          </w:p>
        </w:tc>
        <w:tc>
          <w:tcPr>
            <w:tcW w:w="127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62BA4C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8090C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8090C"/>
                <w:kern w:val="0"/>
                <w:sz w:val="20"/>
                <w:szCs w:val="20"/>
                <w:u w:val="none"/>
                <w:lang w:val="en-US" w:eastAsia="zh-CN" w:bidi="ar"/>
              </w:rPr>
              <w:t>3.47±0.55</w:t>
            </w: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4326E4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8090C"/>
                <w:sz w:val="20"/>
                <w:szCs w:val="20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8090C"/>
                <w:kern w:val="0"/>
                <w:sz w:val="20"/>
                <w:szCs w:val="20"/>
                <w:u w:val="none"/>
                <w:lang w:val="en-US" w:eastAsia="zh-CN" w:bidi="ar"/>
              </w:rPr>
              <w:t>3.28±0.60</w:t>
            </w:r>
          </w:p>
        </w:tc>
        <w:tc>
          <w:tcPr>
            <w:tcW w:w="60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5C6548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8090C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8090C"/>
                <w:kern w:val="0"/>
                <w:sz w:val="20"/>
                <w:szCs w:val="20"/>
                <w:u w:val="none"/>
                <w:lang w:val="en-US" w:eastAsia="zh-CN" w:bidi="ar"/>
              </w:rPr>
              <w:t>＜0.001</w:t>
            </w:r>
          </w:p>
        </w:tc>
      </w:tr>
      <w:tr w14:paraId="097303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12" w:hRule="atLeast"/>
        </w:trPr>
        <w:tc>
          <w:tcPr>
            <w:tcW w:w="1165" w:type="pct"/>
            <w:tcBorders>
              <w:top w:val="nil"/>
              <w:left w:val="nil"/>
              <w:bottom w:val="single" w:color="000000" w:themeColor="dark1" w:sz="12" w:space="0"/>
              <w:right w:val="nil"/>
            </w:tcBorders>
            <w:shd w:val="clear" w:color="auto" w:fill="F2F2F2"/>
            <w:noWrap/>
            <w:vAlign w:val="center"/>
          </w:tcPr>
          <w:p w14:paraId="4089BC2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HelveticaNeueLTStd-Lt" w:cs="Times New Roman"/>
                <w:color w:val="231F2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HelveticaNeueLTStd-Lt" w:cs="Times New Roman"/>
                <w:color w:val="231F20"/>
                <w:kern w:val="0"/>
                <w:sz w:val="20"/>
                <w:szCs w:val="20"/>
                <w:lang w:val="en-US" w:eastAsia="zh-CN" w:bidi="ar"/>
              </w:rPr>
              <w:t>Total</w:t>
            </w:r>
          </w:p>
          <w:p w14:paraId="27CEC33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HelveticaNeueLTStd-Lt" w:cs="Times New Roman"/>
                <w:color w:val="231F20"/>
                <w:kern w:val="0"/>
                <w:sz w:val="20"/>
                <w:szCs w:val="20"/>
                <w:lang w:val="en-US" w:eastAsia="zh-CN" w:bidi="ar"/>
              </w:rPr>
              <w:t>Mean (SE)</w:t>
            </w:r>
          </w:p>
        </w:tc>
        <w:tc>
          <w:tcPr>
            <w:tcW w:w="851" w:type="pct"/>
            <w:tcBorders>
              <w:top w:val="nil"/>
              <w:left w:val="nil"/>
              <w:bottom w:val="single" w:color="000000" w:themeColor="dark1" w:sz="12" w:space="0"/>
              <w:right w:val="nil"/>
            </w:tcBorders>
            <w:shd w:val="clear" w:color="auto" w:fill="F2F2F2"/>
            <w:noWrap/>
            <w:vAlign w:val="center"/>
          </w:tcPr>
          <w:p w14:paraId="7942D93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8090C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8090C"/>
                <w:kern w:val="0"/>
                <w:sz w:val="20"/>
                <w:szCs w:val="20"/>
                <w:u w:val="none"/>
                <w:lang w:val="en-US" w:eastAsia="zh-CN" w:bidi="ar"/>
              </w:rPr>
              <w:t>32.14±4.72</w:t>
            </w:r>
          </w:p>
        </w:tc>
        <w:tc>
          <w:tcPr>
            <w:tcW w:w="1274" w:type="pct"/>
            <w:tcBorders>
              <w:top w:val="nil"/>
              <w:left w:val="nil"/>
              <w:bottom w:val="single" w:color="000000" w:themeColor="dark1" w:sz="12" w:space="0"/>
              <w:right w:val="nil"/>
            </w:tcBorders>
            <w:shd w:val="clear" w:color="auto" w:fill="F2F2F2"/>
            <w:noWrap/>
            <w:vAlign w:val="center"/>
          </w:tcPr>
          <w:p w14:paraId="0F7A238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8090C"/>
                <w:sz w:val="20"/>
                <w:szCs w:val="20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8090C"/>
                <w:kern w:val="0"/>
                <w:sz w:val="20"/>
                <w:szCs w:val="20"/>
                <w:u w:val="none"/>
                <w:lang w:val="en-US" w:eastAsia="zh-CN" w:bidi="ar"/>
              </w:rPr>
              <w:t>33.47±4.00</w:t>
            </w:r>
          </w:p>
        </w:tc>
        <w:tc>
          <w:tcPr>
            <w:tcW w:w="1107" w:type="pct"/>
            <w:tcBorders>
              <w:top w:val="nil"/>
              <w:left w:val="nil"/>
              <w:bottom w:val="single" w:color="000000" w:themeColor="dark1" w:sz="12" w:space="0"/>
              <w:right w:val="nil"/>
            </w:tcBorders>
            <w:shd w:val="clear" w:color="auto" w:fill="F2F2F2"/>
            <w:noWrap/>
            <w:vAlign w:val="center"/>
          </w:tcPr>
          <w:p w14:paraId="19A10C7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8090C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8090C"/>
                <w:kern w:val="0"/>
                <w:sz w:val="20"/>
                <w:szCs w:val="20"/>
                <w:u w:val="none"/>
                <w:lang w:val="en-US" w:eastAsia="zh-CN" w:bidi="ar"/>
              </w:rPr>
              <w:t>30.83±5.02</w:t>
            </w:r>
          </w:p>
        </w:tc>
        <w:tc>
          <w:tcPr>
            <w:tcW w:w="601" w:type="pct"/>
            <w:tcBorders>
              <w:top w:val="nil"/>
              <w:left w:val="nil"/>
              <w:bottom w:val="single" w:color="000000" w:themeColor="dark1" w:sz="12" w:space="0"/>
              <w:right w:val="nil"/>
            </w:tcBorders>
            <w:shd w:val="clear" w:color="auto" w:fill="F2F2F2"/>
            <w:noWrap/>
            <w:vAlign w:val="center"/>
          </w:tcPr>
          <w:p w14:paraId="56C80EB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8090C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8090C"/>
                <w:kern w:val="0"/>
                <w:sz w:val="20"/>
                <w:szCs w:val="20"/>
                <w:u w:val="none"/>
                <w:lang w:val="en-US" w:eastAsia="zh-CN" w:bidi="ar"/>
              </w:rPr>
              <w:t>＜0.001</w:t>
            </w:r>
          </w:p>
        </w:tc>
      </w:tr>
    </w:tbl>
    <w:p w14:paraId="2809DF25">
      <w:pPr>
        <w:spacing w:line="300" w:lineRule="exact"/>
        <w:rPr>
          <w:rFonts w:hint="default" w:ascii="Times New Roman" w:hAnsi="Times New Roman" w:cs="Times New Roman"/>
          <w:sz w:val="20"/>
          <w:szCs w:val="20"/>
        </w:rPr>
      </w:pPr>
    </w:p>
    <w:p w14:paraId="12091BA5">
      <w:pPr>
        <w:spacing w:line="300" w:lineRule="exact"/>
        <w:jc w:val="center"/>
        <w:rPr>
          <w:rFonts w:hint="default" w:ascii="Times New Roman" w:hAnsi="Times New Roman" w:cs="Times New Roman"/>
          <w:b/>
          <w:bCs/>
          <w:sz w:val="20"/>
          <w:szCs w:val="20"/>
        </w:rPr>
      </w:pPr>
    </w:p>
    <w:p w14:paraId="460D4F79">
      <w:pPr>
        <w:rPr>
          <w:rFonts w:hint="default" w:ascii="Times New Roman" w:hAnsi="Times New Roman" w:cs="Times New Roman"/>
          <w:sz w:val="20"/>
          <w:szCs w:val="20"/>
        </w:rPr>
      </w:pPr>
    </w:p>
    <w:p w14:paraId="2399B2E1">
      <w:pPr>
        <w:rPr>
          <w:rFonts w:hint="default" w:ascii="Times New Roman" w:hAnsi="Times New Roman" w:cs="Times New Roman"/>
          <w:sz w:val="20"/>
          <w:szCs w:val="20"/>
        </w:rPr>
      </w:pPr>
    </w:p>
    <w:p w14:paraId="1B24FD82">
      <w:pPr>
        <w:rPr>
          <w:rFonts w:hint="default" w:ascii="Times New Roman" w:hAnsi="Times New Roman" w:cs="Times New Roman"/>
          <w:sz w:val="20"/>
          <w:szCs w:val="20"/>
        </w:rPr>
      </w:pPr>
    </w:p>
    <w:p w14:paraId="12CDD513">
      <w:pPr>
        <w:rPr>
          <w:rFonts w:hint="default" w:ascii="Times New Roman" w:hAnsi="Times New Roman" w:cs="Times New Roman"/>
          <w:sz w:val="20"/>
          <w:szCs w:val="20"/>
        </w:rPr>
      </w:pPr>
    </w:p>
    <w:p w14:paraId="467BAEC2">
      <w:pPr>
        <w:spacing w:line="300" w:lineRule="exact"/>
        <w:jc w:val="center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cs="Times New Roman"/>
          <w:b/>
          <w:bCs/>
          <w:color w:val="auto"/>
          <w:sz w:val="20"/>
          <w:szCs w:val="20"/>
        </w:rPr>
        <w:t xml:space="preserve">Appendix </w:t>
      </w:r>
      <w:r>
        <w:rPr>
          <w:rFonts w:hint="default" w:ascii="Times New Roman" w:hAnsi="Times New Roman" w:cs="Times New Roman"/>
          <w:b/>
          <w:bCs/>
          <w:color w:val="auto"/>
          <w:sz w:val="20"/>
          <w:szCs w:val="20"/>
          <w:lang w:val="en-US" w:eastAsia="zh-CN"/>
        </w:rPr>
        <w:t>t</w:t>
      </w:r>
      <w:r>
        <w:rPr>
          <w:rFonts w:hint="default" w:ascii="Times New Roman" w:hAnsi="Times New Roman" w:cs="Times New Roman"/>
          <w:b/>
          <w:bCs/>
          <w:color w:val="auto"/>
          <w:sz w:val="20"/>
          <w:szCs w:val="20"/>
        </w:rPr>
        <w:t xml:space="preserve">able </w:t>
      </w:r>
      <w:r>
        <w:rPr>
          <w:rFonts w:hint="eastAsia" w:ascii="Times New Roman" w:hAnsi="Times New Roman" w:cs="Times New Roman"/>
          <w:b/>
          <w:bCs/>
          <w:color w:val="auto"/>
          <w:sz w:val="20"/>
          <w:szCs w:val="20"/>
          <w:lang w:val="en-US" w:eastAsia="zh-CN"/>
        </w:rPr>
        <w:t>2</w:t>
      </w:r>
      <w:r>
        <w:rPr>
          <w:rFonts w:hint="default" w:ascii="Times New Roman" w:hAnsi="Times New Roman" w:cs="Times New Roman"/>
          <w:b/>
          <w:bCs/>
          <w:color w:val="auto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color w:val="auto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Comparison of PCAT-AS scores in all dimensions and total scores between</w:t>
      </w:r>
      <w:r>
        <w:rPr>
          <w:rFonts w:hint="default" w:ascii="Times New Roman" w:hAnsi="Times New Roman" w:cs="Times New Roman"/>
          <w:sz w:val="20"/>
          <w:szCs w:val="20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patients in</w:t>
      </w:r>
      <w:r>
        <w:rPr>
          <w:rFonts w:hint="default" w:ascii="Times New Roman" w:hAnsi="Times New Roman" w:cs="Times New Roman"/>
          <w:sz w:val="20"/>
          <w:szCs w:val="20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the specialized diabetes clinic group</w:t>
      </w:r>
      <w:r>
        <w:rPr>
          <w:rFonts w:hint="default" w:ascii="Times New Roman" w:hAnsi="Times New Roman" w:cs="Times New Roman"/>
          <w:sz w:val="20"/>
          <w:szCs w:val="20"/>
          <w:lang w:val="en-US" w:eastAsia="zh-CN"/>
        </w:rPr>
        <w:t xml:space="preserve"> and </w:t>
      </w:r>
      <w:r>
        <w:rPr>
          <w:rFonts w:hint="default" w:ascii="Times New Roman" w:hAnsi="Times New Roman" w:cs="Times New Roman"/>
          <w:sz w:val="20"/>
          <w:szCs w:val="20"/>
        </w:rPr>
        <w:t>the general outpatient clinic group</w:t>
      </w:r>
    </w:p>
    <w:tbl>
      <w:tblPr>
        <w:tblStyle w:val="4"/>
        <w:tblW w:w="5000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75"/>
        <w:gridCol w:w="2826"/>
        <w:gridCol w:w="2740"/>
        <w:gridCol w:w="981"/>
      </w:tblGrid>
      <w:tr w14:paraId="040226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20" w:hRule="atLeast"/>
        </w:trPr>
        <w:tc>
          <w:tcPr>
            <w:tcW w:w="1158" w:type="pct"/>
            <w:vMerge w:val="restart"/>
            <w:tcBorders>
              <w:top w:val="single" w:color="000000" w:themeColor="dark1" w:sz="12" w:space="0"/>
              <w:left w:val="nil"/>
              <w:bottom w:val="single" w:color="000000" w:themeColor="dark1" w:sz="6" w:space="0"/>
              <w:right w:val="nil"/>
            </w:tcBorders>
            <w:shd w:val="clear" w:color="auto" w:fill="FFFFFF"/>
            <w:noWrap/>
            <w:vAlign w:val="center"/>
          </w:tcPr>
          <w:p w14:paraId="6F542B4D"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宋体" w:cs="Times New Roman"/>
                <w:b/>
                <w:color w:val="000000" w:themeColor="dark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dk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color w:val="000000" w:themeColor="dark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dk1"/>
                  </w14:solidFill>
                </w14:textFill>
              </w:rPr>
              <w:t>Domain</w:t>
            </w:r>
          </w:p>
        </w:tc>
        <w:tc>
          <w:tcPr>
            <w:tcW w:w="3265" w:type="pct"/>
            <w:gridSpan w:val="2"/>
            <w:tcBorders>
              <w:top w:val="single" w:color="000000" w:themeColor="dark1" w:sz="12" w:space="0"/>
              <w:left w:val="nil"/>
              <w:bottom w:val="single" w:color="000000" w:themeColor="dark1" w:sz="6" w:space="0"/>
              <w:right w:val="nil"/>
            </w:tcBorders>
            <w:shd w:val="clear" w:color="auto" w:fill="FFFFFF"/>
            <w:noWrap/>
            <w:vAlign w:val="center"/>
          </w:tcPr>
          <w:p w14:paraId="7D0B0B14"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宋体" w:cs="Times New Roman"/>
                <w:b/>
                <w:color w:val="000000" w:themeColor="dark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dk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color w:val="000000" w:themeColor="dark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dk1"/>
                  </w14:solidFill>
                </w14:textFill>
              </w:rPr>
              <w:t>Outpatient category</w:t>
            </w:r>
          </w:p>
        </w:tc>
        <w:tc>
          <w:tcPr>
            <w:tcW w:w="575" w:type="pct"/>
            <w:vMerge w:val="restart"/>
            <w:tcBorders>
              <w:top w:val="single" w:color="000000" w:themeColor="dark1" w:sz="12" w:space="0"/>
              <w:left w:val="nil"/>
              <w:bottom w:val="single" w:color="000000" w:themeColor="dark1" w:sz="6" w:space="0"/>
              <w:right w:val="nil"/>
            </w:tcBorders>
            <w:shd w:val="clear" w:color="auto" w:fill="FFFFFF"/>
            <w:noWrap/>
            <w:vAlign w:val="center"/>
          </w:tcPr>
          <w:p w14:paraId="22EE9069"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宋体" w:cs="Times New Roman"/>
                <w:b/>
                <w:color w:val="000000" w:themeColor="dark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dk1"/>
                  </w14:solidFill>
                </w14:textFill>
              </w:rPr>
            </w:pPr>
            <w:r>
              <w:rPr>
                <w:rFonts w:hint="default" w:ascii="Times New Roman Bold Italic" w:hAnsi="Times New Roman Bold Italic" w:eastAsia="宋体" w:cs="Times New Roman Bold Italic"/>
                <w:b/>
                <w:i/>
                <w:iCs w:val="0"/>
                <w:color w:val="000000" w:themeColor="dark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dk1"/>
                  </w14:solidFill>
                </w14:textFill>
              </w:rPr>
              <w:t>P</w:t>
            </w:r>
            <w:r>
              <w:rPr>
                <w:rFonts w:hint="default" w:ascii="Times New Roman" w:hAnsi="Times New Roman" w:eastAsia="宋体" w:cs="Times New Roman"/>
                <w:b/>
                <w:color w:val="000000" w:themeColor="dark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dk1"/>
                  </w14:solidFill>
                </w14:textFill>
              </w:rPr>
              <w:t xml:space="preserve"> value</w:t>
            </w:r>
          </w:p>
        </w:tc>
      </w:tr>
      <w:tr w14:paraId="4554A2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92" w:hRule="atLeast"/>
        </w:trPr>
        <w:tc>
          <w:tcPr>
            <w:tcW w:w="1158" w:type="pct"/>
            <w:vMerge w:val="continue"/>
            <w:tcBorders>
              <w:top w:val="single" w:color="000000" w:themeColor="dark1" w:sz="6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D604D7C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8090C"/>
                <w:sz w:val="20"/>
                <w:szCs w:val="20"/>
                <w:u w:val="none"/>
              </w:rPr>
            </w:pPr>
          </w:p>
        </w:tc>
        <w:tc>
          <w:tcPr>
            <w:tcW w:w="1658" w:type="pct"/>
            <w:tcBorders>
              <w:top w:val="single" w:color="000000" w:themeColor="dark1" w:sz="6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A4752A8">
            <w:pPr>
              <w:pStyle w:val="3"/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color w:val="08090C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8090C"/>
                <w:kern w:val="2"/>
                <w:sz w:val="20"/>
                <w:szCs w:val="20"/>
                <w:lang w:val="en-US" w:eastAsia="zh-CN" w:bidi="ar-SA"/>
              </w:rPr>
              <w:t>T</w:t>
            </w:r>
            <w:r>
              <w:rPr>
                <w:rFonts w:hint="default" w:ascii="Times New Roman" w:hAnsi="Times New Roman" w:eastAsia="宋体" w:cs="Times New Roman"/>
                <w:color w:val="08090C"/>
                <w:kern w:val="2"/>
                <w:sz w:val="20"/>
                <w:szCs w:val="20"/>
                <w:lang w:val="en-US" w:eastAsia="zh-CN" w:bidi="ar-SA"/>
              </w:rPr>
              <w:t>he specialized diabetes clinic group</w:t>
            </w:r>
            <w:r>
              <w:rPr>
                <w:rFonts w:hint="eastAsia" w:ascii="Times New Roman" w:hAnsi="Times New Roman" w:cs="Times New Roman"/>
                <w:color w:val="08090C"/>
                <w:kern w:val="2"/>
                <w:sz w:val="20"/>
                <w:szCs w:val="20"/>
                <w:lang w:val="en-US" w:eastAsia="zh-CN" w:bidi="ar-SA"/>
              </w:rPr>
              <w:t>(</w:t>
            </w:r>
            <w:r>
              <w:rPr>
                <w:rFonts w:hint="default" w:ascii="Times New Roman" w:hAnsi="Times New Roman" w:eastAsia="宋体" w:cs="Times New Roman"/>
                <w:i w:val="0"/>
                <w:iCs/>
                <w:color w:val="08090C"/>
                <w:kern w:val="2"/>
                <w:sz w:val="20"/>
                <w:szCs w:val="20"/>
                <w:lang w:val="en-US" w:eastAsia="zh-CN" w:bidi="ar-SA"/>
              </w:rPr>
              <w:t>n</w:t>
            </w:r>
            <w:r>
              <w:rPr>
                <w:rFonts w:hint="default" w:ascii="Times New Roman" w:hAnsi="Times New Roman" w:cs="Times New Roman"/>
                <w:i w:val="0"/>
                <w:iCs/>
                <w:color w:val="08090C"/>
                <w:kern w:val="2"/>
                <w:sz w:val="20"/>
                <w:szCs w:val="20"/>
                <w:lang w:val="en-US" w:eastAsia="zh-CN" w:bidi="ar-SA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color w:val="08090C"/>
                <w:kern w:val="2"/>
                <w:sz w:val="20"/>
                <w:szCs w:val="20"/>
                <w:lang w:val="en-US" w:eastAsia="zh-CN" w:bidi="ar-SA"/>
              </w:rPr>
              <w:t>=</w:t>
            </w:r>
            <w:r>
              <w:rPr>
                <w:rFonts w:hint="default" w:ascii="Times New Roman" w:hAnsi="Times New Roman" w:cs="Times New Roman"/>
                <w:color w:val="08090C"/>
                <w:kern w:val="2"/>
                <w:sz w:val="20"/>
                <w:szCs w:val="20"/>
                <w:lang w:val="en-US" w:eastAsia="zh-CN" w:bidi="ar-SA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color w:val="08090C"/>
                <w:kern w:val="2"/>
                <w:sz w:val="20"/>
                <w:szCs w:val="20"/>
                <w:lang w:val="en-US" w:eastAsia="zh-CN" w:bidi="ar-SA"/>
              </w:rPr>
              <w:t>156</w:t>
            </w:r>
            <w:r>
              <w:rPr>
                <w:rFonts w:hint="eastAsia" w:ascii="Times New Roman" w:hAnsi="Times New Roman" w:cs="Times New Roman"/>
                <w:color w:val="08090C"/>
                <w:kern w:val="2"/>
                <w:sz w:val="20"/>
                <w:szCs w:val="20"/>
                <w:lang w:val="en-US" w:eastAsia="zh-CN" w:bidi="ar-SA"/>
              </w:rPr>
              <w:t>)</w:t>
            </w:r>
          </w:p>
        </w:tc>
        <w:tc>
          <w:tcPr>
            <w:tcW w:w="1607" w:type="pct"/>
            <w:tcBorders>
              <w:top w:val="single" w:color="000000" w:themeColor="dark1" w:sz="6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8ED6C97">
            <w:pPr>
              <w:pStyle w:val="3"/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color w:val="08090C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8090C"/>
                <w:kern w:val="2"/>
                <w:sz w:val="20"/>
                <w:szCs w:val="20"/>
                <w:lang w:val="en-US" w:eastAsia="zh-CN" w:bidi="ar-SA"/>
              </w:rPr>
              <w:t>T</w:t>
            </w:r>
            <w:r>
              <w:rPr>
                <w:rFonts w:hint="default" w:ascii="Times New Roman" w:hAnsi="Times New Roman" w:eastAsia="宋体" w:cs="Times New Roman"/>
                <w:color w:val="08090C"/>
                <w:kern w:val="2"/>
                <w:sz w:val="20"/>
                <w:szCs w:val="20"/>
                <w:lang w:val="en-US" w:eastAsia="zh-CN" w:bidi="ar-SA"/>
              </w:rPr>
              <w:t xml:space="preserve">he general outpatient clinic </w:t>
            </w:r>
            <w:r>
              <w:rPr>
                <w:rFonts w:hint="eastAsia" w:ascii="Times New Roman" w:hAnsi="Times New Roman" w:cs="Times New Roman"/>
                <w:color w:val="08090C"/>
                <w:kern w:val="2"/>
                <w:sz w:val="20"/>
                <w:szCs w:val="20"/>
                <w:lang w:val="en-US" w:eastAsia="zh-CN" w:bidi="ar-SA"/>
              </w:rPr>
              <w:t>group (</w:t>
            </w:r>
            <w:r>
              <w:rPr>
                <w:rFonts w:hint="default" w:ascii="Times New Roman" w:hAnsi="Times New Roman" w:eastAsia="宋体" w:cs="Times New Roman"/>
                <w:i w:val="0"/>
                <w:iCs/>
                <w:color w:val="08090C"/>
                <w:kern w:val="2"/>
                <w:sz w:val="20"/>
                <w:szCs w:val="20"/>
                <w:lang w:val="en-US" w:eastAsia="zh-CN" w:bidi="ar-SA"/>
              </w:rPr>
              <w:t>n</w:t>
            </w:r>
            <w:r>
              <w:rPr>
                <w:rFonts w:hint="default" w:ascii="Times New Roman" w:hAnsi="Times New Roman" w:cs="Times New Roman"/>
                <w:i w:val="0"/>
                <w:iCs/>
                <w:color w:val="08090C"/>
                <w:kern w:val="2"/>
                <w:sz w:val="20"/>
                <w:szCs w:val="20"/>
                <w:lang w:val="en-US" w:eastAsia="zh-CN" w:bidi="ar-SA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color w:val="08090C"/>
                <w:kern w:val="2"/>
                <w:sz w:val="20"/>
                <w:szCs w:val="20"/>
                <w:lang w:val="en-US" w:eastAsia="zh-CN" w:bidi="ar-SA"/>
              </w:rPr>
              <w:t>=</w:t>
            </w:r>
            <w:r>
              <w:rPr>
                <w:rFonts w:hint="default" w:ascii="Times New Roman" w:hAnsi="Times New Roman" w:cs="Times New Roman"/>
                <w:color w:val="08090C"/>
                <w:kern w:val="2"/>
                <w:sz w:val="20"/>
                <w:szCs w:val="20"/>
                <w:lang w:val="en-US" w:eastAsia="zh-CN" w:bidi="ar-SA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color w:val="08090C"/>
                <w:kern w:val="2"/>
                <w:sz w:val="20"/>
                <w:szCs w:val="20"/>
                <w:lang w:val="en-US" w:eastAsia="zh-CN" w:bidi="ar-SA"/>
              </w:rPr>
              <w:t>168)</w:t>
            </w:r>
          </w:p>
        </w:tc>
        <w:tc>
          <w:tcPr>
            <w:tcW w:w="575" w:type="pct"/>
            <w:vMerge w:val="continue"/>
            <w:tcBorders>
              <w:top w:val="single" w:color="000000" w:themeColor="dark1" w:sz="6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41C3DC8">
            <w:pPr>
              <w:pStyle w:val="3"/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color w:val="08090C"/>
                <w:kern w:val="2"/>
                <w:sz w:val="20"/>
                <w:szCs w:val="20"/>
                <w:lang w:val="en-US" w:eastAsia="zh-CN" w:bidi="ar-SA"/>
              </w:rPr>
            </w:pPr>
          </w:p>
        </w:tc>
      </w:tr>
      <w:tr w14:paraId="3D726A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12" w:hRule="atLeast"/>
        </w:trPr>
        <w:tc>
          <w:tcPr>
            <w:tcW w:w="1158" w:type="pct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375DA9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First-contact Utilization</w:t>
            </w:r>
          </w:p>
          <w:p w14:paraId="03B35C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HelveticaNeueLTStd-Lt" w:cs="Times New Roman"/>
                <w:color w:val="231F20"/>
                <w:kern w:val="0"/>
                <w:sz w:val="20"/>
                <w:szCs w:val="20"/>
                <w:lang w:val="en-US" w:eastAsia="zh-CN" w:bidi="ar"/>
              </w:rPr>
              <w:t>Mean (SE)</w:t>
            </w:r>
          </w:p>
        </w:tc>
        <w:tc>
          <w:tcPr>
            <w:tcW w:w="1658" w:type="pct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58065823">
            <w:pPr>
              <w:pStyle w:val="3"/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color w:val="08090C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8090C"/>
                <w:kern w:val="2"/>
                <w:sz w:val="20"/>
                <w:szCs w:val="20"/>
                <w:lang w:val="en-US" w:eastAsia="zh-CN" w:bidi="ar-SA"/>
              </w:rPr>
              <w:t>3.60±0.50</w:t>
            </w:r>
          </w:p>
        </w:tc>
        <w:tc>
          <w:tcPr>
            <w:tcW w:w="1607" w:type="pct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10266205">
            <w:pPr>
              <w:pStyle w:val="3"/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color w:val="08090C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8090C"/>
                <w:kern w:val="2"/>
                <w:sz w:val="20"/>
                <w:szCs w:val="20"/>
                <w:lang w:val="en-US" w:eastAsia="zh-CN" w:bidi="ar-SA"/>
              </w:rPr>
              <w:t>3.28±0.71</w:t>
            </w:r>
          </w:p>
        </w:tc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0DDEE534">
            <w:pPr>
              <w:pStyle w:val="3"/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color w:val="08090C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8090C"/>
                <w:kern w:val="2"/>
                <w:sz w:val="20"/>
                <w:szCs w:val="20"/>
                <w:lang w:val="en-US" w:eastAsia="zh-CN" w:bidi="ar-SA"/>
              </w:rPr>
              <w:t>＜0.001</w:t>
            </w:r>
          </w:p>
        </w:tc>
      </w:tr>
      <w:tr w14:paraId="1EEEB5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12" w:hRule="atLeast"/>
        </w:trPr>
        <w:tc>
          <w:tcPr>
            <w:tcW w:w="11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010AA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8090C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8090C"/>
                <w:kern w:val="0"/>
                <w:sz w:val="20"/>
                <w:szCs w:val="20"/>
                <w:u w:val="none"/>
                <w:lang w:val="en-US" w:eastAsia="zh-CN" w:bidi="ar"/>
              </w:rPr>
              <w:t>First-contact Accessibility</w:t>
            </w:r>
          </w:p>
        </w:tc>
        <w:tc>
          <w:tcPr>
            <w:tcW w:w="16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2B612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8090C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8090C"/>
                <w:kern w:val="0"/>
                <w:sz w:val="20"/>
                <w:szCs w:val="20"/>
                <w:u w:val="none"/>
                <w:lang w:val="en-US" w:eastAsia="zh-CN" w:bidi="ar"/>
              </w:rPr>
              <w:t>3.24±0.47</w:t>
            </w:r>
          </w:p>
        </w:tc>
        <w:tc>
          <w:tcPr>
            <w:tcW w:w="160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1C934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8090C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8090C"/>
                <w:kern w:val="0"/>
                <w:sz w:val="20"/>
                <w:szCs w:val="20"/>
                <w:u w:val="none"/>
                <w:lang w:val="en-US" w:eastAsia="zh-CN" w:bidi="ar"/>
              </w:rPr>
              <w:t>3.01±0.63</w:t>
            </w:r>
          </w:p>
        </w:tc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FE4E8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8090C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8090C"/>
                <w:kern w:val="0"/>
                <w:sz w:val="20"/>
                <w:szCs w:val="20"/>
                <w:u w:val="none"/>
                <w:lang w:val="en-US" w:eastAsia="zh-CN" w:bidi="ar"/>
              </w:rPr>
              <w:t>＜0.001</w:t>
            </w:r>
          </w:p>
        </w:tc>
      </w:tr>
      <w:tr w14:paraId="518EA3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12" w:hRule="atLeast"/>
        </w:trPr>
        <w:tc>
          <w:tcPr>
            <w:tcW w:w="1158" w:type="pct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2367F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Continuity of Care</w:t>
            </w:r>
          </w:p>
          <w:p w14:paraId="60DB8D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HelveticaNeueLTStd-Lt" w:cs="Times New Roman"/>
                <w:color w:val="231F20"/>
                <w:kern w:val="0"/>
                <w:sz w:val="20"/>
                <w:szCs w:val="20"/>
                <w:lang w:val="en-US" w:eastAsia="zh-CN" w:bidi="ar"/>
              </w:rPr>
              <w:t>Mean (SE)</w:t>
            </w:r>
          </w:p>
        </w:tc>
        <w:tc>
          <w:tcPr>
            <w:tcW w:w="1658" w:type="pct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199AB1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8090C"/>
                <w:sz w:val="20"/>
                <w:szCs w:val="20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8090C"/>
                <w:kern w:val="0"/>
                <w:sz w:val="20"/>
                <w:szCs w:val="20"/>
                <w:u w:val="none"/>
                <w:lang w:val="en-US" w:eastAsia="zh-CN" w:bidi="ar"/>
              </w:rPr>
              <w:t>3.36±0.50</w:t>
            </w:r>
          </w:p>
        </w:tc>
        <w:tc>
          <w:tcPr>
            <w:tcW w:w="1607" w:type="pct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60E66E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8090C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8090C"/>
                <w:kern w:val="0"/>
                <w:sz w:val="20"/>
                <w:szCs w:val="20"/>
                <w:u w:val="none"/>
                <w:lang w:val="en-US" w:eastAsia="zh-CN" w:bidi="ar"/>
              </w:rPr>
              <w:t>3.00±0.62</w:t>
            </w:r>
          </w:p>
        </w:tc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7D17CA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8090C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8090C"/>
                <w:kern w:val="0"/>
                <w:sz w:val="20"/>
                <w:szCs w:val="20"/>
                <w:u w:val="none"/>
                <w:lang w:val="en-US" w:eastAsia="zh-CN" w:bidi="ar"/>
              </w:rPr>
              <w:t>＜0.001</w:t>
            </w:r>
          </w:p>
        </w:tc>
      </w:tr>
      <w:tr w14:paraId="6AAA58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12" w:hRule="atLeast"/>
        </w:trPr>
        <w:tc>
          <w:tcPr>
            <w:tcW w:w="11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61CBC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Coordination (Referrals)</w:t>
            </w:r>
          </w:p>
          <w:p w14:paraId="6E9F8F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HelveticaNeueLTStd-Lt" w:cs="Times New Roman"/>
                <w:color w:val="231F20"/>
                <w:kern w:val="0"/>
                <w:sz w:val="20"/>
                <w:szCs w:val="20"/>
                <w:lang w:val="en-US" w:eastAsia="zh-CN" w:bidi="ar"/>
              </w:rPr>
              <w:t>Mean (SE)</w:t>
            </w:r>
          </w:p>
        </w:tc>
        <w:tc>
          <w:tcPr>
            <w:tcW w:w="16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4FF8C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8090C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8090C"/>
                <w:kern w:val="0"/>
                <w:sz w:val="20"/>
                <w:szCs w:val="20"/>
                <w:u w:val="none"/>
                <w:lang w:val="en-US" w:eastAsia="zh-CN" w:bidi="ar"/>
              </w:rPr>
              <w:t>3.14±1.26</w:t>
            </w:r>
          </w:p>
        </w:tc>
        <w:tc>
          <w:tcPr>
            <w:tcW w:w="160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CE82E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8090C"/>
                <w:sz w:val="20"/>
                <w:szCs w:val="20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8090C"/>
                <w:kern w:val="0"/>
                <w:sz w:val="20"/>
                <w:szCs w:val="20"/>
                <w:u w:val="none"/>
                <w:lang w:val="en-US" w:eastAsia="zh-CN" w:bidi="ar"/>
              </w:rPr>
              <w:t>1.89±1.50</w:t>
            </w:r>
          </w:p>
        </w:tc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F63CE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8090C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8090C"/>
                <w:kern w:val="0"/>
                <w:sz w:val="20"/>
                <w:szCs w:val="20"/>
                <w:u w:val="none"/>
                <w:lang w:val="en-US" w:eastAsia="zh-CN" w:bidi="ar"/>
              </w:rPr>
              <w:t>＜0.001</w:t>
            </w:r>
          </w:p>
        </w:tc>
      </w:tr>
      <w:tr w14:paraId="786755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12" w:hRule="atLeast"/>
        </w:trPr>
        <w:tc>
          <w:tcPr>
            <w:tcW w:w="1158" w:type="pct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99B3D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Coordination (Information Systems)</w:t>
            </w:r>
          </w:p>
          <w:p w14:paraId="0A0E40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HelveticaNeueLTStd-Lt" w:cs="Times New Roman"/>
                <w:color w:val="231F20"/>
                <w:kern w:val="0"/>
                <w:sz w:val="20"/>
                <w:szCs w:val="20"/>
                <w:lang w:val="en-US" w:eastAsia="zh-CN" w:bidi="ar"/>
              </w:rPr>
              <w:t>Mean (SE)</w:t>
            </w:r>
          </w:p>
        </w:tc>
        <w:tc>
          <w:tcPr>
            <w:tcW w:w="1658" w:type="pct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3E9B0F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8090C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8090C"/>
                <w:kern w:val="0"/>
                <w:sz w:val="20"/>
                <w:szCs w:val="20"/>
                <w:u w:val="none"/>
                <w:lang w:val="en-US" w:eastAsia="zh-CN" w:bidi="ar"/>
              </w:rPr>
              <w:t>3.36±0.45</w:t>
            </w:r>
          </w:p>
        </w:tc>
        <w:tc>
          <w:tcPr>
            <w:tcW w:w="1607" w:type="pct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F805A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8090C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8090C"/>
                <w:kern w:val="0"/>
                <w:sz w:val="20"/>
                <w:szCs w:val="20"/>
                <w:u w:val="none"/>
                <w:lang w:val="en-US" w:eastAsia="zh-CN" w:bidi="ar"/>
              </w:rPr>
              <w:t>3.06±0.61</w:t>
            </w:r>
          </w:p>
        </w:tc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DC22D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8090C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8090C"/>
                <w:kern w:val="0"/>
                <w:sz w:val="20"/>
                <w:szCs w:val="20"/>
                <w:u w:val="none"/>
                <w:lang w:val="en-US" w:eastAsia="zh-CN" w:bidi="ar"/>
              </w:rPr>
              <w:t>＜0.001</w:t>
            </w:r>
          </w:p>
        </w:tc>
      </w:tr>
      <w:tr w14:paraId="6D4CC6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12" w:hRule="atLeast"/>
        </w:trPr>
        <w:tc>
          <w:tcPr>
            <w:tcW w:w="11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4AEA1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Comprehensiveness (Available Services)</w:t>
            </w:r>
          </w:p>
          <w:p w14:paraId="309615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HelveticaNeueLTStd-Lt" w:cs="Times New Roman"/>
                <w:color w:val="231F20"/>
                <w:kern w:val="0"/>
                <w:sz w:val="20"/>
                <w:szCs w:val="20"/>
                <w:lang w:val="en-US" w:eastAsia="zh-CN" w:bidi="ar"/>
              </w:rPr>
              <w:t>Mean (SE)</w:t>
            </w:r>
          </w:p>
        </w:tc>
        <w:tc>
          <w:tcPr>
            <w:tcW w:w="16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20BE0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8090C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8090C"/>
                <w:kern w:val="0"/>
                <w:sz w:val="20"/>
                <w:szCs w:val="20"/>
                <w:u w:val="none"/>
                <w:lang w:val="en-US" w:eastAsia="zh-CN" w:bidi="ar"/>
              </w:rPr>
              <w:t>3.43±0.46</w:t>
            </w:r>
          </w:p>
        </w:tc>
        <w:tc>
          <w:tcPr>
            <w:tcW w:w="160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2066D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8090C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8090C"/>
                <w:kern w:val="0"/>
                <w:sz w:val="20"/>
                <w:szCs w:val="20"/>
                <w:u w:val="none"/>
                <w:lang w:val="en-US" w:eastAsia="zh-CN" w:bidi="ar"/>
              </w:rPr>
              <w:t>3.10±0.63</w:t>
            </w:r>
          </w:p>
        </w:tc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C0583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8090C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8090C"/>
                <w:kern w:val="0"/>
                <w:sz w:val="20"/>
                <w:szCs w:val="20"/>
                <w:u w:val="none"/>
                <w:lang w:val="en-US" w:eastAsia="zh-CN" w:bidi="ar"/>
              </w:rPr>
              <w:t>＜0.001</w:t>
            </w:r>
          </w:p>
        </w:tc>
      </w:tr>
      <w:tr w14:paraId="366D37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12" w:hRule="atLeast"/>
        </w:trPr>
        <w:tc>
          <w:tcPr>
            <w:tcW w:w="1158" w:type="pct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596599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8090C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8090C"/>
                <w:kern w:val="0"/>
                <w:sz w:val="20"/>
                <w:szCs w:val="20"/>
                <w:u w:val="none"/>
                <w:lang w:val="en-US" w:eastAsia="zh-CN" w:bidi="ar"/>
              </w:rPr>
              <w:t>Comprehensiveness (Service Delivery)</w:t>
            </w:r>
          </w:p>
        </w:tc>
        <w:tc>
          <w:tcPr>
            <w:tcW w:w="1658" w:type="pct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5C9D8F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8090C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8090C"/>
                <w:kern w:val="0"/>
                <w:sz w:val="20"/>
                <w:szCs w:val="20"/>
                <w:u w:val="none"/>
                <w:lang w:val="en-US" w:eastAsia="zh-CN" w:bidi="ar"/>
              </w:rPr>
              <w:t>3.65±0.38</w:t>
            </w:r>
          </w:p>
        </w:tc>
        <w:tc>
          <w:tcPr>
            <w:tcW w:w="1607" w:type="pct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560B81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8090C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8090C"/>
                <w:kern w:val="0"/>
                <w:sz w:val="20"/>
                <w:szCs w:val="20"/>
                <w:u w:val="none"/>
                <w:lang w:val="en-US" w:eastAsia="zh-CN" w:bidi="ar"/>
              </w:rPr>
              <w:t>3.32±0.66</w:t>
            </w:r>
          </w:p>
        </w:tc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7B7C99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8090C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8090C"/>
                <w:kern w:val="0"/>
                <w:sz w:val="20"/>
                <w:szCs w:val="20"/>
                <w:u w:val="none"/>
                <w:lang w:val="en-US" w:eastAsia="zh-CN" w:bidi="ar"/>
              </w:rPr>
              <w:t>＜0.001</w:t>
            </w:r>
          </w:p>
        </w:tc>
      </w:tr>
      <w:tr w14:paraId="788A52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12" w:hRule="atLeast"/>
        </w:trPr>
        <w:tc>
          <w:tcPr>
            <w:tcW w:w="11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F0AB3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Family-centredness</w:t>
            </w:r>
          </w:p>
          <w:p w14:paraId="23E365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HelveticaNeueLTStd-Lt" w:cs="Times New Roman"/>
                <w:color w:val="231F20"/>
                <w:kern w:val="0"/>
                <w:sz w:val="20"/>
                <w:szCs w:val="20"/>
                <w:lang w:val="en-US" w:eastAsia="zh-CN" w:bidi="ar"/>
              </w:rPr>
              <w:t>Mean (SE)</w:t>
            </w:r>
          </w:p>
        </w:tc>
        <w:tc>
          <w:tcPr>
            <w:tcW w:w="16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A6534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8090C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8090C"/>
                <w:kern w:val="0"/>
                <w:sz w:val="20"/>
                <w:szCs w:val="20"/>
                <w:u w:val="none"/>
                <w:lang w:val="en-US" w:eastAsia="zh-CN" w:bidi="ar"/>
              </w:rPr>
              <w:t>3.35±0.49</w:t>
            </w:r>
          </w:p>
        </w:tc>
        <w:tc>
          <w:tcPr>
            <w:tcW w:w="160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00BFA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8090C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8090C"/>
                <w:kern w:val="0"/>
                <w:sz w:val="20"/>
                <w:szCs w:val="20"/>
                <w:u w:val="none"/>
                <w:lang w:val="en-US" w:eastAsia="zh-CN" w:bidi="ar"/>
              </w:rPr>
              <w:t>3.20±0.71</w:t>
            </w:r>
          </w:p>
        </w:tc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87A83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8090C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8090C"/>
                <w:kern w:val="0"/>
                <w:sz w:val="20"/>
                <w:szCs w:val="20"/>
                <w:u w:val="none"/>
                <w:lang w:val="en-US" w:eastAsia="zh-CN" w:bidi="ar"/>
              </w:rPr>
              <w:t>0.033</w:t>
            </w:r>
          </w:p>
        </w:tc>
      </w:tr>
      <w:tr w14:paraId="5FF1A0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12" w:hRule="atLeast"/>
        </w:trPr>
        <w:tc>
          <w:tcPr>
            <w:tcW w:w="1158" w:type="pct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AECEF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Community Orientation</w:t>
            </w:r>
          </w:p>
          <w:p w14:paraId="1B936A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HelveticaNeueLTStd-Lt" w:cs="Times New Roman"/>
                <w:color w:val="231F20"/>
                <w:kern w:val="0"/>
                <w:sz w:val="20"/>
                <w:szCs w:val="20"/>
                <w:lang w:val="en-US" w:eastAsia="zh-CN" w:bidi="ar"/>
              </w:rPr>
              <w:t>Mean (SE)</w:t>
            </w:r>
          </w:p>
        </w:tc>
        <w:tc>
          <w:tcPr>
            <w:tcW w:w="1658" w:type="pct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683FEA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8090C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8090C"/>
                <w:kern w:val="0"/>
                <w:sz w:val="20"/>
                <w:szCs w:val="20"/>
                <w:u w:val="none"/>
                <w:lang w:val="en-US" w:eastAsia="zh-CN" w:bidi="ar"/>
              </w:rPr>
              <w:t>3.17±0.52</w:t>
            </w:r>
          </w:p>
        </w:tc>
        <w:tc>
          <w:tcPr>
            <w:tcW w:w="1607" w:type="pct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3BD0F2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8090C"/>
                <w:sz w:val="20"/>
                <w:szCs w:val="20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8090C"/>
                <w:kern w:val="0"/>
                <w:sz w:val="20"/>
                <w:szCs w:val="20"/>
                <w:u w:val="none"/>
                <w:lang w:val="en-US" w:eastAsia="zh-CN" w:bidi="ar"/>
              </w:rPr>
              <w:t>2.95±0.70</w:t>
            </w:r>
          </w:p>
        </w:tc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BB063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8090C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8090C"/>
                <w:kern w:val="0"/>
                <w:sz w:val="20"/>
                <w:szCs w:val="20"/>
                <w:u w:val="none"/>
                <w:lang w:val="en-US" w:eastAsia="zh-CN" w:bidi="ar"/>
              </w:rPr>
              <w:t>0.001</w:t>
            </w:r>
          </w:p>
        </w:tc>
      </w:tr>
      <w:tr w14:paraId="0EEBD2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12" w:hRule="atLeast"/>
        </w:trPr>
        <w:tc>
          <w:tcPr>
            <w:tcW w:w="11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4D6DF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Cultural competence</w:t>
            </w:r>
          </w:p>
          <w:p w14:paraId="0B82B9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HelveticaNeueLTStd-Lt" w:cs="Times New Roman"/>
                <w:color w:val="231F20"/>
                <w:kern w:val="0"/>
                <w:sz w:val="20"/>
                <w:szCs w:val="20"/>
                <w:lang w:val="en-US" w:eastAsia="zh-CN" w:bidi="ar"/>
              </w:rPr>
              <w:t>Mean (SE)</w:t>
            </w:r>
          </w:p>
        </w:tc>
        <w:tc>
          <w:tcPr>
            <w:tcW w:w="16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32B6F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8090C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8090C"/>
                <w:kern w:val="0"/>
                <w:sz w:val="20"/>
                <w:szCs w:val="20"/>
                <w:u w:val="none"/>
                <w:lang w:val="en-US" w:eastAsia="zh-CN" w:bidi="ar"/>
              </w:rPr>
              <w:t>3.52±0.57</w:t>
            </w:r>
          </w:p>
        </w:tc>
        <w:tc>
          <w:tcPr>
            <w:tcW w:w="160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4D526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8090C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8090C"/>
                <w:kern w:val="0"/>
                <w:sz w:val="20"/>
                <w:szCs w:val="20"/>
                <w:u w:val="none"/>
                <w:lang w:val="en-US" w:eastAsia="zh-CN" w:bidi="ar"/>
              </w:rPr>
              <w:t>3.24±0.68</w:t>
            </w:r>
          </w:p>
        </w:tc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F0EC6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8090C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8090C"/>
                <w:kern w:val="0"/>
                <w:sz w:val="20"/>
                <w:szCs w:val="20"/>
                <w:u w:val="none"/>
                <w:lang w:val="en-US" w:eastAsia="zh-CN" w:bidi="ar"/>
              </w:rPr>
              <w:t>＜0.001</w:t>
            </w:r>
          </w:p>
        </w:tc>
      </w:tr>
      <w:tr w14:paraId="387251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12" w:hRule="atLeast"/>
        </w:trPr>
        <w:tc>
          <w:tcPr>
            <w:tcW w:w="1158" w:type="pct"/>
            <w:tcBorders>
              <w:top w:val="nil"/>
              <w:left w:val="nil"/>
              <w:bottom w:val="single" w:color="000000" w:themeColor="dark1" w:sz="12" w:space="0"/>
              <w:right w:val="nil"/>
            </w:tcBorders>
            <w:shd w:val="clear" w:color="auto" w:fill="F2F2F2"/>
            <w:noWrap/>
            <w:vAlign w:val="center"/>
          </w:tcPr>
          <w:p w14:paraId="3EE26CA0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HelveticaNeueLTStd-Lt" w:cs="Times New Roman"/>
                <w:color w:val="08090C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HelveticaNeueLTStd-Lt" w:cs="Times New Roman"/>
                <w:color w:val="08090C"/>
                <w:kern w:val="0"/>
                <w:sz w:val="20"/>
                <w:szCs w:val="20"/>
                <w:lang w:val="en-US" w:eastAsia="zh-CN" w:bidi="ar"/>
              </w:rPr>
              <w:t>Total</w:t>
            </w:r>
          </w:p>
          <w:p w14:paraId="7754AAA3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HelveticaNeueLTStd-Lt" w:cs="Times New Roman"/>
                <w:color w:val="08090C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HelveticaNeueLTStd-Lt" w:cs="Times New Roman"/>
                <w:color w:val="08090C"/>
                <w:kern w:val="0"/>
                <w:sz w:val="20"/>
                <w:szCs w:val="20"/>
                <w:lang w:val="en-US" w:eastAsia="zh-CN" w:bidi="ar"/>
              </w:rPr>
              <w:t>Mean (SE)</w:t>
            </w:r>
          </w:p>
        </w:tc>
        <w:tc>
          <w:tcPr>
            <w:tcW w:w="1658" w:type="pct"/>
            <w:tcBorders>
              <w:top w:val="nil"/>
              <w:left w:val="nil"/>
              <w:bottom w:val="single" w:color="000000" w:themeColor="dark1" w:sz="12" w:space="0"/>
              <w:right w:val="nil"/>
            </w:tcBorders>
            <w:shd w:val="clear" w:color="auto" w:fill="F2F2F2"/>
            <w:noWrap/>
            <w:vAlign w:val="center"/>
          </w:tcPr>
          <w:p w14:paraId="3A19BF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8090C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8090C"/>
                <w:kern w:val="0"/>
                <w:sz w:val="20"/>
                <w:szCs w:val="20"/>
                <w:u w:val="none"/>
                <w:lang w:val="en-US" w:eastAsia="zh-CN" w:bidi="ar"/>
              </w:rPr>
              <w:t>33.81±3.76</w:t>
            </w:r>
          </w:p>
        </w:tc>
        <w:tc>
          <w:tcPr>
            <w:tcW w:w="1607" w:type="pct"/>
            <w:tcBorders>
              <w:top w:val="nil"/>
              <w:left w:val="nil"/>
              <w:bottom w:val="single" w:color="000000" w:themeColor="dark1" w:sz="12" w:space="0"/>
              <w:right w:val="nil"/>
            </w:tcBorders>
            <w:shd w:val="clear" w:color="auto" w:fill="F2F2F2"/>
            <w:noWrap/>
            <w:vAlign w:val="center"/>
          </w:tcPr>
          <w:p w14:paraId="640DDF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8090C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8090C"/>
                <w:kern w:val="0"/>
                <w:sz w:val="20"/>
                <w:szCs w:val="20"/>
                <w:u w:val="none"/>
                <w:lang w:val="en-US" w:eastAsia="zh-CN" w:bidi="ar"/>
              </w:rPr>
              <w:t>30.06±5.63</w:t>
            </w:r>
          </w:p>
        </w:tc>
        <w:tc>
          <w:tcPr>
            <w:tcW w:w="575" w:type="pct"/>
            <w:tcBorders>
              <w:top w:val="nil"/>
              <w:left w:val="nil"/>
              <w:bottom w:val="single" w:color="000000" w:themeColor="dark1" w:sz="12" w:space="0"/>
              <w:right w:val="nil"/>
            </w:tcBorders>
            <w:shd w:val="clear" w:color="auto" w:fill="F2F2F2"/>
            <w:noWrap/>
            <w:vAlign w:val="center"/>
          </w:tcPr>
          <w:p w14:paraId="7FC4DB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8090C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8090C"/>
                <w:kern w:val="0"/>
                <w:sz w:val="20"/>
                <w:szCs w:val="20"/>
                <w:u w:val="none"/>
                <w:lang w:val="en-US" w:eastAsia="zh-CN" w:bidi="ar"/>
              </w:rPr>
              <w:t>＜0.001</w:t>
            </w:r>
          </w:p>
        </w:tc>
      </w:tr>
    </w:tbl>
    <w:p w14:paraId="67F5433B">
      <w:pPr>
        <w:spacing w:line="300" w:lineRule="exact"/>
        <w:jc w:val="center"/>
        <w:rPr>
          <w:rFonts w:hint="default" w:ascii="Times New Roman" w:hAnsi="Times New Roman" w:cs="Times New Roman"/>
          <w:b/>
          <w:bCs/>
          <w:sz w:val="20"/>
          <w:szCs w:val="20"/>
        </w:rPr>
      </w:pPr>
    </w:p>
    <w:p w14:paraId="68EFB098">
      <w:pPr>
        <w:spacing w:line="300" w:lineRule="exact"/>
        <w:jc w:val="center"/>
        <w:rPr>
          <w:rFonts w:hint="default" w:ascii="Times New Roman" w:hAnsi="Times New Roman" w:cs="Times New Roman"/>
          <w:b/>
          <w:bCs/>
          <w:sz w:val="20"/>
          <w:szCs w:val="20"/>
        </w:rPr>
      </w:pPr>
    </w:p>
    <w:p w14:paraId="7A0A171A">
      <w:pPr>
        <w:spacing w:line="300" w:lineRule="exact"/>
        <w:jc w:val="center"/>
        <w:rPr>
          <w:rFonts w:hint="default" w:ascii="Times New Roman" w:hAnsi="Times New Roman" w:cs="Times New Roman"/>
          <w:b/>
          <w:bCs/>
          <w:sz w:val="20"/>
          <w:szCs w:val="20"/>
        </w:rPr>
      </w:pPr>
    </w:p>
    <w:p w14:paraId="14A3C5B5">
      <w:pPr>
        <w:spacing w:line="300" w:lineRule="exact"/>
        <w:jc w:val="center"/>
        <w:rPr>
          <w:rFonts w:hint="default" w:ascii="Times New Roman" w:hAnsi="Times New Roman" w:cs="Times New Roman"/>
          <w:b/>
          <w:bCs/>
          <w:sz w:val="20"/>
          <w:szCs w:val="20"/>
        </w:rPr>
      </w:pPr>
    </w:p>
    <w:p w14:paraId="6F5B7688">
      <w:pPr>
        <w:spacing w:line="300" w:lineRule="exact"/>
        <w:jc w:val="center"/>
        <w:rPr>
          <w:rFonts w:hint="default" w:ascii="Times New Roman" w:hAnsi="Times New Roman" w:cs="Times New Roman"/>
          <w:b/>
          <w:bCs/>
          <w:sz w:val="20"/>
          <w:szCs w:val="20"/>
        </w:rPr>
      </w:pPr>
    </w:p>
    <w:p w14:paraId="6D402998">
      <w:pPr>
        <w:spacing w:line="300" w:lineRule="exact"/>
        <w:jc w:val="center"/>
        <w:rPr>
          <w:rFonts w:hint="default" w:ascii="Times New Roman" w:hAnsi="Times New Roman" w:cs="Times New Roman"/>
          <w:b/>
          <w:bCs/>
          <w:sz w:val="20"/>
          <w:szCs w:val="20"/>
        </w:rPr>
      </w:pPr>
    </w:p>
    <w:p w14:paraId="2F1AA592">
      <w:pPr>
        <w:spacing w:line="300" w:lineRule="exact"/>
        <w:jc w:val="center"/>
        <w:rPr>
          <w:rFonts w:hint="default" w:ascii="Times New Roman" w:hAnsi="Times New Roman" w:cs="Times New Roman"/>
          <w:b/>
          <w:bCs/>
          <w:sz w:val="20"/>
          <w:szCs w:val="20"/>
        </w:rPr>
      </w:pPr>
    </w:p>
    <w:p w14:paraId="30726573">
      <w:pPr>
        <w:spacing w:line="300" w:lineRule="exact"/>
        <w:jc w:val="center"/>
        <w:rPr>
          <w:rFonts w:hint="default" w:ascii="Times New Roman" w:hAnsi="Times New Roman" w:cs="Times New Roman"/>
          <w:b/>
          <w:bCs/>
          <w:sz w:val="20"/>
          <w:szCs w:val="20"/>
        </w:rPr>
      </w:pPr>
    </w:p>
    <w:p w14:paraId="25BBDC07">
      <w:pPr>
        <w:spacing w:line="300" w:lineRule="exact"/>
        <w:jc w:val="center"/>
        <w:rPr>
          <w:rFonts w:hint="default" w:ascii="Times New Roman" w:hAnsi="Times New Roman" w:cs="Times New Roman"/>
          <w:b/>
          <w:bCs/>
          <w:sz w:val="20"/>
          <w:szCs w:val="20"/>
        </w:rPr>
      </w:pPr>
    </w:p>
    <w:p w14:paraId="7C761417">
      <w:pPr>
        <w:spacing w:line="300" w:lineRule="exact"/>
        <w:jc w:val="center"/>
        <w:rPr>
          <w:rFonts w:hint="default" w:ascii="Times New Roman" w:hAnsi="Times New Roman" w:cs="Times New Roman"/>
          <w:b/>
          <w:bCs/>
          <w:sz w:val="20"/>
          <w:szCs w:val="20"/>
        </w:rPr>
      </w:pPr>
    </w:p>
    <w:p w14:paraId="70815EBE">
      <w:pPr>
        <w:spacing w:line="300" w:lineRule="exact"/>
        <w:jc w:val="center"/>
        <w:rPr>
          <w:rFonts w:hint="default" w:ascii="Times New Roman" w:hAnsi="Times New Roman" w:cs="Times New Roman"/>
          <w:b/>
          <w:bCs/>
          <w:sz w:val="20"/>
          <w:szCs w:val="20"/>
        </w:rPr>
      </w:pPr>
    </w:p>
    <w:p w14:paraId="6BD5D515">
      <w:pPr>
        <w:spacing w:line="300" w:lineRule="exact"/>
        <w:jc w:val="center"/>
        <w:rPr>
          <w:rFonts w:hint="default" w:ascii="Times New Roman" w:hAnsi="Times New Roman" w:cs="Times New Roman"/>
          <w:b/>
          <w:bCs/>
          <w:sz w:val="20"/>
          <w:szCs w:val="20"/>
        </w:rPr>
      </w:pPr>
    </w:p>
    <w:p w14:paraId="5FC683E9">
      <w:pPr>
        <w:spacing w:line="300" w:lineRule="exact"/>
        <w:jc w:val="center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cs="Times New Roman"/>
          <w:b/>
          <w:bCs/>
          <w:color w:val="auto"/>
          <w:sz w:val="20"/>
          <w:szCs w:val="20"/>
        </w:rPr>
        <w:t xml:space="preserve">Appendix </w:t>
      </w:r>
      <w:r>
        <w:rPr>
          <w:rFonts w:hint="default" w:ascii="Times New Roman" w:hAnsi="Times New Roman" w:cs="Times New Roman"/>
          <w:b/>
          <w:bCs/>
          <w:color w:val="auto"/>
          <w:sz w:val="20"/>
          <w:szCs w:val="20"/>
          <w:lang w:val="en-US" w:eastAsia="zh-CN"/>
        </w:rPr>
        <w:t>t</w:t>
      </w:r>
      <w:r>
        <w:rPr>
          <w:rFonts w:hint="default" w:ascii="Times New Roman" w:hAnsi="Times New Roman" w:cs="Times New Roman"/>
          <w:b/>
          <w:bCs/>
          <w:color w:val="auto"/>
          <w:sz w:val="20"/>
          <w:szCs w:val="20"/>
        </w:rPr>
        <w:t xml:space="preserve">able </w:t>
      </w:r>
      <w:r>
        <w:rPr>
          <w:rFonts w:hint="eastAsia" w:ascii="Times New Roman" w:hAnsi="Times New Roman" w:cs="Times New Roman"/>
          <w:b/>
          <w:bCs/>
          <w:color w:val="auto"/>
          <w:sz w:val="20"/>
          <w:szCs w:val="20"/>
          <w:lang w:val="en-US" w:eastAsia="zh-CN"/>
        </w:rPr>
        <w:t>3</w:t>
      </w:r>
      <w:r>
        <w:rPr>
          <w:rFonts w:hint="default" w:ascii="Times New Roman" w:hAnsi="Times New Roman" w:cs="Times New Roman"/>
          <w:b/>
          <w:bCs/>
          <w:color w:val="auto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color w:val="auto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Comparison of PCAT-AS scores in all dimensions and total scores between</w:t>
      </w:r>
      <w:r>
        <w:rPr>
          <w:rFonts w:hint="default" w:ascii="Times New Roman" w:hAnsi="Times New Roman" w:cs="Times New Roman"/>
          <w:sz w:val="20"/>
          <w:szCs w:val="20"/>
          <w:lang w:val="en-US" w:eastAsia="zh-CN"/>
        </w:rPr>
        <w:t xml:space="preserve"> patients in </w:t>
      </w:r>
      <w:r>
        <w:rPr>
          <w:rFonts w:hint="default" w:ascii="Times New Roman" w:hAnsi="Times New Roman" w:cs="Times New Roman"/>
          <w:sz w:val="20"/>
          <w:szCs w:val="20"/>
        </w:rPr>
        <w:t>the specialized COPD clinic group</w:t>
      </w:r>
      <w:r>
        <w:rPr>
          <w:rFonts w:hint="default" w:ascii="Times New Roman" w:hAnsi="Times New Roman" w:cs="Times New Roman"/>
          <w:sz w:val="20"/>
          <w:szCs w:val="20"/>
          <w:lang w:val="en-US" w:eastAsia="zh-CN"/>
        </w:rPr>
        <w:t xml:space="preserve"> and </w:t>
      </w:r>
      <w:r>
        <w:rPr>
          <w:rFonts w:hint="default" w:ascii="Times New Roman" w:hAnsi="Times New Roman" w:cs="Times New Roman"/>
          <w:sz w:val="20"/>
          <w:szCs w:val="20"/>
        </w:rPr>
        <w:t>the general outpatient clinic group</w:t>
      </w:r>
    </w:p>
    <w:tbl>
      <w:tblPr>
        <w:tblStyle w:val="4"/>
        <w:tblW w:w="5000" w:type="pct"/>
        <w:tblInd w:w="0" w:type="dxa"/>
        <w:tblBorders>
          <w:top w:val="single" w:color="auto" w:sz="8" w:space="0"/>
          <w:left w:val="none" w:color="auto" w:sz="0" w:space="0"/>
          <w:bottom w:val="single" w:color="auto" w:sz="8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75"/>
        <w:gridCol w:w="2891"/>
        <w:gridCol w:w="2662"/>
        <w:gridCol w:w="994"/>
      </w:tblGrid>
      <w:tr w14:paraId="087030C8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12" w:hRule="atLeast"/>
        </w:trPr>
        <w:tc>
          <w:tcPr>
            <w:tcW w:w="1158" w:type="pct"/>
            <w:vMerge w:val="restart"/>
            <w:tcBorders>
              <w:top w:val="single" w:color="000000" w:themeColor="dark1" w:sz="12" w:space="0"/>
              <w:left w:val="nil"/>
              <w:bottom w:val="single" w:color="000000" w:themeColor="dark1" w:sz="6" w:space="0"/>
              <w:right w:val="nil"/>
              <w:tl2br w:val="nil"/>
              <w:tr2bl w:val="nil"/>
            </w:tcBorders>
            <w:shd w:val="clear" w:color="auto" w:fill="FFFFFF"/>
            <w:noWrap/>
            <w:vAlign w:val="center"/>
          </w:tcPr>
          <w:p w14:paraId="07D11B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kern w:val="2"/>
                <w:sz w:val="20"/>
                <w:szCs w:val="20"/>
                <w:lang w:val="en-US" w:eastAsia="zh-CN" w:bidi="ar-SA"/>
              </w:rPr>
              <w:t>Domain</w:t>
            </w:r>
          </w:p>
        </w:tc>
        <w:tc>
          <w:tcPr>
            <w:tcW w:w="3258" w:type="pct"/>
            <w:gridSpan w:val="2"/>
            <w:tcBorders>
              <w:top w:val="single" w:color="000000" w:themeColor="dark1" w:sz="12" w:space="0"/>
              <w:left w:val="nil"/>
              <w:bottom w:val="single" w:color="000000" w:themeColor="dark1" w:sz="6" w:space="0"/>
              <w:right w:val="nil"/>
              <w:tl2br w:val="nil"/>
              <w:tr2bl w:val="nil"/>
            </w:tcBorders>
            <w:shd w:val="clear" w:color="auto" w:fill="FFFFFF"/>
            <w:noWrap/>
            <w:vAlign w:val="center"/>
          </w:tcPr>
          <w:p w14:paraId="2B68864F">
            <w:pPr>
              <w:spacing w:line="300" w:lineRule="exact"/>
              <w:jc w:val="center"/>
              <w:rPr>
                <w:rFonts w:hint="default" w:ascii="Times New Roman" w:hAnsi="Times New Roman" w:cs="Times New Roman"/>
                <w:b/>
                <w:color w:val="000000" w:themeColor="dark1"/>
                <w:sz w:val="20"/>
                <w:szCs w:val="20"/>
                <w14:textFill>
                  <w14:solidFill>
                    <w14:schemeClr w14:val="dk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color w:val="000000" w:themeColor="dark1"/>
                <w:sz w:val="20"/>
                <w:szCs w:val="20"/>
                <w:lang w:val="en-US" w:eastAsia="zh-CN"/>
                <w14:textFill>
                  <w14:solidFill>
                    <w14:schemeClr w14:val="dk1"/>
                  </w14:solidFill>
                </w14:textFill>
              </w:rPr>
              <w:t>Outpatient category</w:t>
            </w:r>
          </w:p>
        </w:tc>
        <w:tc>
          <w:tcPr>
            <w:tcW w:w="583" w:type="pct"/>
            <w:vMerge w:val="restart"/>
            <w:tcBorders>
              <w:top w:val="single" w:color="000000" w:themeColor="dark1" w:sz="12" w:space="0"/>
              <w:left w:val="nil"/>
              <w:bottom w:val="single" w:color="000000" w:themeColor="dark1" w:sz="6" w:space="0"/>
              <w:right w:val="nil"/>
              <w:tl2br w:val="nil"/>
              <w:tr2bl w:val="nil"/>
            </w:tcBorders>
            <w:shd w:val="clear" w:color="auto" w:fill="FFFFFF"/>
            <w:noWrap/>
            <w:vAlign w:val="center"/>
          </w:tcPr>
          <w:p w14:paraId="15A73481">
            <w:pPr>
              <w:spacing w:line="300" w:lineRule="exact"/>
              <w:jc w:val="left"/>
              <w:rPr>
                <w:rFonts w:hint="default" w:ascii="Times New Roman" w:hAnsi="Times New Roman" w:cs="Times New Roman"/>
                <w:b/>
                <w:color w:val="000000" w:themeColor="dark1"/>
                <w:sz w:val="20"/>
                <w:szCs w:val="20"/>
                <w14:textFill>
                  <w14:solidFill>
                    <w14:schemeClr w14:val="dk1"/>
                  </w14:solidFill>
                </w14:textFill>
              </w:rPr>
            </w:pPr>
            <w:r>
              <w:rPr>
                <w:rFonts w:hint="default" w:ascii="Times New Roman Bold Italic" w:hAnsi="Times New Roman Bold Italic" w:cs="Times New Roman Bold Italic"/>
                <w:b/>
                <w:i/>
                <w:iCs w:val="0"/>
                <w:color w:val="000000" w:themeColor="dark1"/>
                <w:sz w:val="20"/>
                <w:szCs w:val="20"/>
                <w:lang w:val="en-US" w:eastAsia="zh-CN"/>
                <w14:textFill>
                  <w14:solidFill>
                    <w14:schemeClr w14:val="dk1"/>
                  </w14:solidFill>
                </w14:textFill>
              </w:rPr>
              <w:t>P</w:t>
            </w:r>
            <w:r>
              <w:rPr>
                <w:rFonts w:hint="default" w:ascii="Times New Roman Bold Italic" w:hAnsi="Times New Roman Bold Italic" w:cs="Times New Roman Bold Italic"/>
                <w:b/>
                <w:i/>
                <w:color w:val="000000" w:themeColor="dark1"/>
                <w:sz w:val="20"/>
                <w:szCs w:val="20"/>
                <w:lang w:val="en-US" w:eastAsia="zh-CN"/>
                <w14:textFill>
                  <w14:solidFill>
                    <w14:schemeClr w14:val="dk1"/>
                  </w14:solidFill>
                </w14:textFill>
              </w:rPr>
              <w:t xml:space="preserve"> value</w:t>
            </w:r>
          </w:p>
        </w:tc>
      </w:tr>
      <w:tr w14:paraId="726AF7FB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12" w:hRule="atLeast"/>
        </w:trPr>
        <w:tc>
          <w:tcPr>
            <w:tcW w:w="1158" w:type="pct"/>
            <w:vMerge w:val="continue"/>
            <w:tcBorders>
              <w:top w:val="single" w:color="000000" w:themeColor="dark1" w:sz="6" w:space="0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/>
            <w:vAlign w:val="center"/>
          </w:tcPr>
          <w:p w14:paraId="6982AA01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8090C"/>
                <w:sz w:val="20"/>
                <w:szCs w:val="20"/>
                <w:u w:val="none"/>
              </w:rPr>
            </w:pPr>
          </w:p>
        </w:tc>
        <w:tc>
          <w:tcPr>
            <w:tcW w:w="1696" w:type="pct"/>
            <w:tcBorders>
              <w:top w:val="single" w:color="000000" w:themeColor="dark1" w:sz="6" w:space="0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/>
            <w:vAlign w:val="center"/>
          </w:tcPr>
          <w:p w14:paraId="17AD3092">
            <w:pPr>
              <w:spacing w:line="300" w:lineRule="exact"/>
              <w:jc w:val="left"/>
              <w:rPr>
                <w:rFonts w:hint="default" w:ascii="Times New Roman" w:hAnsi="Times New Roman" w:cs="Times New Roman"/>
                <w:color w:val="08090C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8090C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8090C"/>
                <w:sz w:val="20"/>
                <w:szCs w:val="20"/>
                <w:lang w:val="en-US" w:eastAsia="zh-CN"/>
              </w:rPr>
              <w:t>T</w:t>
            </w:r>
            <w:r>
              <w:rPr>
                <w:rFonts w:hint="default" w:ascii="Times New Roman" w:hAnsi="Times New Roman" w:cs="Times New Roman"/>
                <w:color w:val="08090C"/>
                <w:sz w:val="20"/>
                <w:szCs w:val="20"/>
              </w:rPr>
              <w:t>he specialized COPD clinic group</w:t>
            </w:r>
            <w:r>
              <w:rPr>
                <w:rFonts w:hint="eastAsia" w:ascii="Times New Roman" w:hAnsi="Times New Roman" w:cs="Times New Roman"/>
                <w:color w:val="08090C"/>
                <w:sz w:val="20"/>
                <w:szCs w:val="20"/>
                <w:lang w:eastAsia="zh-CN"/>
              </w:rPr>
              <w:t>(</w:t>
            </w:r>
            <w:r>
              <w:rPr>
                <w:rFonts w:hint="default" w:ascii="Times New Roman" w:hAnsi="Times New Roman" w:cs="Times New Roman"/>
                <w:i w:val="0"/>
                <w:iCs/>
                <w:color w:val="08090C"/>
                <w:sz w:val="20"/>
                <w:szCs w:val="20"/>
                <w:lang w:val="en-US" w:eastAsia="zh-CN"/>
              </w:rPr>
              <w:t xml:space="preserve">n </w:t>
            </w:r>
            <w:r>
              <w:rPr>
                <w:rFonts w:hint="default" w:ascii="Times New Roman" w:hAnsi="Times New Roman" w:cs="Times New Roman"/>
                <w:color w:val="08090C"/>
                <w:sz w:val="20"/>
                <w:szCs w:val="20"/>
                <w:lang w:val="en-US" w:eastAsia="zh-CN"/>
              </w:rPr>
              <w:t>= 133</w:t>
            </w:r>
            <w:r>
              <w:rPr>
                <w:rFonts w:hint="eastAsia" w:ascii="Times New Roman" w:hAnsi="Times New Roman" w:cs="Times New Roman"/>
                <w:color w:val="08090C"/>
                <w:sz w:val="20"/>
                <w:szCs w:val="20"/>
                <w:lang w:val="en-US" w:eastAsia="zh-CN"/>
              </w:rPr>
              <w:t>)</w:t>
            </w:r>
          </w:p>
        </w:tc>
        <w:tc>
          <w:tcPr>
            <w:tcW w:w="1561" w:type="pct"/>
            <w:tcBorders>
              <w:top w:val="single" w:color="000000" w:themeColor="dark1" w:sz="6" w:space="0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/>
            <w:vAlign w:val="center"/>
          </w:tcPr>
          <w:p w14:paraId="244EE3CD">
            <w:pPr>
              <w:spacing w:line="300" w:lineRule="exact"/>
              <w:jc w:val="left"/>
              <w:rPr>
                <w:rFonts w:hint="default" w:ascii="Times New Roman" w:hAnsi="Times New Roman" w:cs="Times New Roman"/>
                <w:color w:val="08090C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8090C"/>
                <w:sz w:val="20"/>
                <w:szCs w:val="20"/>
                <w:lang w:val="en-US" w:eastAsia="zh-CN"/>
              </w:rPr>
              <w:t>T</w:t>
            </w:r>
            <w:r>
              <w:rPr>
                <w:rFonts w:hint="default" w:ascii="Times New Roman" w:hAnsi="Times New Roman" w:cs="Times New Roman"/>
                <w:color w:val="08090C"/>
                <w:sz w:val="20"/>
                <w:szCs w:val="20"/>
              </w:rPr>
              <w:t>he general outpatient clinic group</w:t>
            </w:r>
            <w:r>
              <w:rPr>
                <w:rFonts w:hint="eastAsia" w:ascii="Times New Roman" w:hAnsi="Times New Roman" w:cs="Times New Roman"/>
                <w:color w:val="08090C"/>
                <w:sz w:val="20"/>
                <w:szCs w:val="20"/>
                <w:lang w:eastAsia="zh-CN"/>
              </w:rPr>
              <w:t>(</w:t>
            </w:r>
            <w:r>
              <w:rPr>
                <w:rFonts w:hint="default" w:ascii="Times New Roman" w:hAnsi="Times New Roman" w:cs="Times New Roman"/>
                <w:i w:val="0"/>
                <w:iCs/>
                <w:color w:val="08090C"/>
                <w:sz w:val="20"/>
                <w:szCs w:val="20"/>
                <w:lang w:val="en-US" w:eastAsia="zh-CN"/>
              </w:rPr>
              <w:t xml:space="preserve">n </w:t>
            </w:r>
            <w:r>
              <w:rPr>
                <w:rFonts w:hint="default" w:ascii="Times New Roman" w:hAnsi="Times New Roman" w:cs="Times New Roman"/>
                <w:color w:val="08090C"/>
                <w:sz w:val="20"/>
                <w:szCs w:val="20"/>
                <w:lang w:val="en-US" w:eastAsia="zh-CN"/>
              </w:rPr>
              <w:t>= 124</w:t>
            </w:r>
            <w:r>
              <w:rPr>
                <w:rFonts w:hint="eastAsia" w:ascii="Times New Roman" w:hAnsi="Times New Roman" w:cs="Times New Roman"/>
                <w:color w:val="08090C"/>
                <w:sz w:val="20"/>
                <w:szCs w:val="20"/>
                <w:lang w:val="en-US" w:eastAsia="zh-CN"/>
              </w:rPr>
              <w:t>)</w:t>
            </w:r>
          </w:p>
        </w:tc>
        <w:tc>
          <w:tcPr>
            <w:tcW w:w="583" w:type="pct"/>
            <w:vMerge w:val="continue"/>
            <w:tcBorders>
              <w:top w:val="single" w:color="000000" w:themeColor="dark1" w:sz="6" w:space="0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/>
            <w:vAlign w:val="center"/>
          </w:tcPr>
          <w:p w14:paraId="70FE39DF">
            <w:pPr>
              <w:spacing w:line="300" w:lineRule="exact"/>
              <w:jc w:val="left"/>
              <w:rPr>
                <w:rFonts w:hint="default" w:ascii="Times New Roman" w:hAnsi="Times New Roman" w:cs="Times New Roman"/>
                <w:color w:val="08090C"/>
                <w:sz w:val="20"/>
                <w:szCs w:val="20"/>
              </w:rPr>
            </w:pPr>
          </w:p>
        </w:tc>
      </w:tr>
      <w:tr w14:paraId="6222727A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12" w:hRule="atLeast"/>
        </w:trPr>
        <w:tc>
          <w:tcPr>
            <w:tcW w:w="1158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2F2F2"/>
            <w:noWrap/>
            <w:vAlign w:val="center"/>
          </w:tcPr>
          <w:p w14:paraId="29933E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First-contact Utilization</w:t>
            </w:r>
          </w:p>
          <w:p w14:paraId="2BAFD7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HelveticaNeueLTStd-Lt" w:cs="Times New Roman"/>
                <w:color w:val="231F20"/>
                <w:kern w:val="0"/>
                <w:sz w:val="20"/>
                <w:szCs w:val="20"/>
                <w:lang w:val="en-US" w:eastAsia="zh-CN" w:bidi="ar"/>
              </w:rPr>
              <w:t>Mean (SE)</w:t>
            </w:r>
          </w:p>
        </w:tc>
        <w:tc>
          <w:tcPr>
            <w:tcW w:w="1696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2F2F2"/>
            <w:noWrap/>
            <w:vAlign w:val="center"/>
          </w:tcPr>
          <w:p w14:paraId="75339504">
            <w:pPr>
              <w:spacing w:line="300" w:lineRule="exact"/>
              <w:jc w:val="left"/>
              <w:rPr>
                <w:rFonts w:hint="default" w:ascii="Times New Roman" w:hAnsi="Times New Roman" w:cs="Times New Roman"/>
                <w:color w:val="08090C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8090C"/>
                <w:sz w:val="20"/>
                <w:szCs w:val="20"/>
                <w:lang w:val="en-US" w:eastAsia="zh-CN"/>
              </w:rPr>
              <w:t>3.52±0.47</w:t>
            </w:r>
          </w:p>
        </w:tc>
        <w:tc>
          <w:tcPr>
            <w:tcW w:w="1561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2F2F2"/>
            <w:noWrap/>
            <w:vAlign w:val="center"/>
          </w:tcPr>
          <w:p w14:paraId="161A58D8">
            <w:pPr>
              <w:spacing w:line="300" w:lineRule="exact"/>
              <w:jc w:val="left"/>
              <w:rPr>
                <w:rFonts w:hint="default" w:ascii="Times New Roman" w:hAnsi="Times New Roman" w:cs="Times New Roman"/>
                <w:color w:val="08090C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08090C"/>
                <w:sz w:val="20"/>
                <w:szCs w:val="20"/>
                <w:lang w:val="en-US" w:eastAsia="zh-CN"/>
              </w:rPr>
              <w:t>3.36±0.50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2F2F2"/>
            <w:noWrap/>
            <w:vAlign w:val="center"/>
          </w:tcPr>
          <w:p w14:paraId="107F8B35">
            <w:pPr>
              <w:spacing w:line="300" w:lineRule="exact"/>
              <w:jc w:val="left"/>
              <w:rPr>
                <w:rFonts w:hint="default" w:ascii="Times New Roman" w:hAnsi="Times New Roman" w:cs="Times New Roman"/>
                <w:color w:val="08090C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8090C"/>
                <w:sz w:val="20"/>
                <w:szCs w:val="20"/>
                <w:lang w:val="en-US" w:eastAsia="zh-CN"/>
              </w:rPr>
              <w:t>0.007</w:t>
            </w:r>
          </w:p>
        </w:tc>
      </w:tr>
      <w:tr w14:paraId="2C75E6A4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12" w:hRule="atLeast"/>
        </w:trPr>
        <w:tc>
          <w:tcPr>
            <w:tcW w:w="1158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/>
            <w:vAlign w:val="center"/>
          </w:tcPr>
          <w:p w14:paraId="170914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First-contact Accessibility</w:t>
            </w:r>
          </w:p>
          <w:p w14:paraId="2EC4C1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HelveticaNeueLTStd-Lt" w:cs="Times New Roman"/>
                <w:color w:val="231F20"/>
                <w:kern w:val="0"/>
                <w:sz w:val="20"/>
                <w:szCs w:val="20"/>
                <w:lang w:val="en-US" w:eastAsia="zh-CN" w:bidi="ar"/>
              </w:rPr>
              <w:t>Mean (SE)</w:t>
            </w:r>
          </w:p>
        </w:tc>
        <w:tc>
          <w:tcPr>
            <w:tcW w:w="1696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/>
            <w:vAlign w:val="center"/>
          </w:tcPr>
          <w:p w14:paraId="1BDC17AA">
            <w:pPr>
              <w:spacing w:line="300" w:lineRule="exact"/>
              <w:jc w:val="left"/>
              <w:rPr>
                <w:rFonts w:hint="default" w:ascii="Times New Roman" w:hAnsi="Times New Roman" w:cs="Times New Roman"/>
                <w:color w:val="08090C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8090C"/>
                <w:sz w:val="20"/>
                <w:szCs w:val="20"/>
                <w:lang w:val="en-US" w:eastAsia="zh-CN"/>
              </w:rPr>
              <w:t>3.38±0.43</w:t>
            </w:r>
          </w:p>
        </w:tc>
        <w:tc>
          <w:tcPr>
            <w:tcW w:w="1561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/>
            <w:vAlign w:val="center"/>
          </w:tcPr>
          <w:p w14:paraId="3317A972">
            <w:pPr>
              <w:spacing w:line="300" w:lineRule="exact"/>
              <w:jc w:val="left"/>
              <w:rPr>
                <w:rFonts w:hint="default" w:ascii="Times New Roman" w:hAnsi="Times New Roman" w:cs="Times New Roman"/>
                <w:color w:val="08090C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8090C"/>
                <w:sz w:val="20"/>
                <w:szCs w:val="20"/>
                <w:lang w:val="en-US" w:eastAsia="zh-CN"/>
              </w:rPr>
              <w:t>3.24±0.49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/>
            <w:vAlign w:val="center"/>
          </w:tcPr>
          <w:p w14:paraId="526C19E8">
            <w:pPr>
              <w:spacing w:line="300" w:lineRule="exact"/>
              <w:jc w:val="left"/>
              <w:rPr>
                <w:rFonts w:hint="default" w:ascii="Times New Roman" w:hAnsi="Times New Roman" w:cs="Times New Roman"/>
                <w:color w:val="08090C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8090C"/>
                <w:sz w:val="20"/>
                <w:szCs w:val="20"/>
                <w:lang w:val="en-US" w:eastAsia="zh-CN"/>
              </w:rPr>
              <w:t>0.013</w:t>
            </w:r>
          </w:p>
        </w:tc>
      </w:tr>
      <w:tr w14:paraId="30CCFBE7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12" w:hRule="atLeast"/>
        </w:trPr>
        <w:tc>
          <w:tcPr>
            <w:tcW w:w="1158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2F2F2"/>
            <w:noWrap/>
            <w:vAlign w:val="center"/>
          </w:tcPr>
          <w:p w14:paraId="068421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Continuity of Care</w:t>
            </w:r>
          </w:p>
          <w:p w14:paraId="6765BD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HelveticaNeueLTStd-Lt" w:cs="Times New Roman"/>
                <w:color w:val="231F20"/>
                <w:kern w:val="0"/>
                <w:sz w:val="20"/>
                <w:szCs w:val="20"/>
                <w:lang w:val="en-US" w:eastAsia="zh-CN" w:bidi="ar"/>
              </w:rPr>
              <w:t>Mean (SE)</w:t>
            </w:r>
          </w:p>
        </w:tc>
        <w:tc>
          <w:tcPr>
            <w:tcW w:w="1696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2F2F2"/>
            <w:noWrap/>
            <w:vAlign w:val="center"/>
          </w:tcPr>
          <w:p w14:paraId="6AD4614C">
            <w:pPr>
              <w:spacing w:line="300" w:lineRule="exact"/>
              <w:jc w:val="left"/>
              <w:rPr>
                <w:rFonts w:hint="default" w:ascii="Times New Roman" w:hAnsi="Times New Roman" w:cs="Times New Roman"/>
                <w:color w:val="08090C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8090C"/>
                <w:sz w:val="20"/>
                <w:szCs w:val="20"/>
                <w:lang w:val="en-US" w:eastAsia="zh-CN"/>
              </w:rPr>
              <w:t>3.30±0.47</w:t>
            </w:r>
          </w:p>
        </w:tc>
        <w:tc>
          <w:tcPr>
            <w:tcW w:w="1561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2F2F2"/>
            <w:noWrap/>
            <w:vAlign w:val="center"/>
          </w:tcPr>
          <w:p w14:paraId="4F419E8C">
            <w:pPr>
              <w:spacing w:line="300" w:lineRule="exact"/>
              <w:jc w:val="left"/>
              <w:rPr>
                <w:rFonts w:hint="default" w:ascii="Times New Roman" w:hAnsi="Times New Roman" w:cs="Times New Roman"/>
                <w:color w:val="08090C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8090C"/>
                <w:sz w:val="20"/>
                <w:szCs w:val="20"/>
                <w:lang w:val="en-US" w:eastAsia="zh-CN"/>
              </w:rPr>
              <w:t>3.21±0.54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2F2F2"/>
            <w:noWrap/>
            <w:vAlign w:val="center"/>
          </w:tcPr>
          <w:p w14:paraId="440C756D">
            <w:pPr>
              <w:spacing w:line="300" w:lineRule="exact"/>
              <w:jc w:val="left"/>
              <w:rPr>
                <w:rFonts w:hint="default" w:ascii="Times New Roman" w:hAnsi="Times New Roman" w:cs="Times New Roman"/>
                <w:color w:val="08090C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8090C"/>
                <w:sz w:val="20"/>
                <w:szCs w:val="20"/>
                <w:lang w:val="en-US" w:eastAsia="zh-CN"/>
              </w:rPr>
              <w:t>0.181</w:t>
            </w:r>
          </w:p>
        </w:tc>
      </w:tr>
      <w:tr w14:paraId="0E24A291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12" w:hRule="atLeast"/>
        </w:trPr>
        <w:tc>
          <w:tcPr>
            <w:tcW w:w="1158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/>
            <w:vAlign w:val="center"/>
          </w:tcPr>
          <w:p w14:paraId="6438F4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Coordination (Referrals)</w:t>
            </w:r>
          </w:p>
          <w:p w14:paraId="382BCE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HelveticaNeueLTStd-Lt" w:cs="Times New Roman"/>
                <w:color w:val="231F20"/>
                <w:kern w:val="0"/>
                <w:sz w:val="20"/>
                <w:szCs w:val="20"/>
                <w:lang w:val="en-US" w:eastAsia="zh-CN" w:bidi="ar"/>
              </w:rPr>
              <w:t>Mean (SE)</w:t>
            </w:r>
          </w:p>
        </w:tc>
        <w:tc>
          <w:tcPr>
            <w:tcW w:w="1696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/>
            <w:vAlign w:val="center"/>
          </w:tcPr>
          <w:p w14:paraId="7E4DD612">
            <w:pPr>
              <w:spacing w:line="300" w:lineRule="exact"/>
              <w:jc w:val="left"/>
              <w:rPr>
                <w:rFonts w:hint="default" w:ascii="Times New Roman" w:hAnsi="Times New Roman" w:cs="Times New Roman"/>
                <w:color w:val="08090C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8090C"/>
                <w:sz w:val="20"/>
                <w:szCs w:val="20"/>
                <w:lang w:val="en-US" w:eastAsia="zh-CN"/>
              </w:rPr>
              <w:t>2.47±1.64</w:t>
            </w:r>
          </w:p>
        </w:tc>
        <w:tc>
          <w:tcPr>
            <w:tcW w:w="1561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/>
            <w:vAlign w:val="center"/>
          </w:tcPr>
          <w:p w14:paraId="6ADB60FF">
            <w:pPr>
              <w:spacing w:line="300" w:lineRule="exact"/>
              <w:jc w:val="left"/>
              <w:rPr>
                <w:rFonts w:hint="default" w:ascii="Times New Roman" w:hAnsi="Times New Roman" w:cs="Times New Roman"/>
                <w:color w:val="08090C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8090C"/>
                <w:sz w:val="20"/>
                <w:szCs w:val="20"/>
                <w:lang w:val="en-US" w:eastAsia="zh-CN"/>
              </w:rPr>
              <w:t>2.39±1.62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/>
            <w:vAlign w:val="center"/>
          </w:tcPr>
          <w:p w14:paraId="75515A1B">
            <w:pPr>
              <w:spacing w:line="300" w:lineRule="exact"/>
              <w:jc w:val="left"/>
              <w:rPr>
                <w:rFonts w:hint="default" w:ascii="Times New Roman" w:hAnsi="Times New Roman" w:cs="Times New Roman"/>
                <w:color w:val="08090C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8090C"/>
                <w:sz w:val="20"/>
                <w:szCs w:val="20"/>
                <w:lang w:val="en-US" w:eastAsia="zh-CN"/>
              </w:rPr>
              <w:t>0.705</w:t>
            </w:r>
          </w:p>
        </w:tc>
      </w:tr>
      <w:tr w14:paraId="6FD46D78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24" w:hRule="atLeast"/>
        </w:trPr>
        <w:tc>
          <w:tcPr>
            <w:tcW w:w="1158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2F2F2"/>
            <w:noWrap/>
            <w:vAlign w:val="center"/>
          </w:tcPr>
          <w:p w14:paraId="2F9DE1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Coordination (Information Systems)</w:t>
            </w:r>
          </w:p>
          <w:p w14:paraId="1F67D0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HelveticaNeueLTStd-Lt" w:cs="Times New Roman"/>
                <w:color w:val="231F20"/>
                <w:kern w:val="0"/>
                <w:sz w:val="20"/>
                <w:szCs w:val="20"/>
                <w:lang w:val="en-US" w:eastAsia="zh-CN" w:bidi="ar"/>
              </w:rPr>
              <w:t>Mean (SE)</w:t>
            </w:r>
          </w:p>
        </w:tc>
        <w:tc>
          <w:tcPr>
            <w:tcW w:w="1696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2F2F2"/>
            <w:noWrap/>
            <w:vAlign w:val="center"/>
          </w:tcPr>
          <w:p w14:paraId="7CB9CC59">
            <w:pPr>
              <w:spacing w:line="300" w:lineRule="exact"/>
              <w:jc w:val="left"/>
              <w:rPr>
                <w:rFonts w:hint="default" w:ascii="Times New Roman" w:hAnsi="Times New Roman" w:cs="Times New Roman"/>
                <w:color w:val="08090C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8090C"/>
                <w:sz w:val="20"/>
                <w:szCs w:val="20"/>
                <w:lang w:val="en-US" w:eastAsia="zh-CN"/>
              </w:rPr>
              <w:t>3.40±0.49</w:t>
            </w:r>
          </w:p>
        </w:tc>
        <w:tc>
          <w:tcPr>
            <w:tcW w:w="1561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2F2F2"/>
            <w:noWrap/>
            <w:vAlign w:val="center"/>
          </w:tcPr>
          <w:p w14:paraId="12FE3E39">
            <w:pPr>
              <w:spacing w:line="300" w:lineRule="exact"/>
              <w:jc w:val="left"/>
              <w:rPr>
                <w:rFonts w:hint="default" w:ascii="Times New Roman" w:hAnsi="Times New Roman" w:cs="Times New Roman"/>
                <w:color w:val="08090C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8090C"/>
                <w:sz w:val="20"/>
                <w:szCs w:val="20"/>
                <w:lang w:val="en-US" w:eastAsia="zh-CN"/>
              </w:rPr>
              <w:t>3.32±0.46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2F2F2"/>
            <w:noWrap/>
            <w:vAlign w:val="center"/>
          </w:tcPr>
          <w:p w14:paraId="017ABA67">
            <w:pPr>
              <w:spacing w:line="300" w:lineRule="exact"/>
              <w:jc w:val="left"/>
              <w:rPr>
                <w:rFonts w:hint="default" w:ascii="Times New Roman" w:hAnsi="Times New Roman" w:cs="Times New Roman"/>
                <w:color w:val="08090C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8090C"/>
                <w:sz w:val="20"/>
                <w:szCs w:val="20"/>
                <w:lang w:val="en-US" w:eastAsia="zh-CN"/>
              </w:rPr>
              <w:t>0.188</w:t>
            </w:r>
          </w:p>
        </w:tc>
      </w:tr>
      <w:tr w14:paraId="11A43E92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12" w:hRule="atLeast"/>
        </w:trPr>
        <w:tc>
          <w:tcPr>
            <w:tcW w:w="1158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/>
            <w:vAlign w:val="center"/>
          </w:tcPr>
          <w:p w14:paraId="286169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Comprehensiveness (Available Services)</w:t>
            </w:r>
          </w:p>
          <w:p w14:paraId="5AD9F2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HelveticaNeueLTStd-Lt" w:cs="Times New Roman"/>
                <w:color w:val="231F20"/>
                <w:kern w:val="0"/>
                <w:sz w:val="20"/>
                <w:szCs w:val="20"/>
                <w:lang w:val="en-US" w:eastAsia="zh-CN" w:bidi="ar"/>
              </w:rPr>
              <w:t>Mean (SE)</w:t>
            </w:r>
          </w:p>
        </w:tc>
        <w:tc>
          <w:tcPr>
            <w:tcW w:w="1696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/>
            <w:vAlign w:val="center"/>
          </w:tcPr>
          <w:p w14:paraId="588AAB31">
            <w:pPr>
              <w:spacing w:line="300" w:lineRule="exact"/>
              <w:jc w:val="left"/>
              <w:rPr>
                <w:rFonts w:hint="default" w:ascii="Times New Roman" w:hAnsi="Times New Roman" w:cs="Times New Roman"/>
                <w:color w:val="08090C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8090C"/>
                <w:sz w:val="20"/>
                <w:szCs w:val="20"/>
                <w:lang w:val="en-US" w:eastAsia="zh-CN"/>
              </w:rPr>
              <w:t>3.38±0.57</w:t>
            </w:r>
          </w:p>
        </w:tc>
        <w:tc>
          <w:tcPr>
            <w:tcW w:w="1561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/>
            <w:vAlign w:val="center"/>
          </w:tcPr>
          <w:p w14:paraId="1DCF8716">
            <w:pPr>
              <w:spacing w:line="300" w:lineRule="exact"/>
              <w:jc w:val="left"/>
              <w:rPr>
                <w:rFonts w:hint="default" w:ascii="Times New Roman" w:hAnsi="Times New Roman" w:cs="Times New Roman"/>
                <w:color w:val="08090C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8090C"/>
                <w:sz w:val="20"/>
                <w:szCs w:val="20"/>
                <w:lang w:val="en-US" w:eastAsia="zh-CN"/>
              </w:rPr>
              <w:t>3.24±0.48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/>
            <w:vAlign w:val="center"/>
          </w:tcPr>
          <w:p w14:paraId="1F1E3F59">
            <w:pPr>
              <w:spacing w:line="300" w:lineRule="exact"/>
              <w:jc w:val="left"/>
              <w:rPr>
                <w:rFonts w:hint="default" w:ascii="Times New Roman" w:hAnsi="Times New Roman" w:cs="Times New Roman"/>
                <w:color w:val="08090C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8090C"/>
                <w:sz w:val="20"/>
                <w:szCs w:val="20"/>
                <w:lang w:val="en-US" w:eastAsia="zh-CN"/>
              </w:rPr>
              <w:t>0.03</w:t>
            </w:r>
          </w:p>
        </w:tc>
      </w:tr>
      <w:tr w14:paraId="4C4873F0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12" w:hRule="atLeast"/>
        </w:trPr>
        <w:tc>
          <w:tcPr>
            <w:tcW w:w="1158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2F2F2"/>
            <w:noWrap/>
            <w:vAlign w:val="center"/>
          </w:tcPr>
          <w:p w14:paraId="43AF30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Comprehensiveness (Service Delivery)</w:t>
            </w:r>
          </w:p>
          <w:p w14:paraId="5F1AF7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HelveticaNeueLTStd-Lt" w:cs="Times New Roman"/>
                <w:color w:val="231F20"/>
                <w:kern w:val="0"/>
                <w:sz w:val="20"/>
                <w:szCs w:val="20"/>
                <w:lang w:val="en-US" w:eastAsia="zh-CN" w:bidi="ar"/>
              </w:rPr>
              <w:t>Mean (SE)</w:t>
            </w:r>
          </w:p>
        </w:tc>
        <w:tc>
          <w:tcPr>
            <w:tcW w:w="1696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2F2F2"/>
            <w:noWrap/>
            <w:vAlign w:val="center"/>
          </w:tcPr>
          <w:p w14:paraId="5E97F12A">
            <w:pPr>
              <w:spacing w:line="300" w:lineRule="exact"/>
              <w:jc w:val="left"/>
              <w:rPr>
                <w:rFonts w:hint="default" w:ascii="Times New Roman" w:hAnsi="Times New Roman" w:cs="Times New Roman"/>
                <w:color w:val="08090C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8090C"/>
                <w:sz w:val="20"/>
                <w:szCs w:val="20"/>
                <w:lang w:val="en-US" w:eastAsia="zh-CN"/>
              </w:rPr>
              <w:t>3.52±0.47</w:t>
            </w:r>
          </w:p>
        </w:tc>
        <w:tc>
          <w:tcPr>
            <w:tcW w:w="1561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2F2F2"/>
            <w:noWrap/>
            <w:vAlign w:val="center"/>
          </w:tcPr>
          <w:p w14:paraId="48E4D87D">
            <w:pPr>
              <w:spacing w:line="300" w:lineRule="exact"/>
              <w:jc w:val="left"/>
              <w:rPr>
                <w:rFonts w:hint="default" w:ascii="Times New Roman" w:hAnsi="Times New Roman" w:cs="Times New Roman"/>
                <w:color w:val="08090C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8090C"/>
                <w:sz w:val="20"/>
                <w:szCs w:val="20"/>
                <w:lang w:val="en-US" w:eastAsia="zh-CN"/>
              </w:rPr>
              <w:t>3.29±0.49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2F2F2"/>
            <w:noWrap/>
            <w:vAlign w:val="center"/>
          </w:tcPr>
          <w:p w14:paraId="1E8F9AF9">
            <w:pPr>
              <w:spacing w:line="300" w:lineRule="exact"/>
              <w:jc w:val="left"/>
              <w:rPr>
                <w:rFonts w:hint="default" w:ascii="Times New Roman" w:hAnsi="Times New Roman" w:cs="Times New Roman"/>
                <w:color w:val="08090C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8090C"/>
                <w:sz w:val="20"/>
                <w:szCs w:val="20"/>
                <w:lang w:val="en-US" w:eastAsia="zh-CN"/>
              </w:rPr>
              <w:t>＜0.001</w:t>
            </w:r>
          </w:p>
        </w:tc>
      </w:tr>
      <w:tr w14:paraId="3F799312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12" w:hRule="atLeast"/>
        </w:trPr>
        <w:tc>
          <w:tcPr>
            <w:tcW w:w="1158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/>
            <w:vAlign w:val="center"/>
          </w:tcPr>
          <w:p w14:paraId="447960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Family-centredness</w:t>
            </w:r>
          </w:p>
          <w:p w14:paraId="005747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HelveticaNeueLTStd-Lt" w:cs="Times New Roman"/>
                <w:color w:val="231F20"/>
                <w:kern w:val="0"/>
                <w:sz w:val="20"/>
                <w:szCs w:val="20"/>
                <w:lang w:val="en-US" w:eastAsia="zh-CN" w:bidi="ar"/>
              </w:rPr>
              <w:t>Mean (SE)</w:t>
            </w:r>
          </w:p>
        </w:tc>
        <w:tc>
          <w:tcPr>
            <w:tcW w:w="1696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/>
            <w:vAlign w:val="center"/>
          </w:tcPr>
          <w:p w14:paraId="0FD38878">
            <w:pPr>
              <w:spacing w:line="300" w:lineRule="exact"/>
              <w:jc w:val="left"/>
              <w:rPr>
                <w:rFonts w:hint="default" w:ascii="Times New Roman" w:hAnsi="Times New Roman" w:cs="Times New Roman"/>
                <w:color w:val="08090C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8090C"/>
                <w:sz w:val="20"/>
                <w:szCs w:val="20"/>
                <w:lang w:val="en-US" w:eastAsia="zh-CN"/>
              </w:rPr>
              <w:t>3.41±0.49</w:t>
            </w:r>
          </w:p>
        </w:tc>
        <w:tc>
          <w:tcPr>
            <w:tcW w:w="1561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/>
            <w:vAlign w:val="center"/>
          </w:tcPr>
          <w:p w14:paraId="229380E4">
            <w:pPr>
              <w:spacing w:line="300" w:lineRule="exact"/>
              <w:jc w:val="left"/>
              <w:rPr>
                <w:rFonts w:hint="default" w:ascii="Times New Roman" w:hAnsi="Times New Roman" w:cs="Times New Roman"/>
                <w:color w:val="08090C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8090C"/>
                <w:sz w:val="20"/>
                <w:szCs w:val="20"/>
                <w:lang w:val="en-US" w:eastAsia="zh-CN"/>
              </w:rPr>
              <w:t>3.27±0.49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/>
            <w:vAlign w:val="center"/>
          </w:tcPr>
          <w:p w14:paraId="37010BF8">
            <w:pPr>
              <w:spacing w:line="300" w:lineRule="exact"/>
              <w:jc w:val="left"/>
              <w:rPr>
                <w:rFonts w:hint="default" w:ascii="Times New Roman" w:hAnsi="Times New Roman" w:cs="Times New Roman"/>
                <w:color w:val="08090C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8090C"/>
                <w:sz w:val="20"/>
                <w:szCs w:val="20"/>
                <w:lang w:val="en-US" w:eastAsia="zh-CN"/>
              </w:rPr>
              <w:t>0.03</w:t>
            </w:r>
          </w:p>
        </w:tc>
      </w:tr>
      <w:tr w14:paraId="352F2AB2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12" w:hRule="atLeast"/>
        </w:trPr>
        <w:tc>
          <w:tcPr>
            <w:tcW w:w="1158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2F2F2"/>
            <w:noWrap/>
            <w:vAlign w:val="center"/>
          </w:tcPr>
          <w:p w14:paraId="494A6A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Community Orientation</w:t>
            </w:r>
          </w:p>
          <w:p w14:paraId="641398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HelveticaNeueLTStd-Lt" w:cs="Times New Roman"/>
                <w:color w:val="231F20"/>
                <w:kern w:val="0"/>
                <w:sz w:val="20"/>
                <w:szCs w:val="20"/>
                <w:lang w:val="en-US" w:eastAsia="zh-CN" w:bidi="ar"/>
              </w:rPr>
              <w:t>Mean (SE)</w:t>
            </w:r>
          </w:p>
        </w:tc>
        <w:tc>
          <w:tcPr>
            <w:tcW w:w="1696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2F2F2"/>
            <w:noWrap/>
            <w:vAlign w:val="center"/>
          </w:tcPr>
          <w:p w14:paraId="7BE5C6C2">
            <w:pPr>
              <w:spacing w:line="300" w:lineRule="exact"/>
              <w:jc w:val="left"/>
              <w:rPr>
                <w:rFonts w:hint="default" w:ascii="Times New Roman" w:hAnsi="Times New Roman" w:cs="Times New Roman"/>
                <w:color w:val="08090C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8090C"/>
                <w:sz w:val="20"/>
                <w:szCs w:val="20"/>
                <w:lang w:val="en-US" w:eastAsia="zh-CN"/>
              </w:rPr>
              <w:t>3.28±0.58</w:t>
            </w:r>
          </w:p>
        </w:tc>
        <w:tc>
          <w:tcPr>
            <w:tcW w:w="1561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2F2F2"/>
            <w:noWrap/>
            <w:vAlign w:val="center"/>
          </w:tcPr>
          <w:p w14:paraId="2CFC0CCA">
            <w:pPr>
              <w:spacing w:line="300" w:lineRule="exact"/>
              <w:jc w:val="left"/>
              <w:rPr>
                <w:rFonts w:hint="default" w:ascii="Times New Roman" w:hAnsi="Times New Roman" w:cs="Times New Roman"/>
                <w:color w:val="08090C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8090C"/>
                <w:sz w:val="20"/>
                <w:szCs w:val="20"/>
                <w:lang w:val="en-US" w:eastAsia="zh-CN"/>
              </w:rPr>
              <w:t>3.24±0.51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2F2F2"/>
            <w:noWrap/>
            <w:vAlign w:val="center"/>
          </w:tcPr>
          <w:p w14:paraId="013D65DB">
            <w:pPr>
              <w:spacing w:line="300" w:lineRule="exact"/>
              <w:jc w:val="left"/>
              <w:rPr>
                <w:rFonts w:hint="default" w:ascii="Times New Roman" w:hAnsi="Times New Roman" w:cs="Times New Roman"/>
                <w:color w:val="08090C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8090C"/>
                <w:sz w:val="20"/>
                <w:szCs w:val="20"/>
                <w:lang w:val="en-US" w:eastAsia="zh-CN"/>
              </w:rPr>
              <w:t>0.53</w:t>
            </w:r>
          </w:p>
        </w:tc>
      </w:tr>
      <w:tr w14:paraId="64F66942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12" w:hRule="atLeast"/>
        </w:trPr>
        <w:tc>
          <w:tcPr>
            <w:tcW w:w="1158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/>
            <w:vAlign w:val="center"/>
          </w:tcPr>
          <w:p w14:paraId="403648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Cultural competence</w:t>
            </w:r>
          </w:p>
          <w:p w14:paraId="454E2D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HelveticaNeueLTStd-Lt" w:cs="Times New Roman"/>
                <w:color w:val="231F20"/>
                <w:kern w:val="0"/>
                <w:sz w:val="20"/>
                <w:szCs w:val="20"/>
                <w:lang w:val="en-US" w:eastAsia="zh-CN" w:bidi="ar"/>
              </w:rPr>
              <w:t>Mean (SE)</w:t>
            </w:r>
          </w:p>
        </w:tc>
        <w:tc>
          <w:tcPr>
            <w:tcW w:w="1696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/>
            <w:vAlign w:val="center"/>
          </w:tcPr>
          <w:p w14:paraId="396056E5">
            <w:pPr>
              <w:spacing w:line="300" w:lineRule="exact"/>
              <w:jc w:val="left"/>
              <w:rPr>
                <w:rFonts w:hint="default" w:ascii="Times New Roman" w:hAnsi="Times New Roman" w:cs="Times New Roman"/>
                <w:color w:val="08090C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8090C"/>
                <w:sz w:val="20"/>
                <w:szCs w:val="20"/>
                <w:lang w:val="en-US" w:eastAsia="zh-CN"/>
              </w:rPr>
              <w:t>3.40±0.51</w:t>
            </w:r>
          </w:p>
        </w:tc>
        <w:tc>
          <w:tcPr>
            <w:tcW w:w="1561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/>
            <w:vAlign w:val="center"/>
          </w:tcPr>
          <w:p w14:paraId="1E32D74B">
            <w:pPr>
              <w:spacing w:line="300" w:lineRule="exact"/>
              <w:jc w:val="left"/>
              <w:rPr>
                <w:rFonts w:hint="default" w:ascii="Times New Roman" w:hAnsi="Times New Roman" w:cs="Times New Roman"/>
                <w:color w:val="08090C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8090C"/>
                <w:sz w:val="20"/>
                <w:szCs w:val="20"/>
                <w:lang w:val="en-US" w:eastAsia="zh-CN"/>
              </w:rPr>
              <w:t>3.32±0.47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/>
            <w:vAlign w:val="center"/>
          </w:tcPr>
          <w:p w14:paraId="6DC62D5A">
            <w:pPr>
              <w:spacing w:line="300" w:lineRule="exact"/>
              <w:jc w:val="left"/>
              <w:rPr>
                <w:rFonts w:hint="default" w:ascii="Times New Roman" w:hAnsi="Times New Roman" w:cs="Times New Roman"/>
                <w:color w:val="08090C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8090C"/>
                <w:sz w:val="20"/>
                <w:szCs w:val="20"/>
                <w:lang w:val="en-US" w:eastAsia="zh-CN"/>
              </w:rPr>
              <w:t>0.196</w:t>
            </w:r>
          </w:p>
        </w:tc>
      </w:tr>
      <w:tr w14:paraId="14406F63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12" w:hRule="atLeast"/>
        </w:trPr>
        <w:tc>
          <w:tcPr>
            <w:tcW w:w="1158" w:type="pct"/>
            <w:tcBorders>
              <w:top w:val="nil"/>
              <w:left w:val="nil"/>
              <w:bottom w:val="single" w:color="000000" w:themeColor="dark1" w:sz="12" w:space="0"/>
              <w:right w:val="nil"/>
              <w:tl2br w:val="nil"/>
              <w:tr2bl w:val="nil"/>
            </w:tcBorders>
            <w:shd w:val="clear" w:color="auto" w:fill="F2F2F2"/>
            <w:noWrap/>
            <w:vAlign w:val="center"/>
          </w:tcPr>
          <w:p w14:paraId="7EB6B198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HelveticaNeueLTStd-Lt" w:cs="Times New Roman"/>
                <w:color w:val="08090C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HelveticaNeueLTStd-Lt" w:cs="Times New Roman"/>
                <w:color w:val="08090C"/>
                <w:kern w:val="0"/>
                <w:sz w:val="20"/>
                <w:szCs w:val="20"/>
                <w:lang w:val="en-US" w:eastAsia="zh-CN" w:bidi="ar"/>
              </w:rPr>
              <w:t>Total</w:t>
            </w:r>
          </w:p>
          <w:p w14:paraId="17385C1D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HelveticaNeueLTStd-Lt" w:cs="Times New Roman"/>
                <w:color w:val="08090C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HelveticaNeueLTStd-Lt" w:cs="Times New Roman"/>
                <w:color w:val="08090C"/>
                <w:kern w:val="0"/>
                <w:sz w:val="20"/>
                <w:szCs w:val="20"/>
                <w:lang w:val="en-US" w:eastAsia="zh-CN" w:bidi="ar"/>
              </w:rPr>
              <w:t>Mean (SE)</w:t>
            </w:r>
          </w:p>
        </w:tc>
        <w:tc>
          <w:tcPr>
            <w:tcW w:w="1696" w:type="pct"/>
            <w:tcBorders>
              <w:top w:val="nil"/>
              <w:left w:val="nil"/>
              <w:bottom w:val="single" w:color="000000" w:themeColor="dark1" w:sz="12" w:space="0"/>
              <w:right w:val="nil"/>
              <w:tl2br w:val="nil"/>
              <w:tr2bl w:val="nil"/>
            </w:tcBorders>
            <w:shd w:val="clear" w:color="auto" w:fill="F2F2F2"/>
            <w:noWrap/>
            <w:vAlign w:val="center"/>
          </w:tcPr>
          <w:p w14:paraId="73FFDF03">
            <w:pPr>
              <w:spacing w:line="300" w:lineRule="exact"/>
              <w:jc w:val="left"/>
              <w:rPr>
                <w:rFonts w:hint="default" w:ascii="Times New Roman" w:hAnsi="Times New Roman" w:cs="Times New Roman"/>
                <w:color w:val="08090C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8090C"/>
                <w:sz w:val="20"/>
                <w:szCs w:val="20"/>
                <w:lang w:val="en-US" w:eastAsia="zh-CN"/>
              </w:rPr>
              <w:t>33.07±4.23</w:t>
            </w:r>
          </w:p>
        </w:tc>
        <w:tc>
          <w:tcPr>
            <w:tcW w:w="1561" w:type="pct"/>
            <w:tcBorders>
              <w:top w:val="nil"/>
              <w:left w:val="nil"/>
              <w:bottom w:val="single" w:color="000000" w:themeColor="dark1" w:sz="12" w:space="0"/>
              <w:right w:val="nil"/>
              <w:tl2br w:val="nil"/>
              <w:tr2bl w:val="nil"/>
            </w:tcBorders>
            <w:shd w:val="clear" w:color="auto" w:fill="F2F2F2"/>
            <w:noWrap/>
            <w:vAlign w:val="center"/>
          </w:tcPr>
          <w:p w14:paraId="6DA3C472">
            <w:pPr>
              <w:spacing w:line="300" w:lineRule="exact"/>
              <w:jc w:val="left"/>
              <w:rPr>
                <w:rFonts w:hint="default" w:ascii="Times New Roman" w:hAnsi="Times New Roman" w:cs="Times New Roman"/>
                <w:color w:val="08090C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8090C"/>
                <w:sz w:val="20"/>
                <w:szCs w:val="20"/>
                <w:lang w:val="en-US" w:eastAsia="zh-CN"/>
              </w:rPr>
              <w:t>31.89±3.82</w:t>
            </w:r>
          </w:p>
        </w:tc>
        <w:tc>
          <w:tcPr>
            <w:tcW w:w="583" w:type="pct"/>
            <w:tcBorders>
              <w:top w:val="nil"/>
              <w:left w:val="nil"/>
              <w:bottom w:val="single" w:color="000000" w:themeColor="dark1" w:sz="12" w:space="0"/>
              <w:right w:val="nil"/>
              <w:tl2br w:val="nil"/>
              <w:tr2bl w:val="nil"/>
            </w:tcBorders>
            <w:shd w:val="clear" w:color="auto" w:fill="F2F2F2"/>
            <w:noWrap/>
            <w:vAlign w:val="center"/>
          </w:tcPr>
          <w:p w14:paraId="07361ED7">
            <w:pPr>
              <w:spacing w:line="300" w:lineRule="exact"/>
              <w:jc w:val="left"/>
              <w:rPr>
                <w:rFonts w:hint="default" w:ascii="Times New Roman" w:hAnsi="Times New Roman" w:cs="Times New Roman"/>
                <w:color w:val="08090C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8090C"/>
                <w:sz w:val="20"/>
                <w:szCs w:val="20"/>
                <w:lang w:val="en-US" w:eastAsia="zh-CN"/>
              </w:rPr>
              <w:t>0.02</w:t>
            </w:r>
          </w:p>
        </w:tc>
      </w:tr>
    </w:tbl>
    <w:p w14:paraId="4A1C5FAE">
      <w:pPr>
        <w:rPr>
          <w:rFonts w:hint="default" w:ascii="Times New Roman" w:hAnsi="Times New Roman" w:cs="Times New Roman"/>
          <w:sz w:val="20"/>
          <w:szCs w:val="20"/>
        </w:rPr>
      </w:pP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HelveticaNeueLTStd-Lt">
    <w:altName w:val="苹方-简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Times New Roman Bold Italic">
    <w:panose1 w:val="02020503050405090304"/>
    <w:charset w:val="00"/>
    <w:family w:val="auto"/>
    <w:pitch w:val="default"/>
    <w:sig w:usb0="E0000AFF" w:usb1="00007843" w:usb2="00000001" w:usb3="00000000" w:csb0="400001BF" w:csb1="DFF7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6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A85BF7"/>
    <w:rsid w:val="04AD2804"/>
    <w:rsid w:val="08647FD7"/>
    <w:rsid w:val="12891287"/>
    <w:rsid w:val="14E10A34"/>
    <w:rsid w:val="16166F8C"/>
    <w:rsid w:val="1821293C"/>
    <w:rsid w:val="1F596C09"/>
    <w:rsid w:val="2E811B98"/>
    <w:rsid w:val="37BF76A0"/>
    <w:rsid w:val="38CA7D80"/>
    <w:rsid w:val="3AFD268F"/>
    <w:rsid w:val="3B255741"/>
    <w:rsid w:val="3E6C05EC"/>
    <w:rsid w:val="3F6C3CFB"/>
    <w:rsid w:val="3FA72BC9"/>
    <w:rsid w:val="43F5509D"/>
    <w:rsid w:val="46827A53"/>
    <w:rsid w:val="480A5C28"/>
    <w:rsid w:val="4C685530"/>
    <w:rsid w:val="4ED20258"/>
    <w:rsid w:val="510A745C"/>
    <w:rsid w:val="51E035D3"/>
    <w:rsid w:val="557F43FC"/>
    <w:rsid w:val="562603E0"/>
    <w:rsid w:val="5E7751F7"/>
    <w:rsid w:val="63410BA7"/>
    <w:rsid w:val="66E44DF7"/>
    <w:rsid w:val="698E432E"/>
    <w:rsid w:val="736E0062"/>
    <w:rsid w:val="786306EA"/>
    <w:rsid w:val="7A1EE452"/>
    <w:rsid w:val="7AFBC4E7"/>
    <w:rsid w:val="7B626C55"/>
    <w:rsid w:val="7BEA714E"/>
    <w:rsid w:val="BFBDA0F7"/>
    <w:rsid w:val="EF7E67BA"/>
    <w:rsid w:val="F9C7D23D"/>
    <w:rsid w:val="FEF7AEFB"/>
    <w:rsid w:val="FFFAB83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styleId="3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405</Words>
  <Characters>2638</Characters>
  <Lines>0</Lines>
  <Paragraphs>0</Paragraphs>
  <TotalTime>3</TotalTime>
  <ScaleCrop>false</ScaleCrop>
  <LinksUpToDate>false</LinksUpToDate>
  <CharactersWithSpaces>2821</CharactersWithSpaces>
  <Application>WPS Office_12.1.23540.23540_F1E327BC-269C-435d-A152-05C5408002CA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2025-10-28T14:20:00Z</dcterms:created>
  <dc:creator>PC</dc:creator>
  <cp:lastModifiedBy>Doctor Yang</cp:lastModifiedBy>
  <dcterms:modified xsi:type="dcterms:W3CDTF">2025-11-14T19:03:48Z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2052-12.1.23540.23540</vt:lpwstr>
  </property>
  <property fmtid="{D5CDD505-2E9C-101B-9397-08002B2CF9AE}" pid="3" name="KSOTemplateDocerSaveRecord">
    <vt:lpwstr>eyJoZGlkIjoiYTg0OWE3YzMyNWY2MDNmYzVhMzViNDA4Njk0ZTNiNGQiLCJ1c2VySWQiOiIzNTE4MzY0NjUifQ==</vt:lpwstr>
  </property>
  <property fmtid="{D5CDD505-2E9C-101B-9397-08002B2CF9AE}" pid="4" name="ICV">
    <vt:lpwstr>DAC3CCAFA8B6D9F254B21569EDF6C5F8_43</vt:lpwstr>
  </property>
</Properties>
</file>