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0BC9" w:rsidRPr="000622D6" w:rsidRDefault="00AD0BC9" w:rsidP="00AD0BC9">
      <w:pPr>
        <w:spacing w:line="480" w:lineRule="auto"/>
        <w:ind w:right="840"/>
        <w:rPr>
          <w:rFonts w:ascii="Times New Roman" w:hAnsi="Times New Roman" w:cs="Times New Roman"/>
          <w:sz w:val="24"/>
          <w:szCs w:val="28"/>
        </w:rPr>
      </w:pPr>
      <w:r w:rsidRPr="000622D6">
        <w:rPr>
          <w:rFonts w:ascii="Times New Roman" w:hAnsi="Times New Roman" w:cs="Times New Roman"/>
          <w:b/>
          <w:bCs/>
          <w:sz w:val="24"/>
          <w:szCs w:val="28"/>
        </w:rPr>
        <w:t>Supplementary table 1.</w:t>
      </w:r>
      <w:r w:rsidRPr="000622D6">
        <w:rPr>
          <w:rFonts w:ascii="Times New Roman" w:hAnsi="Times New Roman" w:cs="Times New Roman"/>
          <w:sz w:val="24"/>
          <w:szCs w:val="28"/>
        </w:rPr>
        <w:t xml:space="preserve"> Correlations between ZNF334 expression and clinical characteristics in HCC patients (n = </w:t>
      </w:r>
      <w:r w:rsidRPr="000622D6">
        <w:rPr>
          <w:rFonts w:ascii="Times New Roman" w:hAnsi="Times New Roman" w:cs="Times New Roman" w:hint="eastAsia"/>
          <w:sz w:val="24"/>
          <w:szCs w:val="28"/>
        </w:rPr>
        <w:t>213</w:t>
      </w:r>
      <w:r w:rsidRPr="000622D6">
        <w:rPr>
          <w:rFonts w:ascii="Times New Roman" w:hAnsi="Times New Roman" w:cs="Times New Roman"/>
          <w:sz w:val="24"/>
          <w:szCs w:val="28"/>
        </w:rPr>
        <w:t>)</w:t>
      </w:r>
    </w:p>
    <w:tbl>
      <w:tblPr>
        <w:tblStyle w:val="Table"/>
        <w:tblW w:w="9356" w:type="dxa"/>
        <w:jc w:val="center"/>
        <w:tblLayout w:type="fixed"/>
        <w:tblLook w:val="0420" w:firstRow="1" w:lastRow="0" w:firstColumn="0" w:lastColumn="0" w:noHBand="0" w:noVBand="1"/>
      </w:tblPr>
      <w:tblGrid>
        <w:gridCol w:w="2694"/>
        <w:gridCol w:w="1418"/>
        <w:gridCol w:w="2126"/>
        <w:gridCol w:w="2126"/>
        <w:gridCol w:w="992"/>
      </w:tblGrid>
      <w:tr w:rsidR="00AD0BC9" w:rsidRPr="001A691B" w:rsidTr="00520E78">
        <w:trPr>
          <w:cantSplit/>
          <w:tblHeader/>
          <w:jc w:val="center"/>
        </w:trPr>
        <w:tc>
          <w:tcPr>
            <w:tcW w:w="2694" w:type="dxa"/>
            <w:vMerge w:val="restart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SimSun" w:hAnsi="Times New Roman" w:cs="Times New Roman"/>
                <w:b/>
                <w:bCs/>
              </w:rPr>
              <w:t>Characteristics</w:t>
            </w:r>
          </w:p>
        </w:tc>
        <w:tc>
          <w:tcPr>
            <w:tcW w:w="1418" w:type="dxa"/>
            <w:vMerge w:val="restart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b/>
                <w:color w:val="000000"/>
                <w:sz w:val="22"/>
                <w:szCs w:val="22"/>
              </w:rPr>
              <w:t xml:space="preserve">   T</w:t>
            </w:r>
            <w:r w:rsidRPr="001A691B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otal</w:t>
            </w:r>
            <w:r w:rsidRPr="001A691B">
              <w:rPr>
                <w:rFonts w:ascii="Times New Roman" w:eastAsia="Arial" w:hAnsi="Times New Roman" w:cs="Times New Roman"/>
                <w:b/>
                <w:color w:val="000000"/>
                <w:sz w:val="22"/>
                <w:szCs w:val="22"/>
              </w:rPr>
              <w:t xml:space="preserve">   </w:t>
            </w:r>
          </w:p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2"/>
                <w:szCs w:val="22"/>
              </w:rPr>
            </w:pPr>
            <w:r w:rsidRPr="001A691B">
              <w:rPr>
                <w:rFonts w:ascii="Times New Roman" w:eastAsia="Arial" w:hAnsi="Times New Roman" w:cs="Times New Roman"/>
                <w:b/>
                <w:i/>
                <w:color w:val="000000"/>
                <w:sz w:val="22"/>
                <w:szCs w:val="22"/>
              </w:rPr>
              <w:t xml:space="preserve">   N=213   </w:t>
            </w:r>
          </w:p>
        </w:tc>
        <w:tc>
          <w:tcPr>
            <w:tcW w:w="4252" w:type="dxa"/>
            <w:gridSpan w:val="2"/>
            <w:tcBorders>
              <w:top w:val="single" w:sz="16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2"/>
                <w:szCs w:val="22"/>
              </w:rPr>
            </w:pPr>
            <w:r w:rsidRPr="001A691B">
              <w:rPr>
                <w:rFonts w:ascii="Times New Roman" w:eastAsia="SimSun" w:hAnsi="Times New Roman" w:cs="Times New Roman"/>
                <w:b/>
                <w:bCs/>
              </w:rPr>
              <w:t>ZNF334 expression</w:t>
            </w:r>
          </w:p>
        </w:tc>
        <w:tc>
          <w:tcPr>
            <w:tcW w:w="992" w:type="dxa"/>
            <w:vMerge w:val="restart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1A691B">
              <w:rPr>
                <w:rFonts w:ascii="Times New Roman" w:eastAsia="Arial" w:hAnsi="Times New Roman" w:cs="Times New Roman"/>
                <w:b/>
                <w:i/>
                <w:iCs/>
                <w:color w:val="000000"/>
                <w:sz w:val="22"/>
                <w:szCs w:val="22"/>
              </w:rPr>
              <w:t>p</w:t>
            </w:r>
          </w:p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2"/>
                <w:szCs w:val="22"/>
              </w:rPr>
            </w:pPr>
            <w:r w:rsidRPr="001A691B">
              <w:rPr>
                <w:rFonts w:ascii="Times New Roman" w:eastAsia="Arial" w:hAnsi="Times New Roman" w:cs="Times New Roman"/>
                <w:b/>
                <w:i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tblHeader/>
          <w:jc w:val="center"/>
        </w:trPr>
        <w:tc>
          <w:tcPr>
            <w:tcW w:w="2694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tcBorders>
              <w:top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2"/>
                <w:szCs w:val="22"/>
              </w:rPr>
            </w:pPr>
            <w:r w:rsidRPr="001A691B">
              <w:rPr>
                <w:rFonts w:ascii="Times New Roman" w:eastAsia="Arial" w:hAnsi="Times New Roman" w:cs="Times New Roman"/>
                <w:b/>
                <w:color w:val="000000"/>
                <w:sz w:val="22"/>
                <w:szCs w:val="22"/>
              </w:rPr>
              <w:t xml:space="preserve">   </w:t>
            </w:r>
            <w:r w:rsidRPr="001A691B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h</w:t>
            </w:r>
            <w:r w:rsidRPr="001A691B">
              <w:rPr>
                <w:rFonts w:ascii="Times New Roman" w:eastAsia="Arial" w:hAnsi="Times New Roman" w:cs="Times New Roman"/>
                <w:b/>
                <w:color w:val="000000"/>
                <w:sz w:val="22"/>
                <w:szCs w:val="22"/>
              </w:rPr>
              <w:t xml:space="preserve">igh </w:t>
            </w:r>
            <w:r w:rsidRPr="001A691B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expression</w:t>
            </w:r>
            <w:r w:rsidRPr="001A691B">
              <w:rPr>
                <w:rFonts w:ascii="Times New Roman" w:eastAsia="Arial" w:hAnsi="Times New Roman" w:cs="Times New Roman"/>
                <w:b/>
                <w:color w:val="000000"/>
                <w:sz w:val="22"/>
                <w:szCs w:val="22"/>
              </w:rPr>
              <w:t xml:space="preserve">   </w:t>
            </w:r>
          </w:p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b/>
                <w:i/>
                <w:color w:val="000000"/>
                <w:sz w:val="22"/>
                <w:szCs w:val="22"/>
              </w:rPr>
              <w:t xml:space="preserve">   N=107   </w:t>
            </w:r>
          </w:p>
        </w:tc>
        <w:tc>
          <w:tcPr>
            <w:tcW w:w="2126" w:type="dxa"/>
            <w:tcBorders>
              <w:top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b/>
                <w:color w:val="000000"/>
                <w:sz w:val="22"/>
                <w:szCs w:val="22"/>
              </w:rPr>
              <w:t xml:space="preserve">    low </w:t>
            </w:r>
            <w:r w:rsidRPr="001A691B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expression</w:t>
            </w:r>
            <w:r w:rsidRPr="001A691B">
              <w:rPr>
                <w:rFonts w:ascii="Times New Roman" w:eastAsia="Arial" w:hAnsi="Times New Roman" w:cs="Times New Roman"/>
                <w:b/>
                <w:color w:val="000000"/>
                <w:sz w:val="22"/>
                <w:szCs w:val="22"/>
              </w:rPr>
              <w:t xml:space="preserve">   </w:t>
            </w:r>
          </w:p>
        </w:tc>
        <w:tc>
          <w:tcPr>
            <w:tcW w:w="992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0BC9" w:rsidRPr="001A691B" w:rsidTr="00520E78">
        <w:trPr>
          <w:cantSplit/>
          <w:tblHeader/>
          <w:jc w:val="center"/>
        </w:trPr>
        <w:tc>
          <w:tcPr>
            <w:tcW w:w="2694" w:type="dxa"/>
            <w:vMerge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b/>
                <w:i/>
                <w:color w:val="000000"/>
                <w:sz w:val="22"/>
                <w:szCs w:val="22"/>
              </w:rPr>
              <w:t xml:space="preserve">   N=106   </w:t>
            </w:r>
          </w:p>
        </w:tc>
        <w:tc>
          <w:tcPr>
            <w:tcW w:w="992" w:type="dxa"/>
            <w:vMerge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Gender: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tcBorders>
              <w:top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tcBorders>
              <w:top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0.177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Male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183 (85.9%)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88 (82.2%)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95 (89.6%)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Female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30 (14.1%)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19 (17.8%)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11 (10.4%)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Age(years):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0.587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&lt;60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146 (68.5%)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71 (66.4%)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75 (70.8%)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&gt;=60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67 (31.5%)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36 (33.6%)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31 (29.2%)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Pathologic grade: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0.454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Ⅱ stage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31 (14.6%)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18 (16.8%)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13 (12.3%)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</w:t>
            </w:r>
            <w:proofErr w:type="spellStart"/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Ⅲ&amp;Ⅳ</w:t>
            </w:r>
            <w:proofErr w:type="spellEnd"/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stage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182 (85.4%)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89 (83.2%)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93 (87.7%)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Tumor diameter(cm):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0.303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&lt;5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103 (48.4%)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56 (52.3%)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47 (44.3%)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&gt;=5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110 (51.6%)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51 (47.7%)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59 (55.7%)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Number of tumors: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Pr="001A691B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</w:rPr>
              <w:t xml:space="preserve">0.011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Multiple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55 (25.8%)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19 (17.8%)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36 (34.0%)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Single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158 (74.2%)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88 (82.2%)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70 (66.0%)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Tumor capsule: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1A691B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</w:rPr>
              <w:t xml:space="preserve">&lt;0.001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Negative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108 (50.7%)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40 (37.4%)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68 (64.2%) 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Positive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10</w:t>
            </w:r>
            <w:r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5</w:t>
            </w: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49</w:t>
            </w: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.</w:t>
            </w:r>
            <w:r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3</w:t>
            </w: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67</w:t>
            </w: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62</w:t>
            </w: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.</w:t>
            </w:r>
            <w:r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6</w:t>
            </w: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38</w:t>
            </w: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35.8</w:t>
            </w: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MVI: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0.724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Negative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119 (55.9%)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58 (54.2%)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61 (57.5%)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Positive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94 (44.1%)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49 (45.8%)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45 (42.5%)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Portal vein tumor thrombus: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Pr="001A691B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</w:rPr>
              <w:t xml:space="preserve">0.005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Negative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75 (35.2%)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48 (44.9%)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27 (25.5%)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Positive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138</w:t>
            </w: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64.8</w:t>
            </w: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59</w:t>
            </w: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55</w:t>
            </w: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.</w:t>
            </w:r>
            <w:r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</w:t>
            </w: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79</w:t>
            </w: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74</w:t>
            </w: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.5%)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CEA(ng/ml):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0.621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&lt;10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209 (98.1%)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104 (97.2%)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105 (99.1%)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&gt;=10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4 (1.88%)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3 (2.80%)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1 (0.94%)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Albumin(g/L):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0.371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&lt;35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42 (19.7%)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18 (16.8%)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24 (22.6%)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&gt;=35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171 (80.3%)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89 (83.2%)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82 (77.4%)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ALT(U/L):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1A691B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</w:rPr>
              <w:t xml:space="preserve"> 0.014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&lt;=40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131 (61.5%)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75 (70.1%)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56 (52.8%)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&gt;40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82 (38.5%)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32 (29.9%)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50 (47.2%)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AST(U/L):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Pr="001A691B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</w:rPr>
              <w:t xml:space="preserve">0.001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&lt;=40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149 (70.0%)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86 (80.4%)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63 (59.4%)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&gt;40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64 (30.0%)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21 (19.6%)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43 (40.6%)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PT: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0.237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Normal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154 (72.3%)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73 (68.2%)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81 (76.4%)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Abnormal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59 (27.7%)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34 (31.8%)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25 (23.6%)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BCLC stage: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1.000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A&amp;B stage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138 (64.8%)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69 (64.5%)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69 (65.1%)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C stage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75 (35.2%)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38 (35.5%)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37 (34.9%)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proofErr w:type="spellStart"/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HBsAg</w:t>
            </w:r>
            <w:proofErr w:type="spellEnd"/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: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0.220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lastRenderedPageBreak/>
              <w:t xml:space="preserve">    Negative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29 (13.6%)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11 (10.3%)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18 (17.0%)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Positive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184 (86.4%)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96 (89.7%)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88 (83.0%)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Smoking: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1.000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Negative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98 (46.0%)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49 (45.8%)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49 (46.2%)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Positive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115 (54.0%)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58 (54.2%)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57 (53.8%)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Drinking: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0.225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Negative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131 (61.5%)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61 (57.0%)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70 (66.0%)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Positive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82 (38.5%)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46 (43.0%)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36 (34.0%)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Cirrhosis: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0.467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Negative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20 (9.39%)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8 (7.48%)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12 (11.3%)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Positive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193 (90.6%)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99 (92.5%)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94 (88.7%)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AFP(ng/mL):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Pr="001A691B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</w:rPr>
              <w:t xml:space="preserve">0.035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&lt;400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146 (68.5%)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81 (75.7%)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65 (61.3%)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&gt;=400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67 (31.5%)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26 (24.3%)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41 (38.7%)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CA19-9(U/mL):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0.190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&lt;40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87 (79.8%)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31 (88.6%)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56 (75.7%)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&gt;=40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22 (20.2%)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4 (11.4%)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18 (24.3%)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CRP(mg/L):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0.212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&lt;10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49 (39.2%)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12 (30.0%)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37 (43.5%)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&gt;=10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76 (60.8%)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28 (70.0%)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48 (56.5%)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TB(</w:t>
            </w:r>
            <w:proofErr w:type="spellStart"/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μmol</w:t>
            </w:r>
            <w:proofErr w:type="spellEnd"/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/L):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0.305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&lt;17.1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111 (52.1%)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60 (56.1%) 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51 (48.1%) 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AD0BC9" w:rsidRPr="001A691B" w:rsidTr="00520E78">
        <w:trPr>
          <w:cantSplit/>
          <w:jc w:val="center"/>
        </w:trPr>
        <w:tc>
          <w:tcPr>
            <w:tcW w:w="2694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&gt;=17.1</w:t>
            </w:r>
          </w:p>
        </w:tc>
        <w:tc>
          <w:tcPr>
            <w:tcW w:w="1418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102 (47.9%)</w:t>
            </w:r>
          </w:p>
        </w:tc>
        <w:tc>
          <w:tcPr>
            <w:tcW w:w="2126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47 (43.9%) </w:t>
            </w:r>
          </w:p>
        </w:tc>
        <w:tc>
          <w:tcPr>
            <w:tcW w:w="2126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55 (51.9%) </w:t>
            </w:r>
          </w:p>
        </w:tc>
        <w:tc>
          <w:tcPr>
            <w:tcW w:w="992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D0BC9" w:rsidRPr="001A691B" w:rsidRDefault="00AD0BC9" w:rsidP="00520E78">
            <w:pPr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1A691B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</w:tbl>
    <w:p w:rsidR="002F0F5E" w:rsidRDefault="00AD0BC9">
      <w:bookmarkStart w:id="0" w:name="_GoBack"/>
      <w:bookmarkEnd w:id="0"/>
    </w:p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BC9"/>
    <w:rsid w:val="0021090F"/>
    <w:rsid w:val="00AD0BC9"/>
    <w:rsid w:val="00C52827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5F7490-B853-420F-9CAB-23BE391C1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0BC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">
    <w:name w:val="Table"/>
    <w:semiHidden/>
    <w:unhideWhenUsed/>
    <w:qFormat/>
    <w:rsid w:val="00AD0BC9"/>
    <w:pPr>
      <w:spacing w:after="200" w:line="240" w:lineRule="auto"/>
    </w:pPr>
    <w:rPr>
      <w:rFonts w:eastAsiaTheme="minorEastAsia"/>
      <w:sz w:val="24"/>
      <w:szCs w:val="24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614</Words>
  <Characters>3504</Characters>
  <Application>Microsoft Office Word</Application>
  <DocSecurity>0</DocSecurity>
  <Lines>29</Lines>
  <Paragraphs>8</Paragraphs>
  <ScaleCrop>false</ScaleCrop>
  <Company>Springer Nature IT</Company>
  <LinksUpToDate>false</LinksUpToDate>
  <CharactersWithSpaces>4110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2021-10-27T08:26:00Z</dcterms:created>
  <dcterms:modified xsi:type="dcterms:W3CDTF">2021-10-27T08:27:00Z</dcterms:modified>
</cp:coreProperties>
</file>