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Times New Roman" w:hAnsi="Times New Roman" w:eastAsia="Times New Roman"/>
          <w:b/>
          <w:sz w:val="20"/>
        </w:rPr>
        <w:t>Supplementary Table 1. Candidate variables and coefficients from LASSO logistic regression at λ.min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64"/>
        <w:gridCol w:w="3264"/>
        <w:gridCol w:w="3264"/>
      </w:tblGrid>
      <w:tr>
        <w:trPr>
          <w:tblHeader w:val="true"/>
        </w:trPr>
        <w:tc>
          <w:tcPr>
            <w:tcW w:type="dxa" w:w="5472"/>
            <w:vAlign w:val="center"/>
            <w:tcBorders>
              <w:top w:val="single" w:sz="12" w:space="0" w:color="000000"/>
              <w:bottom w:val="single" w:sz="8" w:space="0" w:color="000000"/>
              <w:left w:val="nil"/>
              <w:right w:val="nil"/>
            </w:tcBorders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b/>
                <w:sz w:val="20"/>
              </w:rPr>
              <w:t>Candidate variable</w:t>
            </w:r>
          </w:p>
        </w:tc>
        <w:tc>
          <w:tcPr>
            <w:tcW w:type="dxa" w:w="2880"/>
            <w:vAlign w:val="center"/>
            <w:tcBorders>
              <w:top w:val="single" w:sz="12" w:space="0" w:color="000000"/>
              <w:bottom w:val="single" w:sz="8" w:space="0" w:color="000000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Standardized coefficient at λ.min</w:t>
            </w:r>
          </w:p>
        </w:tc>
        <w:tc>
          <w:tcPr>
            <w:tcW w:type="dxa" w:w="2160"/>
            <w:vAlign w:val="center"/>
            <w:tcBorders>
              <w:top w:val="single" w:sz="12" w:space="0" w:color="000000"/>
              <w:bottom w:val="single" w:sz="8" w:space="0" w:color="000000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Retained by LASSO</w:t>
            </w:r>
          </w:p>
        </w:tc>
      </w:tr>
      <w:tr>
        <w:tc>
          <w:tcPr>
            <w:tcW w:type="dxa" w:w="5472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5-minute Apgar score</w:t>
            </w:r>
          </w:p>
        </w:tc>
        <w:tc>
          <w:tcPr>
            <w:tcW w:type="dxa" w:w="288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-0.471</w:t>
            </w:r>
          </w:p>
        </w:tc>
        <w:tc>
          <w:tcPr>
            <w:tcW w:type="dxa" w:w="216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Yes</w:t>
            </w:r>
          </w:p>
        </w:tc>
      </w:tr>
      <w:tr>
        <w:tc>
          <w:tcPr>
            <w:tcW w:type="dxa" w:w="5472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Parenteral nutrition</w:t>
            </w:r>
          </w:p>
        </w:tc>
        <w:tc>
          <w:tcPr>
            <w:tcW w:type="dxa" w:w="288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0.466</w:t>
            </w:r>
          </w:p>
        </w:tc>
        <w:tc>
          <w:tcPr>
            <w:tcW w:type="dxa" w:w="216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Yes</w:t>
            </w:r>
          </w:p>
        </w:tc>
      </w:tr>
      <w:tr>
        <w:tc>
          <w:tcPr>
            <w:tcW w:type="dxa" w:w="5472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Feeding advancement rate &gt;20 mL/kg/day</w:t>
            </w:r>
          </w:p>
        </w:tc>
        <w:tc>
          <w:tcPr>
            <w:tcW w:type="dxa" w:w="288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-0.649</w:t>
            </w:r>
          </w:p>
        </w:tc>
        <w:tc>
          <w:tcPr>
            <w:tcW w:type="dxa" w:w="216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Yes</w:t>
            </w:r>
          </w:p>
        </w:tc>
      </w:tr>
      <w:tr>
        <w:tc>
          <w:tcPr>
            <w:tcW w:type="dxa" w:w="5472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Formula feeding</w:t>
            </w:r>
          </w:p>
        </w:tc>
        <w:tc>
          <w:tcPr>
            <w:tcW w:type="dxa" w:w="288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0.213</w:t>
            </w:r>
          </w:p>
        </w:tc>
        <w:tc>
          <w:tcPr>
            <w:tcW w:type="dxa" w:w="216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Yes</w:t>
            </w:r>
          </w:p>
        </w:tc>
      </w:tr>
      <w:tr>
        <w:tc>
          <w:tcPr>
            <w:tcW w:type="dxa" w:w="5472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Initiation time of enteral feeding ≥1 h</w:t>
            </w:r>
          </w:p>
        </w:tc>
        <w:tc>
          <w:tcPr>
            <w:tcW w:type="dxa" w:w="288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0.000</w:t>
            </w:r>
          </w:p>
        </w:tc>
        <w:tc>
          <w:tcPr>
            <w:tcW w:type="dxa" w:w="216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No</w:t>
            </w:r>
          </w:p>
        </w:tc>
      </w:tr>
      <w:tr>
        <w:tc>
          <w:tcPr>
            <w:tcW w:type="dxa" w:w="5472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Absolute neutrophil count</w:t>
            </w:r>
          </w:p>
        </w:tc>
        <w:tc>
          <w:tcPr>
            <w:tcW w:type="dxa" w:w="288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0.147</w:t>
            </w:r>
          </w:p>
        </w:tc>
        <w:tc>
          <w:tcPr>
            <w:tcW w:type="dxa" w:w="216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Yes</w:t>
            </w:r>
          </w:p>
        </w:tc>
      </w:tr>
      <w:tr>
        <w:tc>
          <w:tcPr>
            <w:tcW w:type="dxa" w:w="5472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Neutrophil percentage</w:t>
            </w:r>
          </w:p>
        </w:tc>
        <w:tc>
          <w:tcPr>
            <w:tcW w:type="dxa" w:w="288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0.259</w:t>
            </w:r>
          </w:p>
        </w:tc>
        <w:tc>
          <w:tcPr>
            <w:tcW w:type="dxa" w:w="216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Yes</w:t>
            </w:r>
          </w:p>
        </w:tc>
      </w:tr>
      <w:tr>
        <w:tc>
          <w:tcPr>
            <w:tcW w:type="dxa" w:w="5472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Calcium</w:t>
            </w:r>
          </w:p>
        </w:tc>
        <w:tc>
          <w:tcPr>
            <w:tcW w:type="dxa" w:w="288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-0.183</w:t>
            </w:r>
          </w:p>
        </w:tc>
        <w:tc>
          <w:tcPr>
            <w:tcW w:type="dxa" w:w="2160"/>
            <w:vAlign w:val="center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Yes</w:t>
            </w:r>
          </w:p>
        </w:tc>
      </w:tr>
      <w:tr>
        <w:tc>
          <w:tcPr>
            <w:tcW w:type="dxa" w:w="5472"/>
            <w:vAlign w:val="center"/>
            <w:tcBorders>
              <w:top w:val="nil"/>
              <w:bottom w:val="single" w:sz="12" w:space="0" w:color="000000"/>
              <w:left w:val="nil"/>
              <w:right w:val="nil"/>
            </w:tcBorders>
          </w:tcPr>
          <w:p>
            <w:pPr>
              <w:spacing w:after="0" w:before="0"/>
              <w:jc w:val="left"/>
            </w:pPr>
            <w:r>
              <w:rPr>
                <w:rFonts w:ascii="Times New Roman" w:hAnsi="Times New Roman" w:eastAsia="Times New Roman"/>
                <w:sz w:val="20"/>
              </w:rPr>
              <w:t>Procalcitonin</w:t>
            </w:r>
          </w:p>
        </w:tc>
        <w:tc>
          <w:tcPr>
            <w:tcW w:type="dxa" w:w="2880"/>
            <w:vAlign w:val="center"/>
            <w:tcBorders>
              <w:top w:val="nil"/>
              <w:bottom w:val="single" w:sz="12" w:space="0" w:color="000000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0.388</w:t>
            </w:r>
          </w:p>
        </w:tc>
        <w:tc>
          <w:tcPr>
            <w:tcW w:type="dxa" w:w="2160"/>
            <w:vAlign w:val="center"/>
            <w:tcBorders>
              <w:top w:val="nil"/>
              <w:bottom w:val="single" w:sz="12" w:space="0" w:color="000000"/>
              <w:left w:val="nil"/>
              <w:right w:val="nil"/>
            </w:tcBorders>
          </w:tcPr>
          <w:p>
            <w:pPr>
              <w:spacing w:after="0" w:before="0"/>
              <w:jc w:val="center"/>
            </w:pPr>
            <w:r>
              <w:rPr>
                <w:rFonts w:ascii="Times New Roman" w:hAnsi="Times New Roman" w:eastAsia="Times New Roman"/>
                <w:sz w:val="20"/>
              </w:rPr>
              <w:t>Yes</w:t>
            </w:r>
          </w:p>
        </w:tc>
      </w:tr>
    </w:tbl>
    <w:p>
      <w:pPr>
        <w:spacing w:before="120" w:after="0"/>
      </w:pPr>
      <w:r>
        <w:rPr>
          <w:rFonts w:ascii="Times New Roman" w:hAnsi="Times New Roman" w:eastAsia="Times New Roman"/>
          <w:i/>
          <w:sz w:val="18"/>
        </w:rPr>
        <w:t>Candidate variables were variables associated with NEC in univariable analysis at P &lt; 0.05. Predictors were standardized before LASSO logistic regression. The regularization parameter was selected by 10-fold cross-validation. Variables with non-zero coefficients at λ.min were considered retained by the LASSO model. NEC, necrotizing enterocolitis; LASSO, least absolute shrinkage and selection operator.</w:t>
      </w:r>
    </w:p>
    <w:sectPr w:rsidR="00FC693F" w:rsidRPr="0006063C" w:rsidSect="00034616">
      <w:pgSz w:w="12240" w:h="15840"/>
      <w:pgMar w:top="1296" w:right="1224" w:bottom="1296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