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70D" w:rsidRPr="004C6203" w:rsidRDefault="0083470D" w:rsidP="0083470D">
      <w:pPr>
        <w:spacing w:line="240" w:lineRule="auto"/>
        <w:rPr>
          <w:rFonts w:ascii="Times New Roman" w:hAnsi="Times New Roman" w:cs="Times New Roman"/>
          <w:b/>
          <w:sz w:val="24"/>
          <w:szCs w:val="24"/>
        </w:rPr>
      </w:pPr>
      <w:r w:rsidRPr="004C6203">
        <w:rPr>
          <w:rFonts w:ascii="Times New Roman" w:hAnsi="Times New Roman" w:cs="Times New Roman"/>
          <w:b/>
          <w:sz w:val="24"/>
          <w:szCs w:val="24"/>
        </w:rPr>
        <w:t>Appendix</w:t>
      </w:r>
    </w:p>
    <w:p w:rsidR="0083470D" w:rsidRPr="004C6203" w:rsidRDefault="0083470D" w:rsidP="0083470D">
      <w:pPr>
        <w:pStyle w:val="Heading3"/>
        <w:spacing w:line="240" w:lineRule="auto"/>
        <w:rPr>
          <w:rFonts w:ascii="Times New Roman" w:hAnsi="Times New Roman" w:cs="Times New Roman"/>
          <w:b/>
          <w:color w:val="auto"/>
        </w:rPr>
      </w:pPr>
      <w:r w:rsidRPr="004C6203">
        <w:rPr>
          <w:rFonts w:ascii="Times New Roman" w:hAnsi="Times New Roman" w:cs="Times New Roman"/>
          <w:b/>
          <w:color w:val="auto"/>
        </w:rPr>
        <w:t xml:space="preserve"> Causality Analysis</w:t>
      </w:r>
    </w:p>
    <w:p w:rsidR="0083470D" w:rsidRPr="004C6203" w:rsidRDefault="0083470D" w:rsidP="0083470D">
      <w:pPr>
        <w:spacing w:line="240" w:lineRule="auto"/>
        <w:jc w:val="both"/>
        <w:rPr>
          <w:rFonts w:ascii="Times New Roman" w:hAnsi="Times New Roman" w:cs="Times New Roman"/>
          <w:sz w:val="24"/>
          <w:szCs w:val="24"/>
        </w:rPr>
      </w:pPr>
      <w:r w:rsidRPr="004C6203">
        <w:rPr>
          <w:rFonts w:ascii="Times New Roman" w:hAnsi="Times New Roman" w:cs="Times New Roman"/>
          <w:sz w:val="24"/>
          <w:szCs w:val="24"/>
        </w:rPr>
        <w:t xml:space="preserve">Tables 7, and 8 show robustness tests for our model, which verify the baseline Quantile regression estimates. We applied standard Granger Causality Tests for robustness, unlike the regression method which provides a unidirectional effect from independent variables to the dependent variable, this form of regression is capable to estimate bivariate effect among the variables. Moreover, some of the explanatory variables may cause each other; therefore, we used the Granger Causality test for further verification. The causality findings suggest that Population, Urbanization, renewable energy causes GDP with a unidirectional effect.  Besides, Population and Trade portray unidirectional causes for non-renewable energy consumption which verifies the baseline Quantile regression. This justifies that trade activities involve production and export activities by using a high level of non-renewable energy consumption. Table 7, also reports that GDP and population cause renewable energy consumption which implying that aggregate productivity involves renewable energy consumption with an increase of renewable energy consumption. Indeed, trade doesn’t cause renewable energy consumption, which indicates that export and production use non-renewable energy renounces and hence trade has no contribution to renewable energy consumption in China.  </w:t>
      </w:r>
    </w:p>
    <w:p w:rsidR="0083470D" w:rsidRPr="004C6203" w:rsidRDefault="0083470D" w:rsidP="0083470D">
      <w:pPr>
        <w:autoSpaceDE w:val="0"/>
        <w:autoSpaceDN w:val="0"/>
        <w:adjustRightInd w:val="0"/>
        <w:spacing w:after="0" w:line="240" w:lineRule="auto"/>
        <w:rPr>
          <w:rFonts w:ascii="Times New Roman" w:hAnsi="Times New Roman" w:cs="Times New Roman"/>
          <w:b/>
          <w:bCs/>
          <w:sz w:val="24"/>
          <w:szCs w:val="24"/>
        </w:rPr>
      </w:pPr>
      <w:r w:rsidRPr="004C6203">
        <w:rPr>
          <w:rFonts w:ascii="Times New Roman" w:hAnsi="Times New Roman" w:cs="Times New Roman"/>
          <w:b/>
          <w:bCs/>
          <w:sz w:val="24"/>
          <w:szCs w:val="24"/>
        </w:rPr>
        <w:t xml:space="preserve">Non-renewable Energy Model  </w:t>
      </w:r>
    </w:p>
    <w:p w:rsidR="0083470D" w:rsidRPr="004C6203" w:rsidRDefault="0083470D" w:rsidP="0083470D">
      <w:pPr>
        <w:autoSpaceDE w:val="0"/>
        <w:autoSpaceDN w:val="0"/>
        <w:adjustRightInd w:val="0"/>
        <w:spacing w:after="0" w:line="240" w:lineRule="auto"/>
        <w:rPr>
          <w:rFonts w:ascii="Times New Roman" w:hAnsi="Times New Roman" w:cs="Times New Roman"/>
          <w:sz w:val="24"/>
          <w:szCs w:val="24"/>
        </w:rPr>
      </w:pPr>
      <w:r w:rsidRPr="004C6203">
        <w:rPr>
          <w:rFonts w:ascii="Times New Roman" w:hAnsi="Times New Roman" w:cs="Times New Roman"/>
          <w:sz w:val="24"/>
          <w:szCs w:val="24"/>
        </w:rPr>
        <w:t>Table 7 Pairwise Granger Causality Tests</w:t>
      </w:r>
    </w:p>
    <w:tbl>
      <w:tblPr>
        <w:tblW w:w="5000" w:type="pct"/>
        <w:jc w:val="center"/>
        <w:tblLayout w:type="fixed"/>
        <w:tblCellMar>
          <w:left w:w="0" w:type="dxa"/>
          <w:right w:w="0" w:type="dxa"/>
        </w:tblCellMar>
        <w:tblLook w:val="0000" w:firstRow="0" w:lastRow="0" w:firstColumn="0" w:lastColumn="0" w:noHBand="0" w:noVBand="0"/>
      </w:tblPr>
      <w:tblGrid>
        <w:gridCol w:w="5024"/>
        <w:gridCol w:w="987"/>
        <w:gridCol w:w="2097"/>
        <w:gridCol w:w="1252"/>
      </w:tblGrid>
      <w:tr w:rsidR="0083470D" w:rsidRPr="004C6203" w:rsidTr="001B3997">
        <w:trPr>
          <w:trHeight w:val="202"/>
          <w:jc w:val="center"/>
        </w:trPr>
        <w:tc>
          <w:tcPr>
            <w:tcW w:w="2684"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Null Hypothesis:</w:t>
            </w:r>
          </w:p>
        </w:tc>
        <w:tc>
          <w:tcPr>
            <w:tcW w:w="527"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p>
        </w:tc>
        <w:tc>
          <w:tcPr>
            <w:tcW w:w="1120"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F-Statistic</w:t>
            </w:r>
          </w:p>
        </w:tc>
        <w:tc>
          <w:tcPr>
            <w:tcW w:w="669"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Prob. </w:t>
            </w:r>
          </w:p>
        </w:tc>
      </w:tr>
      <w:tr w:rsidR="0083470D" w:rsidRPr="004C6203" w:rsidTr="001B3997">
        <w:trPr>
          <w:trHeight w:val="202"/>
          <w:jc w:val="center"/>
        </w:trPr>
        <w:tc>
          <w:tcPr>
            <w:tcW w:w="2684" w:type="pct"/>
            <w:tcBorders>
              <w:top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GDP</w:t>
            </w:r>
          </w:p>
        </w:tc>
        <w:tc>
          <w:tcPr>
            <w:tcW w:w="527" w:type="pct"/>
            <w:tcBorders>
              <w:top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1120" w:type="pct"/>
            <w:tcBorders>
              <w:top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17.6556</w:t>
            </w:r>
          </w:p>
        </w:tc>
        <w:tc>
          <w:tcPr>
            <w:tcW w:w="669" w:type="pct"/>
            <w:tcBorders>
              <w:top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0.0003</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POP</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0.13217</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0.7192</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GDP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4.88975</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0.0364</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URB</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0.04036</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0.8424</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NRE does not Granger Cause GDP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49.3940</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0.0000</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NRE</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1.26098</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0.2721</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GDP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49.1115</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0.0000</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T</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2.19332</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0.1511</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POP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1.78359</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0.1937</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URB</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3.13812</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0.0887</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NRE does not Granger Cause POP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0.70114</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0.4103</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NRE</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16.6119</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0.0004</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POP</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0.17982</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0.6752</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T</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0.03123</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0.8611</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NRE does not Granger Cause URB</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1.51940</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0.2292</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NRE</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0.32535</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0.5735</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URB</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0.92472</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0.3454</w:t>
            </w:r>
          </w:p>
        </w:tc>
      </w:tr>
      <w:tr w:rsidR="0083470D" w:rsidRPr="004C6203" w:rsidTr="001B3997">
        <w:trPr>
          <w:trHeight w:val="202"/>
          <w:jc w:val="center"/>
        </w:trPr>
        <w:tc>
          <w:tcPr>
            <w:tcW w:w="3211" w:type="pct"/>
            <w:gridSpan w:val="2"/>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T</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0.05112</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0.8230</w:t>
            </w:r>
          </w:p>
        </w:tc>
      </w:tr>
      <w:tr w:rsidR="0083470D" w:rsidRPr="004C6203" w:rsidTr="001B3997">
        <w:trPr>
          <w:trHeight w:val="202"/>
          <w:jc w:val="center"/>
        </w:trPr>
        <w:tc>
          <w:tcPr>
            <w:tcW w:w="268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NRE</w:t>
            </w:r>
          </w:p>
        </w:tc>
        <w:tc>
          <w:tcPr>
            <w:tcW w:w="527"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1120"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4.06225</w:t>
            </w:r>
          </w:p>
        </w:tc>
        <w:tc>
          <w:tcPr>
            <w:tcW w:w="669" w:type="pct"/>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0.0547</w:t>
            </w:r>
          </w:p>
        </w:tc>
      </w:tr>
      <w:tr w:rsidR="0083470D" w:rsidRPr="004C6203" w:rsidTr="001B3997">
        <w:trPr>
          <w:trHeight w:val="202"/>
          <w:jc w:val="center"/>
        </w:trPr>
        <w:tc>
          <w:tcPr>
            <w:tcW w:w="3211" w:type="pct"/>
            <w:gridSpan w:val="2"/>
            <w:tcBorders>
              <w:bottom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NRE does not Granger Cause T</w:t>
            </w:r>
          </w:p>
        </w:tc>
        <w:tc>
          <w:tcPr>
            <w:tcW w:w="1120" w:type="pct"/>
            <w:tcBorders>
              <w:bottom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1.52628</w:t>
            </w:r>
          </w:p>
        </w:tc>
        <w:tc>
          <w:tcPr>
            <w:tcW w:w="669" w:type="pct"/>
            <w:tcBorders>
              <w:bottom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0.2282</w:t>
            </w:r>
          </w:p>
        </w:tc>
      </w:tr>
    </w:tbl>
    <w:p w:rsidR="0083470D" w:rsidRPr="004C6203" w:rsidRDefault="0083470D" w:rsidP="0083470D">
      <w:pPr>
        <w:spacing w:line="240" w:lineRule="auto"/>
        <w:rPr>
          <w:rFonts w:ascii="Times New Roman" w:hAnsi="Times New Roman" w:cs="Times New Roman"/>
          <w:sz w:val="24"/>
          <w:szCs w:val="24"/>
        </w:rPr>
      </w:pPr>
    </w:p>
    <w:p w:rsidR="0083470D" w:rsidRPr="004C6203" w:rsidRDefault="0083470D" w:rsidP="0083470D">
      <w:pPr>
        <w:autoSpaceDE w:val="0"/>
        <w:autoSpaceDN w:val="0"/>
        <w:adjustRightInd w:val="0"/>
        <w:spacing w:after="0" w:line="240" w:lineRule="auto"/>
        <w:rPr>
          <w:rFonts w:ascii="Times New Roman" w:hAnsi="Times New Roman" w:cs="Times New Roman"/>
          <w:b/>
          <w:bCs/>
          <w:sz w:val="24"/>
          <w:szCs w:val="24"/>
        </w:rPr>
      </w:pPr>
      <w:r w:rsidRPr="004C6203">
        <w:rPr>
          <w:rFonts w:ascii="Times New Roman" w:hAnsi="Times New Roman" w:cs="Times New Roman"/>
          <w:b/>
          <w:bCs/>
          <w:sz w:val="24"/>
          <w:szCs w:val="24"/>
        </w:rPr>
        <w:t xml:space="preserve">Renewable Energy Model   </w:t>
      </w:r>
    </w:p>
    <w:p w:rsidR="0083470D" w:rsidRPr="004C6203" w:rsidRDefault="0083470D" w:rsidP="0083470D">
      <w:pPr>
        <w:autoSpaceDE w:val="0"/>
        <w:autoSpaceDN w:val="0"/>
        <w:adjustRightInd w:val="0"/>
        <w:spacing w:after="0" w:line="240" w:lineRule="auto"/>
        <w:rPr>
          <w:rFonts w:ascii="Times New Roman" w:hAnsi="Times New Roman" w:cs="Times New Roman"/>
          <w:sz w:val="24"/>
          <w:szCs w:val="24"/>
        </w:rPr>
      </w:pPr>
      <w:r w:rsidRPr="004C6203">
        <w:rPr>
          <w:rFonts w:ascii="Times New Roman" w:hAnsi="Times New Roman" w:cs="Times New Roman"/>
          <w:sz w:val="24"/>
          <w:szCs w:val="24"/>
        </w:rPr>
        <w:t>Table 8 Pairwise Granger Causality Tests</w:t>
      </w:r>
    </w:p>
    <w:tbl>
      <w:tblPr>
        <w:tblW w:w="5000" w:type="pct"/>
        <w:tblLayout w:type="fixed"/>
        <w:tblCellMar>
          <w:left w:w="0" w:type="dxa"/>
          <w:right w:w="0" w:type="dxa"/>
        </w:tblCellMar>
        <w:tblLook w:val="0000" w:firstRow="0" w:lastRow="0" w:firstColumn="0" w:lastColumn="0" w:noHBand="0" w:noVBand="0"/>
      </w:tblPr>
      <w:tblGrid>
        <w:gridCol w:w="6504"/>
        <w:gridCol w:w="22"/>
        <w:gridCol w:w="1367"/>
        <w:gridCol w:w="22"/>
        <w:gridCol w:w="1423"/>
        <w:gridCol w:w="22"/>
      </w:tblGrid>
      <w:tr w:rsidR="0083470D" w:rsidRPr="004C6203" w:rsidTr="001B3997">
        <w:trPr>
          <w:trHeight w:val="248"/>
        </w:trPr>
        <w:tc>
          <w:tcPr>
            <w:tcW w:w="3474"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Null Hypothesis:</w:t>
            </w:r>
          </w:p>
        </w:tc>
        <w:tc>
          <w:tcPr>
            <w:tcW w:w="12" w:type="pct"/>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742" w:type="pct"/>
            <w:gridSpan w:val="2"/>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F-Statistic</w:t>
            </w:r>
          </w:p>
        </w:tc>
        <w:tc>
          <w:tcPr>
            <w:tcW w:w="772" w:type="pct"/>
            <w:gridSpan w:val="2"/>
            <w:tcBorders>
              <w:top w:val="single" w:sz="4" w:space="0" w:color="auto"/>
              <w:bottom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Prob. </w:t>
            </w:r>
          </w:p>
        </w:tc>
      </w:tr>
      <w:tr w:rsidR="0083470D" w:rsidRPr="004C6203" w:rsidTr="001B3997">
        <w:trPr>
          <w:trHeight w:val="248"/>
        </w:trPr>
        <w:tc>
          <w:tcPr>
            <w:tcW w:w="3474" w:type="pct"/>
            <w:tcBorders>
              <w:top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GDP</w:t>
            </w:r>
          </w:p>
        </w:tc>
        <w:tc>
          <w:tcPr>
            <w:tcW w:w="12" w:type="pct"/>
            <w:tcBorders>
              <w:top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742" w:type="pct"/>
            <w:gridSpan w:val="2"/>
            <w:tcBorders>
              <w:top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0.13857</w:t>
            </w:r>
          </w:p>
        </w:tc>
        <w:tc>
          <w:tcPr>
            <w:tcW w:w="772" w:type="pct"/>
            <w:gridSpan w:val="2"/>
            <w:tcBorders>
              <w:top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0.8714</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URB</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0.03500</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0.9657</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POP2 does not Granger Cause GDP</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1.56691</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0.2311</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lastRenderedPageBreak/>
              <w:t> GDP does not Granger Cause POP</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0.64187</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0.5359</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RE does not Granger Cause GDP</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4.93765</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0.0169</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RE</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0.18782</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0.8301</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GDP</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4.18836</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0.0288</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GDP does not Granger Cause T</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0.39294</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0.6797</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URB</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1.27847</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0.2984</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POP</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3.02582</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0.0690</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RE does not Granger Cause URB</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0.35998</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0.7017</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RE</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1.29280</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0.2946</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URB</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2.12338</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0.1435</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URB does not Granger Cause T</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1.00243</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0.3831</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RE does not Granger Cause POP</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0.29311</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0.7488</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RE</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4.68160</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0.0202</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POP</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0.32244</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0.7277</w:t>
            </w:r>
          </w:p>
        </w:tc>
      </w:tr>
      <w:tr w:rsidR="0083470D" w:rsidRPr="004C6203" w:rsidTr="001B3997">
        <w:trPr>
          <w:gridAfter w:val="1"/>
          <w:wAfter w:w="12" w:type="pct"/>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POP does not Granger Cause T</w:t>
            </w: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2.59163</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0.0976</w:t>
            </w:r>
          </w:p>
        </w:tc>
      </w:tr>
      <w:tr w:rsidR="0083470D" w:rsidRPr="004C6203" w:rsidTr="001B3997">
        <w:trPr>
          <w:trHeight w:val="248"/>
        </w:trPr>
        <w:tc>
          <w:tcPr>
            <w:tcW w:w="3474" w:type="pct"/>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T does not Granger Cause RE</w:t>
            </w:r>
          </w:p>
        </w:tc>
        <w:tc>
          <w:tcPr>
            <w:tcW w:w="12" w:type="pct"/>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p>
        </w:tc>
        <w:tc>
          <w:tcPr>
            <w:tcW w:w="742" w:type="pct"/>
            <w:gridSpan w:val="2"/>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3.03796</w:t>
            </w:r>
          </w:p>
        </w:tc>
        <w:tc>
          <w:tcPr>
            <w:tcW w:w="772" w:type="pct"/>
            <w:gridSpan w:val="2"/>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0.0684</w:t>
            </w:r>
          </w:p>
        </w:tc>
      </w:tr>
      <w:tr w:rsidR="0083470D" w:rsidRPr="004C6203" w:rsidTr="001B3997">
        <w:trPr>
          <w:gridAfter w:val="1"/>
          <w:wAfter w:w="12" w:type="pct"/>
          <w:trHeight w:val="248"/>
        </w:trPr>
        <w:tc>
          <w:tcPr>
            <w:tcW w:w="3474" w:type="pct"/>
            <w:tcBorders>
              <w:bottom w:val="single" w:sz="4" w:space="0" w:color="auto"/>
            </w:tcBorders>
            <w:vAlign w:val="bottom"/>
          </w:tcPr>
          <w:p w:rsidR="0083470D" w:rsidRPr="004C6203" w:rsidRDefault="0083470D" w:rsidP="001B3997">
            <w:pPr>
              <w:autoSpaceDE w:val="0"/>
              <w:autoSpaceDN w:val="0"/>
              <w:adjustRightInd w:val="0"/>
              <w:spacing w:after="0" w:line="240" w:lineRule="auto"/>
              <w:rPr>
                <w:rFonts w:ascii="Times New Roman" w:hAnsi="Times New Roman" w:cs="Times New Roman"/>
              </w:rPr>
            </w:pPr>
            <w:r w:rsidRPr="004C6203">
              <w:rPr>
                <w:rFonts w:ascii="Times New Roman" w:hAnsi="Times New Roman" w:cs="Times New Roman"/>
              </w:rPr>
              <w:t> RE does not Granger Cause T</w:t>
            </w:r>
          </w:p>
        </w:tc>
        <w:tc>
          <w:tcPr>
            <w:tcW w:w="742" w:type="pct"/>
            <w:gridSpan w:val="2"/>
            <w:tcBorders>
              <w:bottom w:val="single" w:sz="4" w:space="0" w:color="auto"/>
            </w:tcBorders>
            <w:vAlign w:val="bottom"/>
          </w:tcPr>
          <w:p w:rsidR="0083470D" w:rsidRPr="004C6203" w:rsidRDefault="0083470D" w:rsidP="001B3997">
            <w:pPr>
              <w:autoSpaceDE w:val="0"/>
              <w:autoSpaceDN w:val="0"/>
              <w:adjustRightInd w:val="0"/>
              <w:spacing w:after="0" w:line="240" w:lineRule="auto"/>
              <w:jc w:val="center"/>
              <w:rPr>
                <w:rFonts w:ascii="Times New Roman" w:hAnsi="Times New Roman" w:cs="Times New Roman"/>
              </w:rPr>
            </w:pPr>
            <w:r w:rsidRPr="004C6203">
              <w:rPr>
                <w:rFonts w:ascii="Times New Roman" w:hAnsi="Times New Roman" w:cs="Times New Roman"/>
              </w:rPr>
              <w:t> 1.59312</w:t>
            </w:r>
          </w:p>
        </w:tc>
        <w:tc>
          <w:tcPr>
            <w:tcW w:w="772" w:type="pct"/>
            <w:gridSpan w:val="2"/>
            <w:tcBorders>
              <w:bottom w:val="single" w:sz="4" w:space="0" w:color="auto"/>
            </w:tcBorders>
            <w:vAlign w:val="bottom"/>
          </w:tcPr>
          <w:p w:rsidR="0083470D" w:rsidRPr="004C6203" w:rsidRDefault="0083470D" w:rsidP="001B3997">
            <w:pPr>
              <w:autoSpaceDE w:val="0"/>
              <w:autoSpaceDN w:val="0"/>
              <w:adjustRightInd w:val="0"/>
              <w:spacing w:after="0" w:line="240" w:lineRule="auto"/>
              <w:ind w:right="20"/>
              <w:jc w:val="right"/>
              <w:rPr>
                <w:rFonts w:ascii="Times New Roman" w:hAnsi="Times New Roman" w:cs="Times New Roman"/>
              </w:rPr>
            </w:pPr>
            <w:r w:rsidRPr="004C6203">
              <w:rPr>
                <w:rFonts w:ascii="Times New Roman" w:hAnsi="Times New Roman" w:cs="Times New Roman"/>
              </w:rPr>
              <w:t>0.2259</w:t>
            </w:r>
          </w:p>
        </w:tc>
      </w:tr>
    </w:tbl>
    <w:p w:rsidR="00000F57" w:rsidRDefault="0083470D">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70D"/>
    <w:rsid w:val="0007695B"/>
    <w:rsid w:val="005615C6"/>
    <w:rsid w:val="007D4061"/>
    <w:rsid w:val="0083470D"/>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56EC7-BDC1-4969-9A5B-7BE36447C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470D"/>
    <w:rPr>
      <w:rFonts w:eastAsiaTheme="minorEastAsia"/>
      <w:lang w:eastAsia="zh-CN"/>
    </w:rPr>
  </w:style>
  <w:style w:type="paragraph" w:styleId="Heading3">
    <w:name w:val="heading 3"/>
    <w:basedOn w:val="Normal"/>
    <w:next w:val="Normal"/>
    <w:link w:val="Heading3Char"/>
    <w:uiPriority w:val="9"/>
    <w:unhideWhenUsed/>
    <w:qFormat/>
    <w:rsid w:val="0083470D"/>
    <w:pPr>
      <w:keepNext/>
      <w:keepLines/>
      <w:spacing w:before="40" w:after="0" w:line="256" w:lineRule="auto"/>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3470D"/>
    <w:rPr>
      <w:rFonts w:asciiTheme="majorHAnsi" w:eastAsiaTheme="majorEastAsia" w:hAnsiTheme="majorHAnsi" w:cstheme="majorBidi"/>
      <w:color w:val="1F4D78" w:themeColor="accent1" w:themeShade="7F"/>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529</Words>
  <Characters>3020</Characters>
  <Application>Microsoft Office Word</Application>
  <DocSecurity>0</DocSecurity>
  <Lines>25</Lines>
  <Paragraphs>7</Paragraphs>
  <ScaleCrop>false</ScaleCrop>
  <Company>Springer Nature IT</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2021-10-22T11:08:00Z</dcterms:created>
  <dcterms:modified xsi:type="dcterms:W3CDTF">2021-10-22T11:08:00Z</dcterms:modified>
</cp:coreProperties>
</file>