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50338" w14:textId="77777777" w:rsidR="00A7519B" w:rsidRPr="00504F8A" w:rsidRDefault="00A7519B" w:rsidP="00A7519B">
      <w:pPr>
        <w:jc w:val="center"/>
        <w:rPr>
          <w:rFonts w:ascii="Times New Roman" w:eastAsia="ヒラギノ明朝 Pro W3" w:hAnsi="Times New Roman" w:cs="Times New Roman"/>
          <w:b/>
          <w:bCs/>
          <w:color w:val="000000" w:themeColor="text1"/>
          <w:szCs w:val="21"/>
        </w:rPr>
      </w:pPr>
      <w:r>
        <w:rPr>
          <w:rFonts w:ascii="Times New Roman" w:eastAsia="ヒラギノ明朝 Pro W3" w:hAnsi="Times New Roman" w:cs="Times New Roman"/>
          <w:b/>
          <w:bCs/>
          <w:noProof/>
          <w:color w:val="000000" w:themeColor="text1"/>
          <w:szCs w:val="21"/>
        </w:rPr>
        <w:drawing>
          <wp:inline distT="0" distB="0" distL="0" distR="0" wp14:anchorId="51B1D186" wp14:editId="2DBFD3E1">
            <wp:extent cx="4014184" cy="1187640"/>
            <wp:effectExtent l="0" t="0" r="0" b="6350"/>
            <wp:docPr id="85199340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93409" name="図 8519934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4184" cy="11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3710" w14:textId="77777777" w:rsidR="00A7519B" w:rsidRDefault="00A7519B" w:rsidP="00A7519B">
      <w:pPr>
        <w:rPr>
          <w:rFonts w:ascii="Times New Roman" w:eastAsia="ヒラギノ明朝 Pro W3" w:hAnsi="Times New Roman" w:cs="Times New Roman"/>
          <w:color w:val="000000" w:themeColor="text1"/>
          <w:szCs w:val="21"/>
        </w:rPr>
      </w:pPr>
      <w:r w:rsidRPr="00504F8A">
        <w:rPr>
          <w:rFonts w:ascii="Times New Roman" w:eastAsia="ヒラギノ明朝 Pro W3" w:hAnsi="Times New Roman" w:cs="Times New Roman"/>
          <w:b/>
          <w:bCs/>
          <w:color w:val="000000" w:themeColor="text1"/>
          <w:szCs w:val="21"/>
        </w:rPr>
        <w:t>Supplementary Figure 1.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Sublingual administration of PspA-C-CPE with </w:t>
      </w:r>
      <w:r w:rsidRPr="00504F8A">
        <w:rPr>
          <w:rFonts w:ascii="Times New Roman" w:eastAsia="ヒラギノ明朝 Pro W3" w:hAnsi="Times New Roman" w:cs="Times New Roman"/>
          <w:i/>
          <w:iCs/>
          <w:color w:val="000000" w:themeColor="text1"/>
          <w:szCs w:val="21"/>
        </w:rPr>
        <w:t>Alcaligenes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t>lipid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A enhances antigen-specific antibody production. Mice were sublingually immunized with PBS, PspA-C-CPE </w:t>
      </w: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t>only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, or PspA-C-CPE combined with </w:t>
      </w:r>
      <w:r w:rsidRPr="00504F8A">
        <w:rPr>
          <w:rFonts w:ascii="Times New Roman" w:eastAsia="ヒラギノ明朝 Pro W3" w:hAnsi="Times New Roman" w:cs="Times New Roman"/>
          <w:i/>
          <w:iCs/>
          <w:color w:val="000000" w:themeColor="text1"/>
          <w:szCs w:val="21"/>
        </w:rPr>
        <w:t>Alcaligenes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t>lipid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A three times at </w:t>
      </w: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t>1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-week intervals. </w:t>
      </w: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t>At 1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week after the final immunization, bronchoalveolar lavage fluid (BALF) and serum were collected (n = 8 per group). PspA-specific IgG in BALF (A) and PspA-specific IgA in serum (B) were measured by ELISA. Data are representative of two independent experiments and are presented as </w:t>
      </w: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the 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>mean ±</w:t>
      </w: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>SD.</w:t>
      </w:r>
    </w:p>
    <w:p w14:paraId="4E3231BC" w14:textId="77777777" w:rsidR="00A7519B" w:rsidRPr="00504F8A" w:rsidRDefault="00A7519B" w:rsidP="00A7519B">
      <w:pPr>
        <w:rPr>
          <w:rFonts w:ascii="Times New Roman" w:eastAsia="ヒラギノ明朝 Pro W3" w:hAnsi="Times New Roman" w:cs="Times New Roman"/>
          <w:color w:val="000000" w:themeColor="text1"/>
          <w:szCs w:val="21"/>
        </w:rPr>
      </w:pPr>
    </w:p>
    <w:p w14:paraId="76AAD9BA" w14:textId="77777777" w:rsidR="00A7519B" w:rsidRPr="00504F8A" w:rsidRDefault="00A7519B" w:rsidP="00A7519B">
      <w:pPr>
        <w:rPr>
          <w:rFonts w:ascii="Times New Roman" w:eastAsia="ヒラギノ明朝 Pro W3" w:hAnsi="Times New Roman" w:cs="Times New Roman"/>
          <w:color w:val="000000" w:themeColor="text1"/>
          <w:szCs w:val="21"/>
        </w:rPr>
      </w:pPr>
      <w:r>
        <w:rPr>
          <w:rFonts w:ascii="Times New Roman" w:eastAsia="ヒラギノ明朝 Pro W3" w:hAnsi="Times New Roman" w:cs="Times New Roman"/>
          <w:noProof/>
          <w:color w:val="000000" w:themeColor="text1"/>
          <w:szCs w:val="21"/>
        </w:rPr>
        <w:drawing>
          <wp:inline distT="0" distB="0" distL="0" distR="0" wp14:anchorId="33301C2E" wp14:editId="57B5E873">
            <wp:extent cx="5400040" cy="1285875"/>
            <wp:effectExtent l="0" t="0" r="0" b="0"/>
            <wp:docPr id="98281895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18954" name="図 9828189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AC02" w14:textId="77777777" w:rsidR="00A7519B" w:rsidRDefault="00A7519B" w:rsidP="00A7519B">
      <w:pPr>
        <w:rPr>
          <w:rFonts w:ascii="Times New Roman" w:eastAsia="ヒラギノ明朝 Pro W3" w:hAnsi="Times New Roman" w:cs="Times New Roman"/>
          <w:color w:val="000000" w:themeColor="text1"/>
          <w:szCs w:val="21"/>
        </w:rPr>
      </w:pPr>
      <w:r w:rsidRPr="00504F8A">
        <w:rPr>
          <w:rFonts w:ascii="Times New Roman" w:eastAsia="ヒラギノ明朝 Pro W3" w:hAnsi="Times New Roman" w:cs="Times New Roman"/>
          <w:b/>
          <w:bCs/>
          <w:color w:val="000000" w:themeColor="text1"/>
          <w:szCs w:val="21"/>
        </w:rPr>
        <w:t>Supplementary Figure 2.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Sublingual administration of PspA-C-CPE with </w:t>
      </w:r>
      <w:r w:rsidRPr="00504F8A">
        <w:rPr>
          <w:rFonts w:ascii="Times New Roman" w:eastAsia="ヒラギノ明朝 Pro W3" w:hAnsi="Times New Roman" w:cs="Times New Roman"/>
          <w:i/>
          <w:iCs/>
          <w:color w:val="000000" w:themeColor="text1"/>
          <w:szCs w:val="21"/>
        </w:rPr>
        <w:t>Alcaligenes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t>lipid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A inhibits CPE-induced hyperkalemia by inducing C-CPE-specific neutralizing antibodies. Mice were sublingually immunized with PBS, PspA-C-CPE alone, or PspA-C-CPE combined with </w:t>
      </w:r>
      <w:r w:rsidRPr="00504F8A">
        <w:rPr>
          <w:rFonts w:ascii="Times New Roman" w:eastAsia="ヒラギノ明朝 Pro W3" w:hAnsi="Times New Roman" w:cs="Times New Roman"/>
          <w:i/>
          <w:color w:val="000000" w:themeColor="text1"/>
          <w:szCs w:val="21"/>
        </w:rPr>
        <w:t>Alcaligenes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t>lipid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A three times at </w:t>
      </w: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t>1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-week intervals. </w:t>
      </w: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t>At 1</w:t>
      </w:r>
      <w:r w:rsidRPr="00504F8A">
        <w:rPr>
          <w:rFonts w:ascii="Times New Roman" w:eastAsia="ヒラギノ明朝 Pro W3" w:hAnsi="Times New Roman" w:cs="Times New Roman"/>
          <w:color w:val="000000" w:themeColor="text1"/>
          <w:szCs w:val="21"/>
        </w:rPr>
        <w:t xml:space="preserve"> week after the final immunization, mice were intravenously injected with CPE (100 µg/kg body weight) via the tail vein (n = 8 per group). Representative images of mice were captured 30 minutes after CPE challenge.</w:t>
      </w:r>
    </w:p>
    <w:p w14:paraId="3E2690E2" w14:textId="77777777" w:rsidR="00A7519B" w:rsidRDefault="00A7519B" w:rsidP="00A7519B">
      <w:pPr>
        <w:widowControl/>
        <w:jc w:val="left"/>
        <w:rPr>
          <w:rFonts w:ascii="Times New Roman" w:eastAsia="ヒラギノ明朝 Pro W3" w:hAnsi="Times New Roman" w:cs="Times New Roman"/>
          <w:color w:val="000000" w:themeColor="text1"/>
          <w:szCs w:val="21"/>
        </w:rPr>
      </w:pPr>
      <w:r>
        <w:rPr>
          <w:rFonts w:ascii="Times New Roman" w:eastAsia="ヒラギノ明朝 Pro W3" w:hAnsi="Times New Roman" w:cs="Times New Roman"/>
          <w:color w:val="000000" w:themeColor="text1"/>
          <w:szCs w:val="21"/>
        </w:rPr>
        <w:br w:type="page"/>
      </w:r>
    </w:p>
    <w:p w14:paraId="689104DE" w14:textId="77777777" w:rsidR="00A7519B" w:rsidRPr="00504F8A" w:rsidRDefault="00A7519B" w:rsidP="00A7519B">
      <w:pPr>
        <w:jc w:val="center"/>
        <w:rPr>
          <w:rFonts w:ascii="Times New Roman" w:eastAsia="ヒラギノ明朝 Pro W3" w:hAnsi="Times New Roman" w:cs="Times New Roman"/>
          <w:color w:val="000000" w:themeColor="text1"/>
          <w:szCs w:val="21"/>
        </w:rPr>
      </w:pPr>
      <w:r>
        <w:rPr>
          <w:rFonts w:ascii="Times New Roman" w:eastAsia="ヒラギノ明朝 Pro W3" w:hAnsi="Times New Roman" w:cs="Times New Roman"/>
          <w:noProof/>
          <w:color w:val="000000" w:themeColor="text1"/>
          <w:szCs w:val="21"/>
        </w:rPr>
        <w:lastRenderedPageBreak/>
        <w:drawing>
          <wp:inline distT="0" distB="0" distL="0" distR="0" wp14:anchorId="78A37883" wp14:editId="325339A5">
            <wp:extent cx="4433197" cy="1260000"/>
            <wp:effectExtent l="0" t="0" r="0" b="0"/>
            <wp:docPr id="187902610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26102" name="図 1879026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319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9F87" w14:textId="77777777" w:rsidR="00A7519B" w:rsidRPr="00504F8A" w:rsidRDefault="00A7519B" w:rsidP="00A7519B">
      <w:pPr>
        <w:rPr>
          <w:rFonts w:ascii="Times New Roman" w:eastAsia="ヒラギノ明朝 Pro W3" w:hAnsi="Times New Roman" w:cs="Times New Roman"/>
          <w:color w:val="000000" w:themeColor="text1"/>
          <w:szCs w:val="21"/>
        </w:rPr>
      </w:pPr>
      <w:r w:rsidRPr="00504F8A">
        <w:rPr>
          <w:rFonts w:ascii="Times New Roman" w:eastAsia="ヒラギノ明朝 Pro W3" w:hAnsi="Times New Roman" w:cs="Times New Roman"/>
          <w:b/>
          <w:bCs/>
          <w:color w:val="000000" w:themeColor="text1"/>
          <w:szCs w:val="21"/>
        </w:rPr>
        <w:t>Supplementary Figure 3.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 xml:space="preserve"> Sublingual administration of PspA-C-CPE with </w:t>
      </w:r>
      <w:r w:rsidRPr="00504F8A">
        <w:rPr>
          <w:rFonts w:ascii="Times New Roman" w:hAnsi="Times New Roman" w:cs="Times New Roman"/>
          <w:i/>
          <w:iCs/>
          <w:color w:val="000000" w:themeColor="text1"/>
          <w:szCs w:val="21"/>
        </w:rPr>
        <w:t>Alcaligenes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lipid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 xml:space="preserve"> A protects against lethal </w:t>
      </w:r>
      <w:r w:rsidRPr="00504F8A">
        <w:rPr>
          <w:rFonts w:ascii="Times New Roman" w:hAnsi="Times New Roman" w:cs="Times New Roman"/>
          <w:i/>
          <w:iCs/>
          <w:color w:val="000000" w:themeColor="text1"/>
          <w:szCs w:val="21"/>
        </w:rPr>
        <w:t>S. pneumoniae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 xml:space="preserve"> respiratory infection. Mice were sublingually immunized with PBS, PspA-C-CPE alone, or PspA-C-CPE combined with </w:t>
      </w:r>
      <w:r w:rsidRPr="00504F8A">
        <w:rPr>
          <w:rFonts w:ascii="Times New Roman" w:hAnsi="Times New Roman" w:cs="Times New Roman"/>
          <w:i/>
          <w:iCs/>
          <w:color w:val="000000" w:themeColor="text1"/>
          <w:szCs w:val="21"/>
        </w:rPr>
        <w:t>Alcaligenes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lipid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 xml:space="preserve"> A three times at 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 xml:space="preserve">-week intervals. </w:t>
      </w:r>
      <w:r>
        <w:rPr>
          <w:rFonts w:ascii="Times New Roman" w:hAnsi="Times New Roman" w:cs="Times New Roman"/>
          <w:color w:val="000000" w:themeColor="text1"/>
          <w:szCs w:val="21"/>
        </w:rPr>
        <w:t>At 1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 xml:space="preserve"> week after the final immunization, mice were challenged with a lethal dose of </w:t>
      </w:r>
      <w:r w:rsidRPr="00504F8A">
        <w:rPr>
          <w:rFonts w:ascii="Times New Roman" w:hAnsi="Times New Roman" w:cs="Times New Roman"/>
          <w:i/>
          <w:iCs/>
          <w:color w:val="000000" w:themeColor="text1"/>
          <w:szCs w:val="21"/>
        </w:rPr>
        <w:t>S. pneumoniae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 xml:space="preserve"> via the respiratory tract. Body weight changes were monitored for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up to 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 xml:space="preserve">14 days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after 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 xml:space="preserve">infection.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Note, </w:t>
      </w:r>
      <w:r w:rsidRPr="007E1C95">
        <w:rPr>
          <w:rFonts w:ascii="Times New Roman" w:hAnsi="Times New Roman" w:cs="Times New Roman"/>
          <w:color w:val="000000" w:themeColor="text1"/>
          <w:szCs w:val="21"/>
        </w:rPr>
        <w:t>mice that lost 20% or more of their preinfection body weight were killed due to reaching a humane endpoint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  <w:r w:rsidRPr="00504F8A">
        <w:rPr>
          <w:rFonts w:ascii="Times New Roman" w:hAnsi="Times New Roman" w:cs="Times New Roman"/>
          <w:color w:val="000000" w:themeColor="text1"/>
          <w:szCs w:val="21"/>
        </w:rPr>
        <w:t>Data are expressed as a percentage of the initial body weight prior to infection. Data are representative of two independent experiments.</w:t>
      </w:r>
    </w:p>
    <w:p w14:paraId="7B18C093" w14:textId="77777777" w:rsidR="00A7519B" w:rsidRPr="00504F8A" w:rsidRDefault="00A7519B" w:rsidP="00A7519B">
      <w:pPr>
        <w:ind w:firstLineChars="100" w:firstLine="210"/>
        <w:rPr>
          <w:rFonts w:ascii="Times New Roman" w:hAnsi="Times New Roman" w:cs="Times New Roman"/>
          <w:color w:val="000000" w:themeColor="text1"/>
          <w:szCs w:val="21"/>
        </w:rPr>
      </w:pPr>
    </w:p>
    <w:p w14:paraId="7FA0D2FD" w14:textId="77777777" w:rsidR="00E023F9" w:rsidRDefault="00E023F9"/>
    <w:sectPr w:rsidR="00E023F9" w:rsidSect="00A7519B">
      <w:pgSz w:w="11906" w:h="16838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ヒラギノ明朝 Pro W3">
    <w:altName w:val="Yu Gothic"/>
    <w:charset w:val="80"/>
    <w:family w:val="roman"/>
    <w:pitch w:val="variable"/>
    <w:sig w:usb0="E00002FF" w:usb1="7AC7FF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9B"/>
    <w:rsid w:val="000C4033"/>
    <w:rsid w:val="00173ED8"/>
    <w:rsid w:val="002F50B1"/>
    <w:rsid w:val="004B42CB"/>
    <w:rsid w:val="005F2B46"/>
    <w:rsid w:val="006E1731"/>
    <w:rsid w:val="00866D74"/>
    <w:rsid w:val="00882A73"/>
    <w:rsid w:val="00906905"/>
    <w:rsid w:val="0095305D"/>
    <w:rsid w:val="00A7519B"/>
    <w:rsid w:val="00B10170"/>
    <w:rsid w:val="00B260B7"/>
    <w:rsid w:val="00B85331"/>
    <w:rsid w:val="00C94D66"/>
    <w:rsid w:val="00DE7E69"/>
    <w:rsid w:val="00E023F9"/>
    <w:rsid w:val="00E9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4D1A4"/>
  <w15:chartTrackingRefBased/>
  <w15:docId w15:val="{8950BC7F-6D41-46B0-A218-575BD4ED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19B"/>
    <w:pPr>
      <w:widowControl w:val="0"/>
      <w:spacing w:after="0" w:line="240" w:lineRule="auto"/>
      <w:jc w:val="both"/>
    </w:pPr>
    <w:rPr>
      <w:rFonts w:eastAsiaTheme="minorEastAsia"/>
      <w:sz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519B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519B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519B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IN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519B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lang w:val="en-IN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519B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lang w:val="en-IN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519B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lang w:val="en-IN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519B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lang w:val="en-IN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519B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lang w:val="en-IN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519B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lang w:val="en-I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51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51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51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51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51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51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51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51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51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519B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</w:rPr>
  </w:style>
  <w:style w:type="character" w:customStyle="1" w:styleId="TitleChar">
    <w:name w:val="Title Char"/>
    <w:basedOn w:val="DefaultParagraphFont"/>
    <w:link w:val="Title"/>
    <w:uiPriority w:val="10"/>
    <w:rsid w:val="00A751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519B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val="en-IN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A751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519B"/>
    <w:pPr>
      <w:widowControl/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sz w:val="24"/>
      <w:lang w:val="en-IN" w:eastAsia="en-US"/>
    </w:rPr>
  </w:style>
  <w:style w:type="character" w:customStyle="1" w:styleId="QuoteChar">
    <w:name w:val="Quote Char"/>
    <w:basedOn w:val="DefaultParagraphFont"/>
    <w:link w:val="Quote"/>
    <w:uiPriority w:val="29"/>
    <w:rsid w:val="00A751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519B"/>
    <w:pPr>
      <w:widowControl/>
      <w:spacing w:after="160" w:line="278" w:lineRule="auto"/>
      <w:ind w:left="720"/>
      <w:contextualSpacing/>
      <w:jc w:val="left"/>
    </w:pPr>
    <w:rPr>
      <w:rFonts w:eastAsiaTheme="minorHAnsi"/>
      <w:sz w:val="24"/>
      <w:lang w:val="en-IN" w:eastAsia="en-US"/>
    </w:rPr>
  </w:style>
  <w:style w:type="character" w:styleId="IntenseEmphasis">
    <w:name w:val="Intense Emphasis"/>
    <w:basedOn w:val="DefaultParagraphFont"/>
    <w:uiPriority w:val="21"/>
    <w:qFormat/>
    <w:rsid w:val="00A751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519B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lang w:val="en-IN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51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519B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75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Trupti Sudge</dc:creator>
  <cp:keywords/>
  <dc:description/>
  <cp:lastModifiedBy>Trupti Sudge</cp:lastModifiedBy>
  <cp:revision>1</cp:revision>
  <dcterms:created xsi:type="dcterms:W3CDTF">2026-07-01T15:16:00Z</dcterms:created>
  <dcterms:modified xsi:type="dcterms:W3CDTF">2026-07-01T15:16:00Z</dcterms:modified>
</cp:coreProperties>
</file>