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28"/>
        </w:rPr>
        <w:t>Survey Instrument and Data-Collection Protocol</w:t>
      </w:r>
    </w:p>
    <w:p>
      <w:pPr>
        <w:jc w:val="center"/>
      </w:pPr>
      <w:r>
        <w:rPr>
          <w:i/>
          <w:sz w:val="22"/>
        </w:rPr>
        <w:t>Anonymous supplementary documentation for peer review</w:t>
      </w:r>
    </w:p>
    <w:p>
      <w:r>
        <w:t>This document summarizes the survey constructs, item-code structure, response format, and data-collection protocol used for the study. It is based on the manuscript and the available SPSS variable structure. Verbatim item wording was not available as a separate questionnaire file in the materials provided for this package; therefore, the documentation below identifies all constructs and item codes without reconstructing item wording.</w:t>
      </w:r>
    </w:p>
    <w:p>
      <w:r>
        <w:rPr>
          <w:b/>
        </w:rPr>
        <w:t>Data-Collection Protocol</w:t>
      </w:r>
    </w:p>
    <w:p>
      <w:r>
        <w:t>Data were collected from school teachers in four Chinese provincial-level regions from 2024 to 2025. Participation was voluntary. Respondents received information about the study purpose, confidentiality, anonymity, and the right to withdraw before completing the questionnaire. The study followed the Declaration of Helsinki and was approved by the relevant ethics committee, blinded here for review.</w:t>
      </w:r>
    </w:p>
    <w:p>
      <w:r>
        <w:rPr>
          <w:b/>
        </w:rPr>
        <w:t>Survey Structure</w:t>
      </w:r>
    </w:p>
    <w:p>
      <w:r>
        <w:t>The instrument contained three sections: demographic information, personal psychological factors, and workplace conditions. The available data files preserve both item-level columns for most scales and processed composite variables used in the analyses.</w:t>
      </w:r>
    </w:p>
    <w:p>
      <w:r>
        <w:rPr>
          <w:b/>
        </w:rPr>
        <w:t>Response Format</w:t>
      </w:r>
    </w:p>
    <w:p>
      <w:r>
        <w:t>Items were administered using Likert-type response scales. The manuscript reports that the scales used either five-point or four-point response formats, depending on the source instrument. Composite variables were calculated as scale means in the source SPSS file.</w:t>
      </w:r>
    </w:p>
    <w:tbl>
      <w:tblPr>
        <w:tblStyle w:val="TableGrid"/>
        <w:tblW w:type="auto" w:w="0"/>
        <w:jc w:val="center"/>
        <w:tblLook w:firstColumn="1" w:firstRow="1" w:lastColumn="0" w:lastRow="0" w:noHBand="0" w:noVBand="1" w:val="04A0"/>
      </w:tblPr>
      <w:tblGrid>
        <w:gridCol w:w="2160"/>
        <w:gridCol w:w="2160"/>
        <w:gridCol w:w="2160"/>
        <w:gridCol w:w="2160"/>
      </w:tblGrid>
      <w:tr>
        <w:tc>
          <w:tcPr>
            <w:tcW w:type="dxa" w:w="2160"/>
          </w:tcPr>
          <w:p>
            <w:r>
              <w:t>Construct/domain</w:t>
            </w:r>
          </w:p>
        </w:tc>
        <w:tc>
          <w:tcPr>
            <w:tcW w:type="dxa" w:w="2160"/>
          </w:tcPr>
          <w:p>
            <w:r>
              <w:t>Item or variable codes</w:t>
            </w:r>
          </w:p>
        </w:tc>
        <w:tc>
          <w:tcPr>
            <w:tcW w:type="dxa" w:w="2160"/>
          </w:tcPr>
          <w:p>
            <w:r>
              <w:t>Source noted in manuscript</w:t>
            </w:r>
          </w:p>
        </w:tc>
        <w:tc>
          <w:tcPr>
            <w:tcW w:type="dxa" w:w="2160"/>
          </w:tcPr>
          <w:p>
            <w:r>
              <w:t>Notes</w:t>
            </w:r>
          </w:p>
        </w:tc>
      </w:tr>
      <w:tr>
        <w:tc>
          <w:tcPr>
            <w:tcW w:type="dxa" w:w="2160"/>
            <w:vAlign w:val="top"/>
          </w:tcPr>
          <w:p>
            <w:r>
              <w:t>Autonomous motivation for CPD</w:t>
            </w:r>
          </w:p>
        </w:tc>
        <w:tc>
          <w:tcPr>
            <w:tcW w:type="dxa" w:w="2160"/>
            <w:vAlign w:val="top"/>
          </w:tcPr>
          <w:p>
            <w:r>
              <w:t>ER1-ER5; IR1-IR5; ID1-ID5; IM1-IM5; composites ER, IR, ID, IM, TAML</w:t>
            </w:r>
          </w:p>
        </w:tc>
        <w:tc>
          <w:tcPr>
            <w:tcW w:type="dxa" w:w="2160"/>
            <w:vAlign w:val="top"/>
          </w:tcPr>
          <w:p>
            <w:r>
              <w:t>Teacher Motivation Inventory (Lam et al., 2010)</w:t>
            </w:r>
          </w:p>
        </w:tc>
        <w:tc>
          <w:tcPr>
            <w:tcW w:type="dxa" w:w="2160"/>
            <w:vAlign w:val="top"/>
          </w:tcPr>
          <w:p>
            <w:r>
              <w:t>TAML is the autonomous motivation composite used as the primary outcome.</w:t>
            </w:r>
          </w:p>
        </w:tc>
      </w:tr>
      <w:tr>
        <w:tc>
          <w:tcPr>
            <w:tcW w:type="dxa" w:w="2160"/>
            <w:vAlign w:val="top"/>
          </w:tcPr>
          <w:p>
            <w:r>
              <w:t>Teacher self-efficacy</w:t>
            </w:r>
          </w:p>
        </w:tc>
        <w:tc>
          <w:tcPr>
            <w:tcW w:type="dxa" w:w="2160"/>
            <w:vAlign w:val="top"/>
          </w:tcPr>
          <w:p>
            <w:r>
              <w:t>EIS1-EIS4; ECM1-ECM4; ESE1-ESE4; composites EIS, ECM, ESE, TSE</w:t>
            </w:r>
          </w:p>
        </w:tc>
        <w:tc>
          <w:tcPr>
            <w:tcW w:type="dxa" w:w="2160"/>
            <w:vAlign w:val="top"/>
          </w:tcPr>
          <w:p>
            <w:r>
              <w:t>Teachers’ Sense of Efficacy Scale (Tschannen-Moran &amp; Hoy, 2001)</w:t>
            </w:r>
          </w:p>
        </w:tc>
        <w:tc>
          <w:tcPr>
            <w:tcW w:type="dxa" w:w="2160"/>
            <w:vAlign w:val="top"/>
          </w:tcPr>
          <w:p>
            <w:r>
              <w:t>Subscales cover instructional strategies, classroom management, and student engagement.</w:t>
            </w:r>
          </w:p>
        </w:tc>
      </w:tr>
      <w:tr>
        <w:tc>
          <w:tcPr>
            <w:tcW w:type="dxa" w:w="2160"/>
            <w:vAlign w:val="top"/>
          </w:tcPr>
          <w:p>
            <w:r>
              <w:t>Learning conceptions: student learning</w:t>
            </w:r>
          </w:p>
        </w:tc>
        <w:tc>
          <w:tcPr>
            <w:tcW w:type="dxa" w:w="2160"/>
            <w:vAlign w:val="top"/>
          </w:tcPr>
          <w:p>
            <w:r>
              <w:t>SL_RE1-SL_RE5; SL_KC1-SL_KC4; SL_LS1-SL_LS4; SL_AF1-SL_AF5; SL_UT1-SL_UT6</w:t>
            </w:r>
          </w:p>
        </w:tc>
        <w:tc>
          <w:tcPr>
            <w:tcW w:type="dxa" w:w="2160"/>
            <w:vAlign w:val="top"/>
          </w:tcPr>
          <w:p>
            <w:r>
              <w:t>Teacher Conceptions of Learning Questionnaire (Bolhuis &amp; Voeten, 2004)</w:t>
            </w:r>
          </w:p>
        </w:tc>
        <w:tc>
          <w:tcPr>
            <w:tcW w:type="dxa" w:w="2160"/>
            <w:vAlign w:val="top"/>
          </w:tcPr>
          <w:p>
            <w:r>
              <w:t>Dimensions cover regulation, knowledge construction, social learning, ability beliefs, and uncertainty.</w:t>
            </w:r>
          </w:p>
        </w:tc>
      </w:tr>
      <w:tr>
        <w:tc>
          <w:tcPr>
            <w:tcW w:type="dxa" w:w="2160"/>
            <w:vAlign w:val="top"/>
          </w:tcPr>
          <w:p>
            <w:r>
              <w:t>Learning conceptions: teachers’ own learning</w:t>
            </w:r>
          </w:p>
        </w:tc>
        <w:tc>
          <w:tcPr>
            <w:tcW w:type="dxa" w:w="2160"/>
            <w:vAlign w:val="top"/>
          </w:tcPr>
          <w:p>
            <w:r>
              <w:t>TL_RE1-TL_RE4; TL_KC1-TL_KC4; TL_LS1-TL_LS5; TL_AF1-TL_AF4; TL_UT1-TL_UT5</w:t>
            </w:r>
          </w:p>
        </w:tc>
        <w:tc>
          <w:tcPr>
            <w:tcW w:type="dxa" w:w="2160"/>
            <w:vAlign w:val="top"/>
          </w:tcPr>
          <w:p>
            <w:r>
              <w:t>Teacher Conceptions of Learning Questionnaire (Bolhuis &amp; Voeten, 2004)</w:t>
            </w:r>
          </w:p>
        </w:tc>
        <w:tc>
          <w:tcPr>
            <w:tcW w:type="dxa" w:w="2160"/>
            <w:vAlign w:val="top"/>
          </w:tcPr>
          <w:p>
            <w:r>
              <w:t>Parallel dimensions for teachers’ own learning.</w:t>
            </w:r>
          </w:p>
        </w:tc>
      </w:tr>
      <w:tr>
        <w:tc>
          <w:tcPr>
            <w:tcW w:type="dxa" w:w="2160"/>
            <w:vAlign w:val="top"/>
          </w:tcPr>
          <w:p>
            <w:r>
              <w:t>Principal leadership</w:t>
            </w:r>
          </w:p>
        </w:tc>
        <w:tc>
          <w:tcPr>
            <w:tcW w:type="dxa" w:w="2160"/>
            <w:vAlign w:val="top"/>
          </w:tcPr>
          <w:p>
            <w:r>
              <w:t>PT1-PT6; composite PT</w:t>
            </w:r>
          </w:p>
        </w:tc>
        <w:tc>
          <w:tcPr>
            <w:tcW w:type="dxa" w:w="2160"/>
            <w:vAlign w:val="top"/>
          </w:tcPr>
          <w:p>
            <w:r>
              <w:t>Leadership Power / transformational leadership scale (Geijsel et al., 2009)</w:t>
            </w:r>
          </w:p>
        </w:tc>
        <w:tc>
          <w:tcPr>
            <w:tcW w:type="dxa" w:w="2160"/>
            <w:vAlign w:val="top"/>
          </w:tcPr>
          <w:p>
            <w:r>
              <w:t>Composite PT is used in the processed analysis dataset.</w:t>
            </w:r>
          </w:p>
        </w:tc>
      </w:tr>
      <w:tr>
        <w:tc>
          <w:tcPr>
            <w:tcW w:type="dxa" w:w="2160"/>
            <w:vAlign w:val="top"/>
          </w:tcPr>
          <w:p>
            <w:r>
              <w:t>Workplace conditions</w:t>
            </w:r>
          </w:p>
        </w:tc>
        <w:tc>
          <w:tcPr>
            <w:tcW w:type="dxa" w:w="2160"/>
            <w:vAlign w:val="top"/>
          </w:tcPr>
          <w:p>
            <w:r>
              <w:t>SSC, TA, WP, EP</w:t>
            </w:r>
          </w:p>
        </w:tc>
        <w:tc>
          <w:tcPr>
            <w:tcW w:type="dxa" w:w="2160"/>
            <w:vAlign w:val="top"/>
          </w:tcPr>
          <w:p>
            <w:r>
              <w:t>Veldhoven and Meijman (1994)</w:t>
            </w:r>
          </w:p>
        </w:tc>
        <w:tc>
          <w:tcPr>
            <w:tcW w:type="dxa" w:w="2160"/>
            <w:vAlign w:val="top"/>
          </w:tcPr>
          <w:p>
            <w:r>
              <w:t>Composite variables for colleague support, task autonomy, work pressure, and emotional pressure.</w:t>
            </w:r>
          </w:p>
        </w:tc>
      </w:tr>
      <w:tr>
        <w:tc>
          <w:tcPr>
            <w:tcW w:type="dxa" w:w="2160"/>
            <w:vAlign w:val="top"/>
          </w:tcPr>
          <w:p>
            <w:r>
              <w:t>Demographics</w:t>
            </w:r>
          </w:p>
        </w:tc>
        <w:tc>
          <w:tcPr>
            <w:tcW w:type="dxa" w:w="2160"/>
            <w:vAlign w:val="top"/>
          </w:tcPr>
          <w:p>
            <w:r>
              <w:t>SCHOOL_CLUSTER, AGE_final, SEX, SUBJ, GRADE, TEACHEXP</w:t>
            </w:r>
          </w:p>
        </w:tc>
        <w:tc>
          <w:tcPr>
            <w:tcW w:type="dxa" w:w="2160"/>
            <w:vAlign w:val="top"/>
          </w:tcPr>
          <w:p>
            <w:r>
              <w:t>Study questionnaire</w:t>
            </w:r>
          </w:p>
        </w:tc>
        <w:tc>
          <w:tcPr>
            <w:tcW w:type="dxa" w:w="2160"/>
            <w:vAlign w:val="top"/>
          </w:tcPr>
          <w:p>
            <w:r>
              <w:t>Direct identifiers were removed; school codes were recoded.</w:t>
            </w:r>
          </w:p>
        </w:tc>
      </w:tr>
    </w:tbl>
    <w:p>
      <w:r>
        <w:rPr>
          <w:b/>
        </w:rPr>
        <w:t>Quality Screening and Processing</w:t>
      </w:r>
    </w:p>
    <w:p>
      <w:r>
        <w:t>The raw survey export contained 531 records. The valid analysis sample retained 472 records with a valid autonomous motivation outcome. The binary classification target was created using the sample median of TAML (3.90). Further details are provided in data_processing_log.csv and variable_codebook_and_processing_log.xlsx.</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eastAsia="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eastAsia="Times New Roman"/>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eastAsia="Times New Roman"/>
      <w:b/>
      <w:bCs/>
      <w:color w:val="4F81BD" w:themeColor="accent1"/>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Times New Roman" w:hAnsi="Times New Roman" w:eastAsia="Times New Roman"/>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2013-12-23T23:15:00Z</dcterms:created>
  <dcterms:modified xsi:type="dcterms:W3CDTF">2013-12-23T23:15:00Z</dcterms:modified>
  <cp:category/>
</cp:coreProperties>
</file>