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B466A6">
      <w:pPr>
        <w:jc w:val="center"/>
        <w:rPr>
          <w:rFonts w:hint="default" w:ascii="Times New Roman" w:hAnsi="Times New Roman" w:eastAsia="宋体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宋体" w:cs="Times New Roman"/>
          <w:b/>
          <w:bCs/>
          <w:sz w:val="20"/>
          <w:szCs w:val="20"/>
        </w:rPr>
        <w:t>Table S1 Sensitivity analysis of the association between acetaminophen use and clinical outcomes (Supplementary Material)</w:t>
      </w: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80"/>
        <w:gridCol w:w="1677"/>
        <w:gridCol w:w="1303"/>
        <w:gridCol w:w="1303"/>
        <w:gridCol w:w="1303"/>
        <w:gridCol w:w="1360"/>
      </w:tblGrid>
      <w:tr w14:paraId="0DA41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2216B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Subgroups</w:t>
            </w:r>
          </w:p>
        </w:tc>
        <w:tc>
          <w:tcPr>
            <w:tcW w:w="0" w:type="auto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54B06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Groups</w:t>
            </w:r>
          </w:p>
        </w:tc>
        <w:tc>
          <w:tcPr>
            <w:tcW w:w="0" w:type="auto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61663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 xml:space="preserve">Model 1OR (95% CI), </w:t>
            </w:r>
            <w:r>
              <w:rPr>
                <w:rStyle w:val="5"/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-value</w:t>
            </w:r>
          </w:p>
        </w:tc>
        <w:tc>
          <w:tcPr>
            <w:tcW w:w="0" w:type="auto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3E203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 xml:space="preserve">Model 2OR (95% CI), </w:t>
            </w:r>
            <w:r>
              <w:rPr>
                <w:rStyle w:val="5"/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-value</w:t>
            </w:r>
          </w:p>
        </w:tc>
        <w:tc>
          <w:tcPr>
            <w:tcW w:w="0" w:type="auto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FC10B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 xml:space="preserve">Model 3OR (95% CI), </w:t>
            </w:r>
            <w:r>
              <w:rPr>
                <w:rStyle w:val="5"/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-value</w:t>
            </w:r>
          </w:p>
        </w:tc>
        <w:tc>
          <w:tcPr>
            <w:tcW w:w="0" w:type="auto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FF477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 xml:space="preserve">PSM modelOR (95% CI), </w:t>
            </w:r>
            <w:r>
              <w:rPr>
                <w:rStyle w:val="5"/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-value</w:t>
            </w:r>
          </w:p>
        </w:tc>
      </w:tr>
      <w:tr w14:paraId="53E67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E64A6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Non-demented population</w:t>
            </w:r>
          </w:p>
        </w:tc>
        <w:tc>
          <w:tcPr>
            <w:tcW w:w="0" w:type="auto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3C834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No use of acetaminophen (Reference)</w:t>
            </w:r>
          </w:p>
        </w:tc>
        <w:tc>
          <w:tcPr>
            <w:tcW w:w="0" w:type="auto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A3331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egoe UI Emoji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4CDCD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egoe UI Emoji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F593D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egoe UI Emoji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77EB1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egoe UI Emoji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Reference</w:t>
            </w:r>
          </w:p>
        </w:tc>
      </w:tr>
      <w:tr w14:paraId="6912E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26B55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FC230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Use of acetaminophen</w:t>
            </w:r>
          </w:p>
        </w:tc>
        <w:tc>
          <w:tcPr>
            <w:tcW w:w="0" w:type="auto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99304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 xml:space="preserve">0.85 (0.78, 0.93), </w:t>
            </w:r>
            <w:r>
              <w:rPr>
                <w:rStyle w:val="5"/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&lt;0.001</w:t>
            </w:r>
          </w:p>
        </w:tc>
        <w:tc>
          <w:tcPr>
            <w:tcW w:w="0" w:type="auto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5DE0B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 xml:space="preserve">0.90 (0.81, 0.98), </w:t>
            </w:r>
            <w:r>
              <w:rPr>
                <w:rStyle w:val="5"/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=0.018</w:t>
            </w:r>
          </w:p>
        </w:tc>
        <w:tc>
          <w:tcPr>
            <w:tcW w:w="0" w:type="auto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9044A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 xml:space="preserve">0.87 (0.77, 0.98), </w:t>
            </w:r>
            <w:r>
              <w:rPr>
                <w:rStyle w:val="5"/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=0.017</w:t>
            </w:r>
          </w:p>
        </w:tc>
        <w:tc>
          <w:tcPr>
            <w:tcW w:w="0" w:type="auto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A455D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 xml:space="preserve">0.75 (0.63, 0.89), </w:t>
            </w:r>
            <w:r>
              <w:rPr>
                <w:rStyle w:val="5"/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=0.001</w:t>
            </w:r>
          </w:p>
        </w:tc>
      </w:tr>
      <w:tr w14:paraId="2EB12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EA968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GCS &gt; 8 population</w:t>
            </w:r>
          </w:p>
        </w:tc>
        <w:tc>
          <w:tcPr>
            <w:tcW w:w="0" w:type="auto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9A690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No use of acetaminophen (Reference)</w:t>
            </w:r>
          </w:p>
        </w:tc>
        <w:tc>
          <w:tcPr>
            <w:tcW w:w="0" w:type="auto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13E82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egoe UI Emoji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A6339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egoe UI Emoji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3EED6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egoe UI Emoji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06B90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egoe UI Emoji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Reference</w:t>
            </w:r>
          </w:p>
        </w:tc>
      </w:tr>
      <w:tr w14:paraId="7833D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E96BD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F6012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Use of acetaminophen</w:t>
            </w:r>
          </w:p>
        </w:tc>
        <w:tc>
          <w:tcPr>
            <w:tcW w:w="0" w:type="auto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1BEAF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 xml:space="preserve">0.25 (0.19, 0.33), </w:t>
            </w:r>
            <w:r>
              <w:rPr>
                <w:rStyle w:val="5"/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&lt;0.001</w:t>
            </w:r>
          </w:p>
        </w:tc>
        <w:tc>
          <w:tcPr>
            <w:tcW w:w="0" w:type="auto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9E13C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 xml:space="preserve">0.28 (0.21, 0.37), </w:t>
            </w:r>
            <w:r>
              <w:rPr>
                <w:rStyle w:val="5"/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&lt;0.001</w:t>
            </w:r>
          </w:p>
        </w:tc>
        <w:tc>
          <w:tcPr>
            <w:tcW w:w="0" w:type="auto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7D9C3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 xml:space="preserve">0.51 (0.36, 0.73), </w:t>
            </w:r>
            <w:r>
              <w:rPr>
                <w:rStyle w:val="5"/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&lt;0.001</w:t>
            </w:r>
          </w:p>
        </w:tc>
        <w:tc>
          <w:tcPr>
            <w:tcW w:w="0" w:type="auto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FD741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 xml:space="preserve">0.40 (0.20, 0.78), </w:t>
            </w:r>
            <w:r>
              <w:rPr>
                <w:rStyle w:val="5"/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=0.007</w:t>
            </w:r>
          </w:p>
        </w:tc>
      </w:tr>
    </w:tbl>
    <w:p w14:paraId="0C274F2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360" w:lineRule="exact"/>
        <w:ind w:left="0" w:leftChars="0" w:right="0" w:firstLine="720" w:firstLineChars="0"/>
        <w:jc w:val="both"/>
        <w:textAlignment w:val="auto"/>
        <w:rPr>
          <w:rFonts w:hint="default" w:ascii="Times New Roman" w:hAnsi="Times New Roman" w:eastAsia="宋体" w:cs="Times New Roman"/>
          <w:b/>
          <w:bCs/>
          <w:i w:val="0"/>
          <w:strike w:val="0"/>
          <w:color w:val="auto"/>
          <w:sz w:val="18"/>
          <w:szCs w:val="18"/>
          <w:u w:val="none"/>
        </w:rPr>
      </w:pPr>
      <w:r>
        <w:rPr>
          <w:rFonts w:hint="default" w:ascii="Times New Roman" w:hAnsi="Times New Roman" w:eastAsia="宋体" w:cs="Times New Roman"/>
          <w:b/>
          <w:bCs/>
          <w:i w:val="0"/>
          <w:strike w:val="0"/>
          <w:color w:val="auto"/>
          <w:sz w:val="18"/>
          <w:szCs w:val="18"/>
          <w:u w:val="none"/>
        </w:rPr>
        <w:t>This table is a supplementary material for the main text, which conducts subgroup sensitivity analysis on the correlation between acetaminophen use and clinical outcomes in two specific populations.</w:t>
      </w:r>
    </w:p>
    <w:p w14:paraId="53D5612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360" w:lineRule="exact"/>
        <w:ind w:left="0" w:leftChars="0" w:right="0" w:firstLine="720" w:firstLineChars="0"/>
        <w:jc w:val="both"/>
        <w:textAlignment w:val="auto"/>
        <w:rPr>
          <w:rFonts w:hint="default" w:ascii="Times New Roman" w:hAnsi="Times New Roman" w:eastAsia="宋体" w:cs="Times New Roman"/>
          <w:b/>
          <w:bCs/>
          <w:i w:val="0"/>
          <w:strike w:val="0"/>
          <w:color w:val="auto"/>
          <w:sz w:val="18"/>
          <w:szCs w:val="18"/>
          <w:u w:val="none"/>
        </w:rPr>
      </w:pPr>
      <w:r>
        <w:rPr>
          <w:rFonts w:hint="default" w:ascii="Times New Roman" w:hAnsi="Times New Roman" w:eastAsia="宋体" w:cs="Times New Roman"/>
          <w:b/>
          <w:bCs/>
          <w:i w:val="0"/>
          <w:strike w:val="0"/>
          <w:color w:val="auto"/>
          <w:sz w:val="18"/>
          <w:szCs w:val="18"/>
          <w:u w:val="none"/>
        </w:rPr>
        <w:t xml:space="preserve">The </w:t>
      </w:r>
      <w:r>
        <w:rPr>
          <w:rStyle w:val="4"/>
          <w:rFonts w:hint="default" w:ascii="Times New Roman" w:hAnsi="Times New Roman" w:eastAsia="宋体" w:cs="Times New Roman"/>
          <w:b/>
          <w:bCs/>
          <w:i w:val="0"/>
          <w:strike w:val="0"/>
          <w:color w:val="auto"/>
          <w:sz w:val="18"/>
          <w:szCs w:val="18"/>
          <w:u w:val="none"/>
        </w:rPr>
        <w:t>no use of acetaminophen</w:t>
      </w:r>
      <w:r>
        <w:rPr>
          <w:rFonts w:hint="default" w:ascii="Times New Roman" w:hAnsi="Times New Roman" w:eastAsia="宋体" w:cs="Times New Roman"/>
          <w:b/>
          <w:bCs/>
          <w:i w:val="0"/>
          <w:strike w:val="0"/>
          <w:color w:val="auto"/>
          <w:sz w:val="18"/>
          <w:szCs w:val="18"/>
          <w:u w:val="none"/>
        </w:rPr>
        <w:t xml:space="preserve"> group was set as the reference group for all subgroup and model analyses, with the odds ratio (OR) defined as 1.00.</w:t>
      </w:r>
    </w:p>
    <w:p w14:paraId="5421D9A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360" w:lineRule="exact"/>
        <w:ind w:left="0" w:leftChars="0" w:right="0" w:rightChars="0" w:firstLine="720" w:firstLineChars="0"/>
        <w:jc w:val="both"/>
        <w:textAlignment w:val="auto"/>
        <w:rPr>
          <w:rFonts w:hint="default" w:ascii="Times New Roman" w:hAnsi="Times New Roman" w:eastAsia="宋体" w:cs="Times New Roman"/>
          <w:b/>
          <w:bCs/>
          <w:i w:val="0"/>
          <w:strike w:val="0"/>
          <w:color w:val="auto"/>
          <w:kern w:val="2"/>
          <w:sz w:val="18"/>
          <w:szCs w:val="18"/>
          <w:u w:val="none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/>
          <w:b/>
          <w:bCs/>
          <w:i w:val="0"/>
          <w:strike w:val="0"/>
          <w:kern w:val="2"/>
          <w:sz w:val="18"/>
          <w:szCs w:val="18"/>
          <w:u w:val="none"/>
          <w:lang w:val="en-US" w:eastAsia="zh-CN" w:bidi="ar-SA"/>
          <w14:ligatures w14:val="standardContextual"/>
        </w:rPr>
        <w:t>Abbreviations: OR (Odds Ratio), CI (Confidence Interval), PSM (Propensity Score Matching), GCS (Glasgow Coma Scale).</w:t>
      </w:r>
    </w:p>
    <w:p w14:paraId="32B015B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360" w:lineRule="exact"/>
        <w:ind w:left="0" w:leftChars="0" w:right="0" w:rightChars="0" w:firstLine="720" w:firstLineChars="0"/>
        <w:jc w:val="both"/>
        <w:textAlignment w:val="auto"/>
        <w:rPr>
          <w:rFonts w:hint="default" w:ascii="Times New Roman" w:hAnsi="Times New Roman" w:eastAsia="宋体" w:cs="Times New Roman"/>
          <w:b/>
          <w:bCs/>
          <w:i w:val="0"/>
          <w:strike w:val="0"/>
          <w:color w:val="auto"/>
          <w:kern w:val="2"/>
          <w:sz w:val="18"/>
          <w:szCs w:val="18"/>
          <w:u w:val="none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/>
          <w:b/>
          <w:bCs/>
          <w:i w:val="0"/>
          <w:strike w:val="0"/>
          <w:kern w:val="2"/>
          <w:sz w:val="18"/>
          <w:szCs w:val="18"/>
          <w:u w:val="none"/>
          <w:lang w:val="en-US" w:eastAsia="zh-CN" w:bidi="ar-SA"/>
          <w14:ligatures w14:val="standardContextual"/>
        </w:rPr>
        <w:t>Model 1, Model 2 and Model 3 represent three different multivariate adjusted regression models with gradient correction of confounding factors in the main text; the PSM model is the analysis model after propensity score matching.</w:t>
      </w:r>
    </w:p>
    <w:p w14:paraId="42766FB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360" w:lineRule="exact"/>
        <w:ind w:left="0" w:leftChars="0" w:right="0" w:rightChars="0" w:firstLine="720" w:firstLineChars="0"/>
        <w:jc w:val="both"/>
        <w:textAlignment w:val="auto"/>
        <w:rPr>
          <w:rFonts w:hint="default" w:ascii="Times New Roman" w:hAnsi="Times New Roman" w:eastAsia="宋体" w:cs="Times New Roman"/>
          <w:b/>
          <w:bCs/>
          <w:i w:val="0"/>
          <w:strike w:val="0"/>
          <w:color w:val="auto"/>
          <w:kern w:val="2"/>
          <w:sz w:val="18"/>
          <w:szCs w:val="18"/>
          <w:u w:val="none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/>
          <w:b/>
          <w:bCs/>
          <w:i w:val="0"/>
          <w:strike w:val="0"/>
          <w:kern w:val="2"/>
          <w:sz w:val="18"/>
          <w:szCs w:val="18"/>
          <w:u w:val="none"/>
          <w:lang w:val="en-US" w:eastAsia="zh-CN" w:bidi="ar-SA"/>
          <w14:ligatures w14:val="standardContextual"/>
        </w:rPr>
        <w:t>A two-sided P-value &lt; 0.05 was considered to indicate a statistically significant difference, and the unified lowercase p in the original data was standardized to uppercase P for consistency of expression.</w:t>
      </w:r>
    </w:p>
    <w:p w14:paraId="565FDF8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360" w:lineRule="exact"/>
        <w:ind w:left="0" w:leftChars="0" w:right="0" w:rightChars="0" w:firstLine="720" w:firstLineChars="0"/>
        <w:jc w:val="both"/>
        <w:textAlignment w:val="auto"/>
        <w:rPr>
          <w:rFonts w:hint="default" w:ascii="Times New Roman" w:hAnsi="Times New Roman" w:eastAsia="宋体" w:cs="Times New Roman"/>
          <w:b/>
          <w:bCs/>
          <w:i w:val="0"/>
          <w:strike w:val="0"/>
          <w:color w:val="auto"/>
          <w:kern w:val="2"/>
          <w:sz w:val="18"/>
          <w:szCs w:val="18"/>
          <w:u w:val="none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/>
          <w:b/>
          <w:bCs/>
          <w:i w:val="0"/>
          <w:strike w:val="0"/>
          <w:kern w:val="2"/>
          <w:sz w:val="18"/>
          <w:szCs w:val="18"/>
          <w:u w:val="none"/>
          <w:lang w:val="en-US" w:eastAsia="zh-CN" w:bidi="ar-SA"/>
          <w14:ligatures w14:val="standardContextual"/>
        </w:rPr>
        <w:t>The GCS &gt; 8 population refers to patients with a Glasgow Coma Scale score greater than 8 points, indicating relatively mild disturbance of consciousness.</w:t>
      </w:r>
    </w:p>
    <w:p w14:paraId="3CA21FB8">
      <w:pPr>
        <w:rPr>
          <w:rFonts w:hint="default" w:ascii="Times New Roman" w:hAnsi="Times New Roman" w:eastAsia="宋体" w:cs="Times New Roman"/>
          <w:b/>
          <w:bCs/>
          <w:sz w:val="18"/>
          <w:szCs w:val="1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7B6586"/>
    <w:rsid w:val="20BB2CE7"/>
    <w:rsid w:val="377B6586"/>
    <w:rsid w:val="63D6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Emphasis"/>
    <w:basedOn w:val="3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258</Words>
  <Characters>1498</Characters>
  <Lines>0</Lines>
  <Paragraphs>0</Paragraphs>
  <TotalTime>16</TotalTime>
  <ScaleCrop>false</ScaleCrop>
  <LinksUpToDate>false</LinksUpToDate>
  <CharactersWithSpaces>1721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2025-11-17T12:18:00Z</dcterms:created>
  <dc:creator>子瞻</dc:creator>
  <cp:lastModifiedBy>子瞻</cp:lastModifiedBy>
  <dcterms:modified xsi:type="dcterms:W3CDTF">2026-03-21T10:09:10Z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9B00093C402F4756917E1864F2B716E5_11</vt:lpwstr>
  </property>
  <property fmtid="{D5CDD505-2E9C-101B-9397-08002B2CF9AE}" pid="4" name="KSOTemplateDocerSaveRecord">
    <vt:lpwstr>eyJoZGlkIjoiOTc3M2Y5NzIzMDFlZjAyY2Q4Njk5ODkyYjFjNzBiNTQiLCJ1c2VySWQiOiI2NDc1Nzg5OTMifQ==</vt:lpwstr>
  </property>
</Properties>
</file>