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480" w:lineRule="auto"/>
        <w:jc w:val="left"/>
        <w:rPr>
          <w:rFonts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One-century sedimentary record, sources, and ecological risk of polycyclic aromatic hydrocarbons in Dianchi Lake, China</w:t>
      </w:r>
    </w:p>
    <w:p>
      <w:pPr>
        <w:widowControl w:val="0"/>
        <w:spacing w:before="156" w:beforeLines="50" w:after="156" w:afterLines="50"/>
        <w:jc w:val="center"/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bookmarkStart w:id="6" w:name="_GoBack"/>
      <w:bookmarkEnd w:id="6"/>
    </w:p>
    <w:p>
      <w:pPr>
        <w:widowControl w:val="0"/>
        <w:spacing w:before="156" w:beforeLines="50" w:after="156" w:afterLines="50"/>
        <w:jc w:val="center"/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</w:p>
    <w:p>
      <w:pPr>
        <w:widowControl w:val="0"/>
        <w:spacing w:before="156" w:beforeLines="50" w:after="156" w:afterLines="50"/>
        <w:jc w:val="center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Table</w:t>
      </w:r>
      <w:r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S</w:t>
      </w:r>
      <w:r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1 Normalized distribution coefficient of TOC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(K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-SA"/>
        </w:rPr>
        <w:t>TOC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) (</w:t>
      </w:r>
      <w:r>
        <w:rPr>
          <w:rFonts w:hint="eastAsia" w:ascii="Times New Roman" w:hAnsi="Times New Roman" w:eastAsia="宋体" w:cs="Times New Roman"/>
          <w:color w:val="0000FF"/>
          <w:kern w:val="2"/>
          <w:sz w:val="18"/>
          <w:szCs w:val="24"/>
          <w:lang w:val="en-US" w:eastAsia="zh-CN" w:bidi="ar-SA"/>
        </w:rPr>
        <w:t>Li et al., 2019；Neff et al., 2005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)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981"/>
        <w:gridCol w:w="800"/>
        <w:gridCol w:w="800"/>
        <w:gridCol w:w="800"/>
        <w:gridCol w:w="800"/>
        <w:gridCol w:w="984"/>
        <w:gridCol w:w="800"/>
        <w:gridCol w:w="10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PAHS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ab/>
            </w:r>
          </w:p>
        </w:tc>
        <w:tc>
          <w:tcPr>
            <w:tcW w:w="575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Nap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Acy 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Ace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Flo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Phe</w:t>
            </w:r>
          </w:p>
        </w:tc>
        <w:tc>
          <w:tcPr>
            <w:tcW w:w="577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Ant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Flu</w:t>
            </w:r>
          </w:p>
        </w:tc>
        <w:tc>
          <w:tcPr>
            <w:tcW w:w="596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Pyr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Log K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vertAlign w:val="subscript"/>
                <w:lang w:val="en-US" w:eastAsia="zh-CN" w:bidi="ar-SA"/>
              </w:rPr>
              <w:t>TOC</w:t>
            </w:r>
          </w:p>
        </w:tc>
        <w:tc>
          <w:tcPr>
            <w:tcW w:w="575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3.37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4.07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3.92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4.18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4.46</w:t>
            </w:r>
          </w:p>
        </w:tc>
        <w:tc>
          <w:tcPr>
            <w:tcW w:w="577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4.54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5.22</w:t>
            </w:r>
          </w:p>
        </w:tc>
        <w:tc>
          <w:tcPr>
            <w:tcW w:w="59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PAHS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ab/>
            </w:r>
          </w:p>
        </w:tc>
        <w:tc>
          <w:tcPr>
            <w:tcW w:w="575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BaA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Chr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BbF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BkF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BaP</w:t>
            </w:r>
          </w:p>
        </w:tc>
        <w:tc>
          <w:tcPr>
            <w:tcW w:w="577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DahA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InP</w:t>
            </w:r>
          </w:p>
        </w:tc>
        <w:tc>
          <w:tcPr>
            <w:tcW w:w="59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BghiP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Log K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vertAlign w:val="subscript"/>
                <w:lang w:val="en-US" w:eastAsia="zh-CN" w:bidi="ar-SA"/>
              </w:rPr>
              <w:t>TOC</w:t>
            </w:r>
          </w:p>
        </w:tc>
        <w:tc>
          <w:tcPr>
            <w:tcW w:w="575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5.91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5.86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5.8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6.04</w:t>
            </w:r>
          </w:p>
        </w:tc>
        <w:tc>
          <w:tcPr>
            <w:tcW w:w="577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6.75</w:t>
            </w:r>
          </w:p>
        </w:tc>
        <w:tc>
          <w:tcPr>
            <w:tcW w:w="469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59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6.5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 w:val="0"/>
        <w:spacing w:before="156" w:beforeLines="50" w:after="156" w:afterLines="50" w:line="240" w:lineRule="auto"/>
        <w:jc w:val="center"/>
        <w:rPr>
          <w:rFonts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/>
        </w:rPr>
      </w:pPr>
      <w:bookmarkStart w:id="0" w:name="OLE_LINK4"/>
      <w:bookmarkStart w:id="1" w:name="OLE_LINK3"/>
      <w:bookmarkStart w:id="2" w:name="OLE_LINK1"/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/>
        </w:rPr>
        <w:t>Table</w:t>
      </w:r>
      <w:bookmarkEnd w:id="0"/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/>
        </w:rPr>
        <w:t xml:space="preserve"> S2</w:t>
      </w:r>
      <w:bookmarkEnd w:id="1"/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/>
        </w:rPr>
        <w:t xml:space="preserve"> </w:t>
      </w:r>
      <w:bookmarkEnd w:id="2"/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highlight w:val="none"/>
          <w:lang w:val="en-US" w:eastAsia="zh-CN"/>
        </w:rPr>
        <w:t>The concentration ranges of each PAH</w:t>
      </w:r>
    </w:p>
    <w:tbl>
      <w:tblPr>
        <w:tblStyle w:val="7"/>
        <w:tblW w:w="0" w:type="auto"/>
        <w:tblInd w:w="55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2021"/>
        <w:gridCol w:w="2100"/>
        <w:gridCol w:w="18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PAHs</w:t>
            </w:r>
          </w:p>
        </w:tc>
        <w:tc>
          <w:tcPr>
            <w:tcW w:w="2021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Minimum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(ng/g)</w:t>
            </w:r>
          </w:p>
        </w:tc>
        <w:tc>
          <w:tcPr>
            <w:tcW w:w="2100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Maximum (ng/g)</w:t>
            </w:r>
          </w:p>
        </w:tc>
        <w:tc>
          <w:tcPr>
            <w:tcW w:w="1886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Average (ng/g)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op w:val="single" w:color="auto" w:sz="8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Nap</w:t>
            </w:r>
          </w:p>
        </w:tc>
        <w:tc>
          <w:tcPr>
            <w:tcW w:w="2021" w:type="dxa"/>
            <w:tcBorders>
              <w:top w:val="single" w:color="auto" w:sz="8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</w:p>
        </w:tc>
        <w:tc>
          <w:tcPr>
            <w:tcW w:w="2100" w:type="dxa"/>
            <w:tcBorders>
              <w:top w:val="single" w:color="auto" w:sz="8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886" w:type="dxa"/>
            <w:tcBorders>
              <w:top w:val="single" w:color="auto" w:sz="8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Acy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2.4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5.7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3.3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Ace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12.7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Flo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.3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Phe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118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359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Ant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Flu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140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Pyr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132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BaA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Chr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9.6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BbF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4.8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10.5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BkF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88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BaP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4.5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D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</w:rPr>
              <w:t>A</w:t>
            </w:r>
            <w:r>
              <w:rPr>
                <w:rFonts w:hint="default" w:ascii="Times New Roman" w:hAnsi="Times New Roman" w:cs="Times New Roman"/>
              </w:rPr>
              <w:tab/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8.5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InP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Bghip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5.6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9.9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7.5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ΣPAH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subscript"/>
                <w:lang w:val="en-US" w:eastAsia="zh-CN"/>
              </w:rPr>
              <w:t>16</w:t>
            </w:r>
          </w:p>
        </w:tc>
        <w:tc>
          <w:tcPr>
            <w:tcW w:w="2021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368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990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/>
              </w:rPr>
              <w:t>572</w:t>
            </w:r>
          </w:p>
        </w:tc>
      </w:tr>
    </w:tbl>
    <w:p>
      <w:pPr>
        <w:ind w:firstLine="400" w:firstLineChars="200"/>
        <w:jc w:val="left"/>
        <w:rPr>
          <w:rFonts w:hint="eastAsia"/>
        </w:rPr>
      </w:pP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/>
        </w:rPr>
        <w:t>Note：ND, the concentration of individual PAH compound was not detected.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 w:val="0"/>
        <w:spacing w:before="156" w:beforeLines="50" w:after="156" w:afterLines="50"/>
        <w:jc w:val="center"/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Table S3 </w:t>
      </w:r>
      <w:r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The toxicity value of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∑PAH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-SA"/>
        </w:rPr>
        <w:t>16</w:t>
      </w:r>
      <w:r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in pore water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μg/L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) (</w:t>
      </w:r>
      <w:r>
        <w:rPr>
          <w:rFonts w:hint="eastAsia" w:ascii="Times New Roman" w:hAnsi="Times New Roman" w:eastAsia="宋体" w:cs="Times New Roman"/>
          <w:color w:val="0000FF"/>
          <w:kern w:val="2"/>
          <w:sz w:val="18"/>
          <w:szCs w:val="24"/>
          <w:lang w:val="en-US" w:eastAsia="zh-CN" w:bidi="ar-SA"/>
        </w:rPr>
        <w:t>Neff et al., 2005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-SA"/>
        </w:rPr>
        <w:t>)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2800"/>
        <w:gridCol w:w="29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tcBorders>
              <w:bottom w:val="single" w:color="auto" w:sz="8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PAH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s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643" w:type="pct"/>
            <w:tcBorders>
              <w:bottom w:val="single" w:color="auto" w:sz="8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Acute toxicity</w:t>
            </w:r>
          </w:p>
        </w:tc>
        <w:tc>
          <w:tcPr>
            <w:tcW w:w="1756" w:type="pct"/>
            <w:tcBorders>
              <w:bottom w:val="single" w:color="auto" w:sz="8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Chronic toxicity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2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Nap</w:t>
            </w:r>
          </w:p>
        </w:tc>
        <w:tc>
          <w:tcPr>
            <w:tcW w:w="164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4870 </w:t>
            </w:r>
          </w:p>
        </w:tc>
        <w:tc>
          <w:tcPr>
            <w:tcW w:w="1756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tcBorders>
              <w:top w:val="nil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Acy </w:t>
            </w:r>
          </w:p>
        </w:tc>
        <w:tc>
          <w:tcPr>
            <w:tcW w:w="1643" w:type="pct"/>
            <w:tcBorders>
              <w:top w:val="nil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1181 </w:t>
            </w:r>
          </w:p>
        </w:tc>
        <w:tc>
          <w:tcPr>
            <w:tcW w:w="1756" w:type="pct"/>
            <w:tcBorders>
              <w:top w:val="nil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Ace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1360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Flo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730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Phe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367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Ant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300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Flu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55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bookmarkStart w:id="3" w:name="OLE_LINK2"/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</w:t>
            </w:r>
            <w:bookmarkEnd w:id="3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Pyr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61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BaA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9.8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Chr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11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BbF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14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BkF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8.6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BaP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7.6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DBA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1.3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bottom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InP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0.64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2" w:type="pct"/>
            <w:noWrap w:val="0"/>
            <w:vAlign w:val="top"/>
          </w:tcPr>
          <w:p>
            <w:pPr>
              <w:widowControl w:val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BghiP</w:t>
            </w:r>
          </w:p>
        </w:tc>
        <w:tc>
          <w:tcPr>
            <w:tcW w:w="1643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2.4 </w:t>
            </w:r>
          </w:p>
        </w:tc>
        <w:tc>
          <w:tcPr>
            <w:tcW w:w="1756" w:type="pct"/>
            <w:noWrap w:val="0"/>
            <w:vAlign w:val="top"/>
          </w:tcPr>
          <w:p>
            <w:pPr>
              <w:widowControl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0.49</w:t>
            </w:r>
          </w:p>
        </w:tc>
      </w:tr>
    </w:tbl>
    <w:p/>
    <w:p/>
    <w:p/>
    <w:p/>
    <w:p/>
    <w:p>
      <w:pPr>
        <w:pStyle w:val="9"/>
      </w:pPr>
      <w:r>
        <w:rPr>
          <w:rFonts w:hint="eastAsia"/>
        </w:rPr>
        <w:t>Table</w:t>
      </w:r>
      <w:r>
        <w:t xml:space="preserve"> </w:t>
      </w:r>
      <w:r>
        <w:rPr>
          <w:rFonts w:hint="eastAsia"/>
          <w:lang w:val="en-US" w:eastAsia="zh-CN"/>
        </w:rPr>
        <w:t>S4</w:t>
      </w:r>
      <w:r>
        <w:t xml:space="preserve"> Health Risk Assessment Equivalent Factor of seven PAH congeners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</w:tcPr>
          <w:p>
            <w:pPr>
              <w:pStyle w:val="10"/>
            </w:pPr>
            <w:bookmarkStart w:id="4" w:name="OLE_LINK96"/>
            <w:bookmarkStart w:id="5" w:name="OLE_LINK97"/>
            <w:r>
              <w:rPr>
                <w:rFonts w:hint="eastAsia"/>
              </w:rPr>
              <w:t>PAHs单体</w:t>
            </w:r>
          </w:p>
        </w:tc>
        <w:tc>
          <w:tcPr>
            <w:tcW w:w="166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TE</w:t>
            </w:r>
            <w:r>
              <w:t>Q</w:t>
            </w:r>
          </w:p>
        </w:tc>
        <w:tc>
          <w:tcPr>
            <w:tcW w:w="166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ME</w:t>
            </w:r>
            <w:r>
              <w:t>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pStyle w:val="10"/>
            </w:pPr>
            <w:r>
              <w:t>BaA</w:t>
            </w:r>
          </w:p>
        </w:tc>
        <w:tc>
          <w:tcPr>
            <w:tcW w:w="1667" w:type="pct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0.1</w:t>
            </w:r>
          </w:p>
        </w:tc>
        <w:tc>
          <w:tcPr>
            <w:tcW w:w="1667" w:type="pct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66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10"/>
            </w:pPr>
            <w:r>
              <w:t>Chr</w:t>
            </w:r>
          </w:p>
        </w:tc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0.01</w:t>
            </w:r>
          </w:p>
        </w:tc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nil"/>
            </w:tcBorders>
            <w:shd w:val="clear" w:color="auto" w:fill="auto"/>
          </w:tcPr>
          <w:p>
            <w:pPr>
              <w:pStyle w:val="10"/>
            </w:pPr>
            <w:r>
              <w:t>BbF</w:t>
            </w:r>
          </w:p>
        </w:tc>
        <w:tc>
          <w:tcPr>
            <w:tcW w:w="1667" w:type="pct"/>
            <w:tcBorders>
              <w:top w:val="nil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0.1</w:t>
            </w:r>
          </w:p>
        </w:tc>
        <w:tc>
          <w:tcPr>
            <w:tcW w:w="1667" w:type="pct"/>
            <w:tcBorders>
              <w:top w:val="nil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shd w:val="clear" w:color="auto" w:fill="auto"/>
          </w:tcPr>
          <w:p>
            <w:pPr>
              <w:pStyle w:val="10"/>
            </w:pPr>
            <w:r>
              <w:t>BkF</w:t>
            </w:r>
          </w:p>
        </w:tc>
        <w:tc>
          <w:tcPr>
            <w:tcW w:w="1667" w:type="pct"/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0.1</w:t>
            </w:r>
          </w:p>
        </w:tc>
        <w:tc>
          <w:tcPr>
            <w:tcW w:w="1667" w:type="pct"/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shd w:val="clear" w:color="auto" w:fill="auto"/>
          </w:tcPr>
          <w:p>
            <w:pPr>
              <w:pStyle w:val="10"/>
            </w:pPr>
            <w:r>
              <w:t>BaP</w:t>
            </w:r>
          </w:p>
        </w:tc>
        <w:tc>
          <w:tcPr>
            <w:tcW w:w="1667" w:type="pct"/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1</w:t>
            </w:r>
          </w:p>
        </w:tc>
        <w:tc>
          <w:tcPr>
            <w:tcW w:w="1667" w:type="pct"/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shd w:val="clear" w:color="auto" w:fill="auto"/>
          </w:tcPr>
          <w:p>
            <w:pPr>
              <w:pStyle w:val="10"/>
            </w:pPr>
            <w:r>
              <w:t>InP</w:t>
            </w:r>
          </w:p>
        </w:tc>
        <w:tc>
          <w:tcPr>
            <w:tcW w:w="1667" w:type="pct"/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0.1</w:t>
            </w:r>
          </w:p>
        </w:tc>
        <w:tc>
          <w:tcPr>
            <w:tcW w:w="1667" w:type="pct"/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pStyle w:val="10"/>
            </w:pPr>
            <w:r>
              <w:t>DBA</w:t>
            </w:r>
          </w:p>
        </w:tc>
        <w:tc>
          <w:tcPr>
            <w:tcW w:w="1667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1</w:t>
            </w:r>
          </w:p>
        </w:tc>
        <w:tc>
          <w:tcPr>
            <w:tcW w:w="1667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pStyle w:val="10"/>
            </w:pPr>
            <w:r>
              <w:rPr>
                <w:rFonts w:hint="eastAsia"/>
              </w:rPr>
              <w:t>0.29</w:t>
            </w:r>
          </w:p>
        </w:tc>
      </w:tr>
      <w:bookmarkEnd w:id="4"/>
      <w:bookmarkEnd w:id="5"/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color w:val="000000"/>
          <w:szCs w:val="21"/>
        </w:rPr>
        <w:t>Table</w:t>
      </w:r>
      <w:r>
        <w:rPr>
          <w:rFonts w:ascii="Times New Roman" w:hAnsi="Times New Roman" w:eastAsia="宋体" w:cs="Times New Roman"/>
          <w:color w:val="000000"/>
          <w:szCs w:val="21"/>
        </w:rPr>
        <w:t xml:space="preserve"> S</w:t>
      </w:r>
      <w:r>
        <w:rPr>
          <w:rFonts w:hint="eastAsia" w:ascii="Times New Roman" w:hAnsi="Times New Roman" w:eastAsia="宋体" w:cs="Times New Roman"/>
          <w:color w:val="000000"/>
          <w:szCs w:val="21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00000"/>
          <w:szCs w:val="21"/>
        </w:rPr>
        <w:t xml:space="preserve"> Designation and </w:t>
      </w:r>
      <w:r>
        <w:rPr>
          <w:rFonts w:hint="eastAsia" w:ascii="Times New Roman" w:hAnsi="Times New Roman" w:eastAsia="宋体" w:cs="Times New Roman"/>
          <w:color w:val="000000"/>
          <w:szCs w:val="21"/>
        </w:rPr>
        <w:t>a</w:t>
      </w:r>
      <w:r>
        <w:rPr>
          <w:rFonts w:ascii="Times New Roman" w:hAnsi="Times New Roman" w:eastAsia="宋体" w:cs="Times New Roman"/>
          <w:color w:val="000000"/>
          <w:szCs w:val="21"/>
        </w:rPr>
        <w:t>bbreviation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835"/>
        <w:gridCol w:w="220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Designation</w:t>
            </w:r>
          </w:p>
        </w:tc>
        <w:tc>
          <w:tcPr>
            <w:tcW w:w="2835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</w:t>
            </w:r>
          </w:p>
        </w:tc>
        <w:tc>
          <w:tcPr>
            <w:tcW w:w="2205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Rings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Polycyclic aromatic hydrocarbon</w:t>
            </w:r>
          </w:p>
        </w:tc>
        <w:tc>
          <w:tcPr>
            <w:tcW w:w="2835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PAH</w:t>
            </w:r>
          </w:p>
        </w:tc>
        <w:tc>
          <w:tcPr>
            <w:tcW w:w="2205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anthracene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acenaphthene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acenaphthylene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fluorine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phenanthrene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anthracene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fluoranthene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Pyr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pyrene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benz(a)anthracene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chrysene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BbF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benzo(b)fluoranthene 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BkF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benzo(k)fluoranthene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BaP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benzo(a)pyrene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DahA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dibenz(a,h)anthracene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Inp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indeno(1,2,3-cd)pyrene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BghiP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benzo(g,h,i)perylene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molecular weight PAHs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（2-3 Ring）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LMW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6" w:type="dxa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molecular weight PAHs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（4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Ring）</w:t>
            </w:r>
          </w:p>
        </w:tc>
        <w:tc>
          <w:tcPr>
            <w:tcW w:w="2835" w:type="dxa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HMW</w:t>
            </w:r>
          </w:p>
        </w:tc>
        <w:tc>
          <w:tcPr>
            <w:tcW w:w="2205" w:type="dxa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/>
    <w:p/>
    <w:p>
      <w:pPr>
        <w:pStyle w:val="2"/>
      </w:pPr>
      <w:r>
        <w:rPr>
          <w:rFonts w:asciiTheme="majorBidi" w:hAnsiTheme="majorBidi" w:cstheme="majorBidi"/>
          <w:b/>
          <w:bCs w:val="0"/>
          <w:sz w:val="24"/>
          <w:szCs w:val="24"/>
          <w:highlight w:val="none"/>
        </w:rPr>
        <w:t>References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Li, Y., Wang, G.M., Wang, J.X., Jia, Z., Zhou, Y., Wang, C., Li, Y., Zhou, S., 2019. Determination of influencing factors on historical concentration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</w:rPr>
        <w:t>variations of PAHs in West Taihu Lake, China. Environ. Pollut. 249, 573-580.</w:t>
      </w:r>
    </w:p>
    <w:p>
      <w:pPr>
        <w:spacing w:line="360" w:lineRule="auto"/>
        <w:ind w:firstLine="400" w:firstLineChars="200"/>
      </w:pPr>
      <w:r>
        <w:rPr>
          <w:rFonts w:hint="default" w:ascii="Times New Roman" w:hAnsi="Times New Roman" w:eastAsia="宋体" w:cs="Times New Roman"/>
          <w:sz w:val="20"/>
          <w:szCs w:val="20"/>
        </w:rPr>
        <w:t>Neff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J.M., Stout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S.A., Gunster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D.G.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0"/>
          <w:szCs w:val="20"/>
        </w:rPr>
        <w:t>2005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Ecological Risk Assessment of Polycyclic Aromatic Hydrocarbons in Sediments: Identifying Sources and Ecological Hazard. Int. environ. Assess. Manag. 1, 22-33.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085A"/>
    <w:rsid w:val="029403E1"/>
    <w:rsid w:val="054F35BA"/>
    <w:rsid w:val="08375355"/>
    <w:rsid w:val="0E8A34C2"/>
    <w:rsid w:val="11AC3783"/>
    <w:rsid w:val="11B72A38"/>
    <w:rsid w:val="19643B7F"/>
    <w:rsid w:val="1BFE2151"/>
    <w:rsid w:val="1CEC2601"/>
    <w:rsid w:val="1EBA0B9C"/>
    <w:rsid w:val="23F46EA8"/>
    <w:rsid w:val="28D90A33"/>
    <w:rsid w:val="2AEC337B"/>
    <w:rsid w:val="2ECB52F1"/>
    <w:rsid w:val="3A8971DD"/>
    <w:rsid w:val="3A951222"/>
    <w:rsid w:val="3D1A3634"/>
    <w:rsid w:val="3EE14E34"/>
    <w:rsid w:val="42BD373B"/>
    <w:rsid w:val="46182149"/>
    <w:rsid w:val="47855269"/>
    <w:rsid w:val="569E43E9"/>
    <w:rsid w:val="595129A4"/>
    <w:rsid w:val="5CDA51EB"/>
    <w:rsid w:val="5EAA3964"/>
    <w:rsid w:val="61BF2C6C"/>
    <w:rsid w:val="67436549"/>
    <w:rsid w:val="68B43761"/>
    <w:rsid w:val="6C28338F"/>
    <w:rsid w:val="6DD6518B"/>
    <w:rsid w:val="730916AC"/>
    <w:rsid w:val="77701907"/>
    <w:rsid w:val="78490366"/>
    <w:rsid w:val="78D159E9"/>
    <w:rsid w:val="7F66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表题目"/>
    <w:qFormat/>
    <w:uiPriority w:val="0"/>
    <w:pPr>
      <w:widowControl w:val="0"/>
      <w:spacing w:before="156" w:beforeLines="50" w:after="156" w:afterLines="50"/>
      <w:jc w:val="center"/>
    </w:pPr>
    <w:rPr>
      <w:rFonts w:ascii="Times New Roman" w:hAnsi="Times New Roman" w:eastAsia="宋体" w:cs="Times New Roman"/>
      <w:color w:val="000000"/>
      <w:kern w:val="2"/>
      <w:sz w:val="21"/>
      <w:szCs w:val="21"/>
      <w:lang w:val="en-US" w:eastAsia="zh-CN" w:bidi="ar-SA"/>
    </w:rPr>
  </w:style>
  <w:style w:type="paragraph" w:customStyle="1" w:styleId="10">
    <w:name w:val="表格文字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">
    <w:name w:val="图表注释"/>
    <w:qFormat/>
    <w:uiPriority w:val="0"/>
    <w:pPr>
      <w:widowControl w:val="0"/>
      <w:spacing w:after="50" w:afterLines="50"/>
      <w:jc w:val="both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2021-08-26T07:00:00Z</dcterms:created>
  <dc:creator>mxh</dc:creator>
  <cp:lastModifiedBy>小马</cp:lastModifiedBy>
  <dcterms:modified xsi:type="dcterms:W3CDTF">2021-10-08T07:55:57Z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81C908EEFB134B2CB89A6E14A42F28A0</vt:lpwstr>
  </property>
</Properties>
</file>