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C0A2" w14:textId="1CF9E05B" w:rsidR="00F1675B" w:rsidRPr="00C5203B" w:rsidRDefault="00F1675B" w:rsidP="00C520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Supplementary </w:t>
      </w:r>
      <w:r w:rsidR="00C52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C52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nformation</w:t>
      </w:r>
    </w:p>
    <w:p w14:paraId="0D398B6E" w14:textId="77777777" w:rsidR="00F1675B" w:rsidRPr="00C5203B" w:rsidRDefault="00F1675B" w:rsidP="00C5203B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764C1F9" w14:textId="77777777" w:rsidR="009939CA" w:rsidRPr="00423C0C" w:rsidRDefault="009939CA" w:rsidP="009939C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423C0C">
        <w:rPr>
          <w:rFonts w:ascii="Times New Roman" w:hAnsi="Times New Roman" w:cs="Times New Roman"/>
          <w:b/>
          <w:bCs/>
          <w:sz w:val="24"/>
          <w:szCs w:val="24"/>
        </w:rPr>
        <w:t>ingle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-</w:t>
      </w:r>
      <w:r w:rsidRPr="00423C0C">
        <w:rPr>
          <w:rFonts w:ascii="Times New Roman" w:hAnsi="Times New Roman" w:cs="Times New Roman"/>
          <w:b/>
          <w:bCs/>
          <w:sz w:val="24"/>
          <w:szCs w:val="24"/>
        </w:rPr>
        <w:t>atom orbital engineering of plasmonic hot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-</w:t>
      </w:r>
      <w:r w:rsidRPr="00423C0C">
        <w:rPr>
          <w:rFonts w:ascii="Times New Roman" w:hAnsi="Times New Roman" w:cs="Times New Roman"/>
          <w:b/>
          <w:bCs/>
          <w:sz w:val="24"/>
          <w:szCs w:val="24"/>
        </w:rPr>
        <w:t>electron dynamics for ultrafast non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-</w:t>
      </w:r>
      <w:r w:rsidRPr="00423C0C">
        <w:rPr>
          <w:rFonts w:ascii="Times New Roman" w:hAnsi="Times New Roman" w:cs="Times New Roman"/>
          <w:b/>
          <w:bCs/>
          <w:sz w:val="24"/>
          <w:szCs w:val="24"/>
        </w:rPr>
        <w:t>thermal water dissociation</w:t>
      </w:r>
    </w:p>
    <w:p w14:paraId="30B7F87F" w14:textId="77777777" w:rsidR="00F16BBE" w:rsidRDefault="00F16BBE" w:rsidP="00F16BBE">
      <w:pPr>
        <w:tabs>
          <w:tab w:val="left" w:pos="312"/>
        </w:tabs>
        <w:spacing w:line="480" w:lineRule="auto"/>
        <w:jc w:val="center"/>
        <w:rPr>
          <w:rFonts w:ascii="Times New Roman" w:eastAsia="宋体" w:hAnsi="Times New Roman" w:cs="Times New Roman"/>
          <w:sz w:val="24"/>
          <w:vertAlign w:val="superscript"/>
        </w:rPr>
      </w:pPr>
      <w:r>
        <w:rPr>
          <w:rFonts w:ascii="Times New Roman" w:eastAsia="宋体" w:hAnsi="Times New Roman" w:cs="Times New Roman"/>
          <w:sz w:val="24"/>
        </w:rPr>
        <w:t xml:space="preserve">Wenjuan </w:t>
      </w:r>
      <w:r>
        <w:rPr>
          <w:rFonts w:ascii="Times New Roman" w:eastAsia="宋体" w:hAnsi="Times New Roman" w:cs="Times New Roman" w:hint="eastAsia"/>
          <w:sz w:val="24"/>
        </w:rPr>
        <w:t>Cheng</w:t>
      </w:r>
      <w:r>
        <w:rPr>
          <w:rFonts w:ascii="Times New Roman" w:eastAsia="宋体" w:hAnsi="Times New Roman" w:cs="Times New Roman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sz w:val="24"/>
        </w:rPr>
        <w:t>, Zhihua Zhen</w:t>
      </w:r>
      <w:r>
        <w:rPr>
          <w:rFonts w:ascii="Times New Roman" w:eastAsia="宋体" w:hAnsi="Times New Roman" w:cs="Times New Roman" w:hint="eastAsia"/>
          <w:sz w:val="24"/>
        </w:rPr>
        <w:t>g</w:t>
      </w:r>
      <w:r>
        <w:rPr>
          <w:rFonts w:ascii="Times New Roman" w:eastAsia="宋体" w:hAnsi="Times New Roman" w:cs="Times New Roman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sz w:val="24"/>
        </w:rPr>
        <w:t>, Zhenjiang Zhao</w:t>
      </w:r>
      <w:r>
        <w:rPr>
          <w:rFonts w:ascii="Times New Roman" w:eastAsia="宋体" w:hAnsi="Times New Roman" w:cs="Times New Roman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sz w:val="24"/>
        </w:rPr>
        <w:t>, Xing Ran</w:t>
      </w:r>
      <w:r w:rsidRPr="00322B71">
        <w:rPr>
          <w:rFonts w:ascii="Times New Roman" w:eastAsia="宋体" w:hAnsi="Times New Roman" w:cs="Times New Roman" w:hint="eastAsia"/>
          <w:sz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sz w:val="24"/>
        </w:rPr>
        <w:t xml:space="preserve">, </w:t>
      </w:r>
      <w:r>
        <w:rPr>
          <w:rFonts w:ascii="Times New Roman" w:eastAsia="宋体" w:hAnsi="Times New Roman" w:cs="Times New Roman"/>
          <w:sz w:val="24"/>
        </w:rPr>
        <w:t>Xiaolong Yao</w:t>
      </w:r>
      <w:r>
        <w:rPr>
          <w:rFonts w:ascii="Times New Roman" w:eastAsia="宋体" w:hAnsi="Times New Roman" w:cs="Times New Roman"/>
          <w:sz w:val="24"/>
          <w:vertAlign w:val="superscript"/>
        </w:rPr>
        <w:t>1, 2, *</w:t>
      </w:r>
      <w:r>
        <w:rPr>
          <w:rFonts w:ascii="Times New Roman" w:eastAsia="宋体" w:hAnsi="Times New Roman" w:cs="Times New Roman" w:hint="eastAsia"/>
          <w:sz w:val="24"/>
        </w:rPr>
        <w:t>, Fangping Ouyang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>1, 3</w:t>
      </w:r>
    </w:p>
    <w:p w14:paraId="1CC4DB08" w14:textId="77777777" w:rsidR="00F16BBE" w:rsidRDefault="00F16BBE" w:rsidP="00F16BBE">
      <w:pPr>
        <w:tabs>
          <w:tab w:val="left" w:pos="312"/>
        </w:tabs>
        <w:spacing w:line="480" w:lineRule="auto"/>
        <w:jc w:val="center"/>
        <w:rPr>
          <w:rFonts w:ascii="Times New Roman" w:eastAsia="宋体" w:hAnsi="Times New Roman" w:cs="Times New Roman"/>
          <w:i/>
          <w:iCs/>
          <w:sz w:val="24"/>
        </w:rPr>
      </w:pPr>
      <w:r>
        <w:rPr>
          <w:rFonts w:ascii="Times New Roman" w:eastAsia="宋体" w:hAnsi="Times New Roman" w:cs="Times New Roman"/>
          <w:i/>
          <w:iCs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i/>
          <w:iCs/>
          <w:sz w:val="24"/>
        </w:rPr>
        <w:t>School of Physical Science and Technology, Xinjiang Key Laboratory of Solid-State Physics and Devices, Xinjiang University, Urumqi 830017, China</w:t>
      </w:r>
    </w:p>
    <w:p w14:paraId="471392E7" w14:textId="77777777" w:rsidR="00F16BBE" w:rsidRDefault="00F16BBE" w:rsidP="00F16BBE">
      <w:pPr>
        <w:tabs>
          <w:tab w:val="left" w:pos="312"/>
        </w:tabs>
        <w:spacing w:line="480" w:lineRule="auto"/>
        <w:jc w:val="center"/>
        <w:rPr>
          <w:rFonts w:ascii="Times New Roman" w:eastAsia="宋体" w:hAnsi="Times New Roman" w:cs="Times New Roman"/>
          <w:i/>
          <w:iCs/>
          <w:sz w:val="24"/>
        </w:rPr>
      </w:pPr>
      <w:r>
        <w:rPr>
          <w:rFonts w:ascii="Times New Roman" w:eastAsia="宋体" w:hAnsi="Times New Roman" w:cs="Times New Roman"/>
          <w:i/>
          <w:iCs/>
          <w:sz w:val="24"/>
          <w:vertAlign w:val="superscript"/>
        </w:rPr>
        <w:t>2</w:t>
      </w:r>
      <w:r>
        <w:rPr>
          <w:rFonts w:ascii="Times New Roman" w:eastAsia="宋体" w:hAnsi="Times New Roman" w:cs="Times New Roman"/>
          <w:i/>
          <w:iCs/>
          <w:sz w:val="24"/>
        </w:rPr>
        <w:t>Beijing Computational Science Research Center, 100193 Beijing, China</w:t>
      </w:r>
    </w:p>
    <w:p w14:paraId="54F78F51" w14:textId="77777777" w:rsidR="00F16BBE" w:rsidRDefault="00F16BBE" w:rsidP="00F16BBE">
      <w:pPr>
        <w:tabs>
          <w:tab w:val="left" w:pos="312"/>
        </w:tabs>
        <w:spacing w:line="480" w:lineRule="auto"/>
        <w:jc w:val="center"/>
        <w:rPr>
          <w:rFonts w:ascii="Times New Roman" w:eastAsia="宋体" w:hAnsi="Times New Roman" w:cs="Times New Roman"/>
          <w:i/>
          <w:iCs/>
          <w:sz w:val="24"/>
        </w:rPr>
      </w:pPr>
      <w:r>
        <w:rPr>
          <w:rFonts w:ascii="Times New Roman" w:eastAsia="宋体" w:hAnsi="Times New Roman" w:cs="Times New Roman" w:hint="eastAsia"/>
          <w:i/>
          <w:iCs/>
          <w:sz w:val="24"/>
          <w:vertAlign w:val="superscript"/>
        </w:rPr>
        <w:t>3</w:t>
      </w:r>
      <w:r>
        <w:rPr>
          <w:rFonts w:ascii="Times New Roman" w:eastAsia="宋体" w:hAnsi="Times New Roman" w:cs="Times New Roman" w:hint="eastAsia"/>
          <w:i/>
          <w:iCs/>
          <w:sz w:val="24"/>
        </w:rPr>
        <w:t>School of Physics, Institute of Quantum Physics, Hunan Key Laboratory for Super-Microstructure and Ultrafast Process, and Hunan Key Laboratory of Nanophotonics and Devices, Central South University, Changsha, 410083, China</w:t>
      </w:r>
    </w:p>
    <w:p w14:paraId="69E2F5EF" w14:textId="385DF38D" w:rsidR="00303A43" w:rsidRPr="00C5203B" w:rsidRDefault="00F16BBE" w:rsidP="00F16BBE">
      <w:pPr>
        <w:tabs>
          <w:tab w:val="left" w:pos="312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02D">
        <w:rPr>
          <w:rFonts w:ascii="Times New Roman" w:eastAsia="宋体" w:hAnsi="Times New Roman" w:cs="Times New Roman"/>
          <w:i/>
          <w:iCs/>
          <w:sz w:val="24"/>
          <w:vertAlign w:val="superscript"/>
        </w:rPr>
        <w:t>*</w:t>
      </w:r>
      <w:r w:rsidRPr="00FB502D">
        <w:rPr>
          <w:rFonts w:ascii="Times New Roman" w:eastAsia="宋体" w:hAnsi="Times New Roman" w:cs="Times New Roman"/>
          <w:i/>
          <w:iCs/>
          <w:sz w:val="24"/>
        </w:rPr>
        <w:t>Email: xlyao@xju.edu.cn</w:t>
      </w:r>
    </w:p>
    <w:p w14:paraId="7D66F936" w14:textId="12075DA6" w:rsidR="008E1B7E" w:rsidRPr="00A418A5" w:rsidRDefault="00964831" w:rsidP="00A418A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5203B">
        <w:rPr>
          <w:rFonts w:ascii="Times New Roman" w:hAnsi="Times New Roman" w:cs="Times New Roman"/>
          <w:sz w:val="24"/>
          <w:szCs w:val="24"/>
        </w:rPr>
        <w:br w:type="page"/>
      </w:r>
    </w:p>
    <w:p w14:paraId="1AB0B64D" w14:textId="3B04D0FF" w:rsidR="007E21EE" w:rsidRPr="00A5128E" w:rsidRDefault="0090212F" w:rsidP="00CE0459">
      <w:pPr>
        <w:spacing w:line="480" w:lineRule="auto"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noProof/>
          <w:color w:val="0F1115"/>
          <w:sz w:val="24"/>
          <w:szCs w:val="24"/>
          <w:shd w:val="clear" w:color="auto" w:fill="FFFFFF"/>
        </w:rPr>
        <w:lastRenderedPageBreak/>
        <w:drawing>
          <wp:inline distT="0" distB="0" distL="0" distR="0" wp14:anchorId="42D2A413" wp14:editId="084CA976">
            <wp:extent cx="5274310" cy="1820545"/>
            <wp:effectExtent l="0" t="0" r="2540" b="8255"/>
            <wp:docPr id="8483287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28722" name="图片 8483287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90219" w14:textId="5D279C12" w:rsidR="002D5088" w:rsidRDefault="00F40852" w:rsidP="00A5128E">
      <w:pPr>
        <w:spacing w:line="48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15C14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Fig</w:t>
      </w:r>
      <w:r w:rsidR="00433686">
        <w:rPr>
          <w:rFonts w:ascii="Times New Roman" w:hAnsi="Times New Roman" w:cs="Times New Roman" w:hint="eastAsia"/>
          <w:b/>
          <w:bCs/>
          <w:color w:val="0F1115"/>
          <w:sz w:val="24"/>
          <w:szCs w:val="24"/>
          <w:shd w:val="clear" w:color="auto" w:fill="FFFFFF"/>
        </w:rPr>
        <w:t>.</w:t>
      </w:r>
      <w:r w:rsidRPr="00915C14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 S1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Effect of spin-orbit coupling (SOC) on the electronic structure of the Ag</w:t>
      </w:r>
      <w:r w:rsidR="00BB70B4" w:rsidRPr="00BB70B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vertAlign w:val="subscript"/>
        </w:rPr>
        <w:t>19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Au-H</w:t>
      </w:r>
      <w:r w:rsidR="00BB70B4" w:rsidRPr="00BB70B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vertAlign w:val="subscript"/>
        </w:rPr>
        <w:t>2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O cluster. (</w:t>
      </w:r>
      <w:r w:rsidRPr="00F03B1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a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 Total density of states (TDOS) for the complete Ag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vertAlign w:val="subscript"/>
        </w:rPr>
        <w:t>19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Au-H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vertAlign w:val="subscript"/>
        </w:rPr>
        <w:t>2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O system. (</w:t>
      </w:r>
      <w:r w:rsidRPr="00F03B1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b</w:t>
      </w:r>
      <w:r w:rsidRPr="00F4085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 Projected density of states (PDOS) specifically isolating the contribution of t</w:t>
      </w:r>
      <w:r w:rsidRPr="00F40852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he Au dopant atom. In both panels, the black and red curves represent calculations performed using the standard PBE functional and the PBE functional with SOC included (PBE+SOC), respectively.</w:t>
      </w:r>
    </w:p>
    <w:p w14:paraId="5F589B2D" w14:textId="7F2613EA" w:rsidR="00A5128E" w:rsidRDefault="002D5088" w:rsidP="008E1B7E">
      <w:pPr>
        <w:widowControl/>
        <w:jc w:val="left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br w:type="page"/>
      </w:r>
    </w:p>
    <w:p w14:paraId="1423CF4D" w14:textId="303EEFDD" w:rsidR="00B138FE" w:rsidRPr="00A5128E" w:rsidRDefault="007F62AF" w:rsidP="00CE0459">
      <w:pPr>
        <w:spacing w:line="480" w:lineRule="auto"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hint="eastAsia"/>
          <w:noProof/>
        </w:rPr>
        <w:lastRenderedPageBreak/>
        <w:drawing>
          <wp:inline distT="0" distB="0" distL="0" distR="0" wp14:anchorId="6954F4F3" wp14:editId="3927F8C8">
            <wp:extent cx="5274310" cy="2791460"/>
            <wp:effectExtent l="0" t="0" r="2540" b="0"/>
            <wp:docPr id="174937218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72187" name="图片 17493721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F665A" w14:textId="539B53F3" w:rsidR="00833C49" w:rsidRDefault="008627CF" w:rsidP="00BE199E">
      <w:pPr>
        <w:spacing w:line="48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15C14">
        <w:rPr>
          <w:rFonts w:ascii="Times New Roman" w:hAnsi="Times New Roman" w:cs="Times New Roman" w:hint="eastAsia"/>
          <w:b/>
          <w:bCs/>
          <w:color w:val="0F1115"/>
          <w:sz w:val="24"/>
          <w:szCs w:val="24"/>
          <w:shd w:val="clear" w:color="auto" w:fill="FFFFFF"/>
        </w:rPr>
        <w:t>Fig</w:t>
      </w:r>
      <w:r w:rsidR="00433686">
        <w:rPr>
          <w:rFonts w:ascii="Times New Roman" w:hAnsi="Times New Roman" w:cs="Times New Roman" w:hint="eastAsia"/>
          <w:b/>
          <w:bCs/>
          <w:color w:val="0F1115"/>
          <w:sz w:val="24"/>
          <w:szCs w:val="24"/>
          <w:shd w:val="clear" w:color="auto" w:fill="FFFFFF"/>
        </w:rPr>
        <w:t>.</w:t>
      </w:r>
      <w:r w:rsidRPr="00915C14">
        <w:rPr>
          <w:rFonts w:ascii="Times New Roman" w:hAnsi="Times New Roman" w:cs="Times New Roman" w:hint="eastAsia"/>
          <w:b/>
          <w:bCs/>
          <w:color w:val="0F1115"/>
          <w:sz w:val="24"/>
          <w:szCs w:val="24"/>
          <w:shd w:val="clear" w:color="auto" w:fill="FFFFFF"/>
        </w:rPr>
        <w:t xml:space="preserve"> S2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 xml:space="preserve"> Dynamic evolution of the charge density in Ag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  <w:vertAlign w:val="subscript"/>
        </w:rPr>
        <w:t>20</w:t>
      </w:r>
      <w:r w:rsidRPr="008627C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H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  <w:vertAlign w:val="subscript"/>
        </w:rPr>
        <w:t>2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O and Ag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  <w:vertAlign w:val="subscript"/>
        </w:rPr>
        <w:t>19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Au</w:t>
      </w:r>
      <w:r w:rsidRPr="008627C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H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  <w:vertAlign w:val="subscript"/>
        </w:rPr>
        <w:t>2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 xml:space="preserve">O under a lower external field strength of </w:t>
      </w:r>
      <w:r w:rsidRPr="008627CF">
        <w:rPr>
          <w:rFonts w:ascii="Times New Roman" w:hAnsi="Times New Roman" w:cs="Times New Roman" w:hint="eastAsia"/>
          <w:i/>
          <w:iCs/>
          <w:color w:val="0F1115"/>
          <w:sz w:val="24"/>
          <w:szCs w:val="24"/>
          <w:shd w:val="clear" w:color="auto" w:fill="FFFFFF"/>
        </w:rPr>
        <w:t>E</w:t>
      </w:r>
      <w:r w:rsidRPr="008627CF">
        <w:rPr>
          <w:rFonts w:ascii="Times New Roman" w:hAnsi="Times New Roman" w:cs="Times New Roman" w:hint="eastAsia"/>
          <w:i/>
          <w:iCs/>
          <w:color w:val="0F1115"/>
          <w:sz w:val="24"/>
          <w:szCs w:val="24"/>
          <w:shd w:val="clear" w:color="auto" w:fill="FFFFFF"/>
          <w:vertAlign w:val="subscript"/>
        </w:rPr>
        <w:t>max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=0.1 V/Å. The yellow isosurfaces visualize the instantaneous charge distribution at selected time snapshots (</w:t>
      </w:r>
      <w:r w:rsidRPr="008627CF">
        <w:rPr>
          <w:rFonts w:ascii="Times New Roman" w:hAnsi="Times New Roman" w:cs="Times New Roman" w:hint="eastAsia"/>
          <w:i/>
          <w:iCs/>
          <w:color w:val="0F1115"/>
          <w:sz w:val="24"/>
          <w:szCs w:val="24"/>
          <w:shd w:val="clear" w:color="auto" w:fill="FFFFFF"/>
        </w:rPr>
        <w:t>t</w:t>
      </w:r>
      <w:r w:rsidRPr="008627CF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 xml:space="preserve">=0, 10, 20, 30, and 40 fs). </w:t>
      </w:r>
    </w:p>
    <w:p w14:paraId="0D401230" w14:textId="043EE46E" w:rsidR="00AF5711" w:rsidRDefault="00833C49" w:rsidP="00AF5711">
      <w:pPr>
        <w:widowControl/>
        <w:jc w:val="left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br w:type="page"/>
      </w:r>
    </w:p>
    <w:p w14:paraId="61F8A411" w14:textId="30185103" w:rsidR="00AF5711" w:rsidRPr="00A5128E" w:rsidRDefault="009D714A" w:rsidP="00CE0459">
      <w:pPr>
        <w:spacing w:line="480" w:lineRule="auto"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hint="eastAsia"/>
          <w:noProof/>
        </w:rPr>
        <w:lastRenderedPageBreak/>
        <w:drawing>
          <wp:inline distT="0" distB="0" distL="0" distR="0" wp14:anchorId="2FE8B9EE" wp14:editId="05FE519A">
            <wp:extent cx="5274310" cy="5472325"/>
            <wp:effectExtent l="0" t="0" r="2540" b="0"/>
            <wp:docPr id="2114287150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87150" name="图片 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C007" w14:textId="08F08352" w:rsidR="00303A43" w:rsidRPr="00286963" w:rsidRDefault="00833C49" w:rsidP="00C5203B">
      <w:pPr>
        <w:spacing w:line="48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915C14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Fig</w:t>
      </w:r>
      <w:r w:rsidR="00433686">
        <w:rPr>
          <w:rFonts w:ascii="Times New Roman" w:hAnsi="Times New Roman" w:cs="Times New Roman" w:hint="eastAsia"/>
          <w:b/>
          <w:bCs/>
          <w:color w:val="0F1115"/>
          <w:sz w:val="24"/>
          <w:szCs w:val="24"/>
          <w:shd w:val="clear" w:color="auto" w:fill="FFFFFF"/>
        </w:rPr>
        <w:t>.</w:t>
      </w:r>
      <w:r w:rsidRPr="00915C14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 S3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Snapshot of electron transition probabilities at </w:t>
      </w:r>
      <w:r w:rsidRPr="00147BCC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t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=20 fs. (</w:t>
      </w:r>
      <w:r w:rsidRPr="00F03B1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a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r w:rsidRPr="00F03B1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b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 Transition probabilities for the pure Ag</w:t>
      </w:r>
      <w:r w:rsidR="00147BC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20-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H</w:t>
      </w:r>
      <w:r w:rsidR="00147BC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2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O system into the (</w:t>
      </w:r>
      <w:r w:rsidRPr="00F03B1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a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 LUMO+11 and (b) LUMO+16 target states. (c–f) Corresponding transition probabilities for the doped Ag</w:t>
      </w:r>
      <w:r w:rsidR="00147BC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19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Au</w:t>
      </w:r>
      <w:r w:rsidR="00147BCC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-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H</w:t>
      </w:r>
      <w:r w:rsidR="00147BCC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2</w:t>
      </w:r>
      <w:r w:rsidRPr="00833C4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O </w:t>
      </w:r>
      <w:r w:rsidRPr="00833C49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system into the (c) LUMO+6, (d) LUMO+10, (e) LUMO+14, and (f) LUMO+15 target states. The bar charts quantify the transition coefficients squared (|</w:t>
      </w:r>
      <w:r w:rsidRPr="00147BCC">
        <w:rPr>
          <w:rFonts w:ascii="Times New Roman" w:hAnsi="Times New Roman" w:cs="Times New Roman" w:hint="eastAsia"/>
          <w:i/>
          <w:iCs/>
          <w:color w:val="0F1115"/>
          <w:sz w:val="24"/>
          <w:szCs w:val="24"/>
          <w:shd w:val="clear" w:color="auto" w:fill="FFFFFF"/>
        </w:rPr>
        <w:t>C</w:t>
      </w:r>
      <w:r w:rsidRPr="00147BCC">
        <w:rPr>
          <w:rFonts w:ascii="Times New Roman" w:hAnsi="Times New Roman" w:cs="Times New Roman" w:hint="eastAsia"/>
          <w:i/>
          <w:iCs/>
          <w:color w:val="0F1115"/>
          <w:sz w:val="24"/>
          <w:szCs w:val="24"/>
          <w:shd w:val="clear" w:color="auto" w:fill="FFFFFF"/>
          <w:vertAlign w:val="subscript"/>
        </w:rPr>
        <w:t>LUMO+X</w:t>
      </w:r>
      <w:r w:rsidRPr="00147BCC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  <w:vertAlign w:val="subscript"/>
        </w:rPr>
        <w:t>,</w:t>
      </w:r>
      <w:r w:rsidRPr="00147BCC">
        <w:rPr>
          <w:rFonts w:ascii="Times New Roman" w:hAnsi="Times New Roman" w:cs="Times New Roman" w:hint="eastAsia"/>
          <w:i/>
          <w:iCs/>
          <w:color w:val="0F1115"/>
          <w:sz w:val="24"/>
          <w:szCs w:val="24"/>
          <w:shd w:val="clear" w:color="auto" w:fill="FFFFFF"/>
          <w:vertAlign w:val="subscript"/>
        </w:rPr>
        <w:t>i</w:t>
      </w:r>
      <w:r w:rsidRPr="00833C49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|</w:t>
      </w:r>
      <w:r w:rsidRPr="00147BCC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  <w:vertAlign w:val="superscript"/>
        </w:rPr>
        <w:t>2</w:t>
      </w:r>
      <w:r w:rsidRPr="00833C49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), representing the likelihood of electron transfer from specific occupied metal states (i) to the designated unoccupied metal</w:t>
      </w:r>
      <w:r w:rsidR="00205DF4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Pr="00833C49">
        <w:rPr>
          <w:rFonts w:ascii="Times New Roman" w:hAnsi="Times New Roman" w:cs="Times New Roman" w:hint="eastAsia"/>
          <w:color w:val="0F1115"/>
          <w:sz w:val="24"/>
          <w:szCs w:val="24"/>
          <w:shd w:val="clear" w:color="auto" w:fill="FFFFFF"/>
        </w:rPr>
        <w:t>water hybrid states at the moment of peak electronic excitation.</w:t>
      </w:r>
    </w:p>
    <w:sectPr w:rsidR="00303A43" w:rsidRPr="0028696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D6CC" w14:textId="77777777" w:rsidR="00ED2DB9" w:rsidRDefault="00ED2DB9" w:rsidP="00F1675B">
      <w:pPr>
        <w:rPr>
          <w:rFonts w:hint="eastAsia"/>
        </w:rPr>
      </w:pPr>
      <w:r>
        <w:separator/>
      </w:r>
    </w:p>
  </w:endnote>
  <w:endnote w:type="continuationSeparator" w:id="0">
    <w:p w14:paraId="24B8AE12" w14:textId="77777777" w:rsidR="00ED2DB9" w:rsidRDefault="00ED2DB9" w:rsidP="00F167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046083"/>
      <w:docPartObj>
        <w:docPartGallery w:val="Page Numbers (Bottom of Page)"/>
        <w:docPartUnique/>
      </w:docPartObj>
    </w:sdtPr>
    <w:sdtContent>
      <w:p w14:paraId="54F12C2A" w14:textId="76570962" w:rsidR="002B421A" w:rsidRDefault="002B421A">
        <w:pPr>
          <w:pStyle w:val="af0"/>
          <w:jc w:val="center"/>
          <w:rPr>
            <w:rFonts w:hint="eastAsia"/>
          </w:rPr>
        </w:pPr>
        <w:r>
          <w:rPr>
            <w:rFonts w:hint="eastAsia"/>
          </w:rP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AABE72" w14:textId="77777777" w:rsidR="002B421A" w:rsidRDefault="002B421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A8A3" w14:textId="77777777" w:rsidR="00ED2DB9" w:rsidRDefault="00ED2DB9" w:rsidP="00F1675B">
      <w:pPr>
        <w:rPr>
          <w:rFonts w:hint="eastAsia"/>
        </w:rPr>
      </w:pPr>
      <w:r>
        <w:separator/>
      </w:r>
    </w:p>
  </w:footnote>
  <w:footnote w:type="continuationSeparator" w:id="0">
    <w:p w14:paraId="05C7DF1D" w14:textId="77777777" w:rsidR="00ED2DB9" w:rsidRDefault="00ED2DB9" w:rsidP="00F167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7C"/>
    <w:rsid w:val="00034B06"/>
    <w:rsid w:val="00061151"/>
    <w:rsid w:val="00064957"/>
    <w:rsid w:val="000979CD"/>
    <w:rsid w:val="000A4ACB"/>
    <w:rsid w:val="000A61E0"/>
    <w:rsid w:val="000B1391"/>
    <w:rsid w:val="000E3784"/>
    <w:rsid w:val="00147BCC"/>
    <w:rsid w:val="001517CB"/>
    <w:rsid w:val="001678E8"/>
    <w:rsid w:val="0017587C"/>
    <w:rsid w:val="001A52F6"/>
    <w:rsid w:val="001B1189"/>
    <w:rsid w:val="001D2B60"/>
    <w:rsid w:val="00205DF4"/>
    <w:rsid w:val="00210A3B"/>
    <w:rsid w:val="00216C75"/>
    <w:rsid w:val="00280C55"/>
    <w:rsid w:val="00286963"/>
    <w:rsid w:val="002B2C42"/>
    <w:rsid w:val="002B421A"/>
    <w:rsid w:val="002C273B"/>
    <w:rsid w:val="002D5088"/>
    <w:rsid w:val="002D6541"/>
    <w:rsid w:val="002F70C1"/>
    <w:rsid w:val="00302069"/>
    <w:rsid w:val="00303A43"/>
    <w:rsid w:val="00305DA7"/>
    <w:rsid w:val="00372D79"/>
    <w:rsid w:val="00395E98"/>
    <w:rsid w:val="003A3A89"/>
    <w:rsid w:val="003F273B"/>
    <w:rsid w:val="004331B4"/>
    <w:rsid w:val="00433686"/>
    <w:rsid w:val="00491347"/>
    <w:rsid w:val="004E2E4B"/>
    <w:rsid w:val="0057349F"/>
    <w:rsid w:val="00596D66"/>
    <w:rsid w:val="005E5ECD"/>
    <w:rsid w:val="00605342"/>
    <w:rsid w:val="00624CB1"/>
    <w:rsid w:val="00685698"/>
    <w:rsid w:val="00692A2D"/>
    <w:rsid w:val="006E335A"/>
    <w:rsid w:val="006F0607"/>
    <w:rsid w:val="00724BAA"/>
    <w:rsid w:val="007B2885"/>
    <w:rsid w:val="007E006E"/>
    <w:rsid w:val="007E21EE"/>
    <w:rsid w:val="007F62AF"/>
    <w:rsid w:val="00833C49"/>
    <w:rsid w:val="008627CF"/>
    <w:rsid w:val="008E1B7E"/>
    <w:rsid w:val="008F10FB"/>
    <w:rsid w:val="0090212F"/>
    <w:rsid w:val="00915C14"/>
    <w:rsid w:val="00964831"/>
    <w:rsid w:val="009939CA"/>
    <w:rsid w:val="009D714A"/>
    <w:rsid w:val="009D7496"/>
    <w:rsid w:val="009E0325"/>
    <w:rsid w:val="00A418A5"/>
    <w:rsid w:val="00A45BCF"/>
    <w:rsid w:val="00A5128E"/>
    <w:rsid w:val="00A71030"/>
    <w:rsid w:val="00A72461"/>
    <w:rsid w:val="00AB568E"/>
    <w:rsid w:val="00AF5711"/>
    <w:rsid w:val="00B032DA"/>
    <w:rsid w:val="00B138FE"/>
    <w:rsid w:val="00B14022"/>
    <w:rsid w:val="00B83190"/>
    <w:rsid w:val="00B97D14"/>
    <w:rsid w:val="00BA06E3"/>
    <w:rsid w:val="00BB0106"/>
    <w:rsid w:val="00BB70B4"/>
    <w:rsid w:val="00BC33BB"/>
    <w:rsid w:val="00BE199E"/>
    <w:rsid w:val="00C12A2C"/>
    <w:rsid w:val="00C26369"/>
    <w:rsid w:val="00C5203B"/>
    <w:rsid w:val="00C92A66"/>
    <w:rsid w:val="00CE0459"/>
    <w:rsid w:val="00D442E2"/>
    <w:rsid w:val="00D815C8"/>
    <w:rsid w:val="00D93838"/>
    <w:rsid w:val="00DB1349"/>
    <w:rsid w:val="00DB6957"/>
    <w:rsid w:val="00DC3A6E"/>
    <w:rsid w:val="00DF5404"/>
    <w:rsid w:val="00E26B4D"/>
    <w:rsid w:val="00E53CE6"/>
    <w:rsid w:val="00E7123C"/>
    <w:rsid w:val="00E97C84"/>
    <w:rsid w:val="00ED2DB9"/>
    <w:rsid w:val="00ED7BF1"/>
    <w:rsid w:val="00F03B1B"/>
    <w:rsid w:val="00F1675B"/>
    <w:rsid w:val="00F16BBE"/>
    <w:rsid w:val="00F350DE"/>
    <w:rsid w:val="00F40852"/>
    <w:rsid w:val="00F60331"/>
    <w:rsid w:val="00F80DD8"/>
    <w:rsid w:val="00FD63BA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68F16"/>
  <w15:chartTrackingRefBased/>
  <w15:docId w15:val="{049D619A-DDC8-465D-B840-E7C7744F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2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8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8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5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58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67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675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6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675B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964831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964831"/>
    <w:pPr>
      <w:jc w:val="left"/>
    </w:pPr>
  </w:style>
  <w:style w:type="character" w:customStyle="1" w:styleId="af4">
    <w:name w:val="批注文字 字符"/>
    <w:basedOn w:val="a0"/>
    <w:link w:val="af3"/>
    <w:uiPriority w:val="99"/>
    <w:rsid w:val="0096483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64831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964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314</Words>
  <Characters>1706</Characters>
  <Application>Microsoft Office Word</Application>
  <DocSecurity>0</DocSecurity>
  <Lines>170</Lines>
  <Paragraphs>144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wenjuan cheng</dc:creator>
  <cp:keywords/>
  <dc:description/>
  <cp:lastModifiedBy>wenjuan cheng</cp:lastModifiedBy>
  <cp:revision>74</cp:revision>
  <dcterms:created xsi:type="dcterms:W3CDTF">2025-11-05T20:29:00Z</dcterms:created>
  <dcterms:modified xsi:type="dcterms:W3CDTF">2026-06-09T13:21:00Z</dcterms:modified>
</cp:coreProperties>
</file>