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A4" w:rsidRPr="00E35A2A" w:rsidRDefault="00DB20A4" w:rsidP="00DB20A4">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Table 2| Troubleshooting table</w:t>
      </w:r>
    </w:p>
    <w:tbl>
      <w:tblPr>
        <w:tblStyle w:val="a3"/>
        <w:tblW w:w="8647" w:type="dxa"/>
        <w:tblInd w:w="108" w:type="dxa"/>
        <w:tblBorders>
          <w:left w:val="none" w:sz="0" w:space="0" w:color="auto"/>
          <w:right w:val="none" w:sz="0" w:space="0" w:color="auto"/>
          <w:insideV w:val="none" w:sz="0" w:space="0" w:color="auto"/>
        </w:tblBorders>
        <w:tblLook w:val="04A0"/>
      </w:tblPr>
      <w:tblGrid>
        <w:gridCol w:w="709"/>
        <w:gridCol w:w="2410"/>
        <w:gridCol w:w="5528"/>
      </w:tblGrid>
      <w:tr w:rsidR="00DB20A4" w:rsidRPr="00E35A2A" w:rsidTr="00994432">
        <w:tc>
          <w:tcPr>
            <w:tcW w:w="709" w:type="dxa"/>
            <w:tcBorders>
              <w:bottom w:val="single" w:sz="4" w:space="0" w:color="auto"/>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Step</w:t>
            </w:r>
          </w:p>
        </w:tc>
        <w:tc>
          <w:tcPr>
            <w:tcW w:w="2410" w:type="dxa"/>
            <w:tcBorders>
              <w:bottom w:val="single" w:sz="4" w:space="0" w:color="auto"/>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Problem</w:t>
            </w:r>
          </w:p>
        </w:tc>
        <w:tc>
          <w:tcPr>
            <w:tcW w:w="5528" w:type="dxa"/>
            <w:tcBorders>
              <w:bottom w:val="single" w:sz="4" w:space="0" w:color="auto"/>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Solution</w:t>
            </w:r>
          </w:p>
        </w:tc>
      </w:tr>
      <w:tr w:rsidR="00DB20A4" w:rsidRPr="00E35A2A" w:rsidTr="00994432">
        <w:trPr>
          <w:cantSplit/>
          <w:trHeight w:val="519"/>
        </w:trPr>
        <w:tc>
          <w:tcPr>
            <w:tcW w:w="709" w:type="dxa"/>
            <w:tcBorders>
              <w:top w:val="nil"/>
              <w:bottom w:val="nil"/>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26</w:t>
            </w:r>
          </w:p>
        </w:tc>
        <w:tc>
          <w:tcPr>
            <w:tcW w:w="2410"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There are air bubbles in the constituted sample</w:t>
            </w:r>
          </w:p>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tc>
        <w:tc>
          <w:tcPr>
            <w:tcW w:w="5528"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The lyophilized protein must be suspended gently to avoid the generation of bubbles in the sample.</w:t>
            </w:r>
          </w:p>
        </w:tc>
      </w:tr>
      <w:tr w:rsidR="00DB20A4" w:rsidRPr="00E35A2A" w:rsidTr="00994432">
        <w:trPr>
          <w:trHeight w:val="720"/>
        </w:trPr>
        <w:tc>
          <w:tcPr>
            <w:tcW w:w="709" w:type="dxa"/>
            <w:tcBorders>
              <w:top w:val="nil"/>
              <w:bottom w:val="nil"/>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p>
        </w:tc>
        <w:tc>
          <w:tcPr>
            <w:tcW w:w="2410"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sz w:val="18"/>
                <w:szCs w:val="18"/>
              </w:rPr>
            </w:pPr>
            <w:r w:rsidRPr="00E35A2A">
              <w:rPr>
                <w:rFonts w:ascii="Times New Roman" w:hAnsi="Times New Roman"/>
                <w:color w:val="000000" w:themeColor="text1"/>
                <w:szCs w:val="24"/>
              </w:rPr>
              <w:t>There are air bubbles in the cell</w:t>
            </w:r>
          </w:p>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p>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The operation is not completed in the initial delay time.</w:t>
            </w:r>
          </w:p>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tc>
        <w:tc>
          <w:tcPr>
            <w:tcW w:w="5528"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The CaF</w:t>
            </w:r>
            <w:r w:rsidRPr="00E35A2A">
              <w:rPr>
                <w:rFonts w:ascii="Times New Roman" w:hAnsi="Times New Roman"/>
                <w:color w:val="000000" w:themeColor="text1"/>
                <w:szCs w:val="24"/>
                <w:vertAlign w:val="subscript"/>
              </w:rPr>
              <w:t>2</w:t>
            </w:r>
            <w:r w:rsidRPr="00E35A2A">
              <w:rPr>
                <w:rFonts w:ascii="Times New Roman" w:hAnsi="Times New Roman"/>
                <w:color w:val="000000" w:themeColor="text1"/>
                <w:szCs w:val="24"/>
              </w:rPr>
              <w:t xml:space="preserve"> window is not clean or the </w:t>
            </w:r>
            <w:r>
              <w:rPr>
                <w:rFonts w:ascii="Times New Roman" w:hAnsi="Times New Roman" w:hint="eastAsia"/>
                <w:color w:val="000000" w:themeColor="text1"/>
                <w:szCs w:val="24"/>
              </w:rPr>
              <w:t xml:space="preserve">volume of </w:t>
            </w:r>
            <w:r w:rsidRPr="00E35A2A">
              <w:rPr>
                <w:rFonts w:ascii="Times New Roman" w:hAnsi="Times New Roman"/>
                <w:color w:val="000000" w:themeColor="text1"/>
                <w:szCs w:val="24"/>
              </w:rPr>
              <w:t xml:space="preserve">sample is not enough. Demount the cell and clean it very gently. </w:t>
            </w:r>
            <w:r w:rsidRPr="00E35A2A" w:rsidDel="00683FB7">
              <w:rPr>
                <w:rFonts w:ascii="Times New Roman" w:hAnsi="Times New Roman"/>
                <w:color w:val="000000" w:themeColor="text1"/>
                <w:szCs w:val="24"/>
              </w:rPr>
              <w:t xml:space="preserve">More </w:t>
            </w:r>
            <w:proofErr w:type="gramStart"/>
            <w:r w:rsidRPr="00E35A2A" w:rsidDel="00683FB7">
              <w:rPr>
                <w:rFonts w:ascii="Times New Roman" w:hAnsi="Times New Roman"/>
                <w:color w:val="000000" w:themeColor="text1"/>
                <w:szCs w:val="24"/>
              </w:rPr>
              <w:t>sample</w:t>
            </w:r>
            <w:proofErr w:type="gramEnd"/>
            <w:r w:rsidRPr="00E35A2A" w:rsidDel="00683FB7">
              <w:rPr>
                <w:rFonts w:ascii="Times New Roman" w:hAnsi="Times New Roman"/>
                <w:color w:val="000000" w:themeColor="text1"/>
                <w:szCs w:val="24"/>
              </w:rPr>
              <w:t xml:space="preserve"> is needed for the experiment.</w:t>
            </w:r>
          </w:p>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p>
          <w:p w:rsidR="00DB20A4" w:rsidRPr="00E35A2A" w:rsidRDefault="00DB20A4" w:rsidP="00994432">
            <w:pPr>
              <w:widowControl w:val="0"/>
              <w:autoSpaceDE w:val="0"/>
              <w:autoSpaceDN w:val="0"/>
              <w:adjustRightInd w:val="0"/>
              <w:spacing w:after="0"/>
              <w:rPr>
                <w:rFonts w:ascii="Times New Roman" w:hAnsi="Times New Roman"/>
                <w:sz w:val="18"/>
                <w:szCs w:val="18"/>
              </w:rPr>
            </w:pPr>
            <w:r w:rsidRPr="00E35A2A">
              <w:rPr>
                <w:rFonts w:ascii="Times New Roman" w:hAnsi="Times New Roman"/>
                <w:color w:val="000000" w:themeColor="text1"/>
                <w:szCs w:val="24"/>
              </w:rPr>
              <w:t>Prepare another sample and repeat the experiment.</w:t>
            </w:r>
          </w:p>
        </w:tc>
      </w:tr>
      <w:tr w:rsidR="00DB20A4" w:rsidRPr="00E35A2A" w:rsidTr="00994432">
        <w:tc>
          <w:tcPr>
            <w:tcW w:w="709" w:type="dxa"/>
            <w:tcBorders>
              <w:top w:val="nil"/>
              <w:bottom w:val="nil"/>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27</w:t>
            </w:r>
          </w:p>
        </w:tc>
        <w:tc>
          <w:tcPr>
            <w:tcW w:w="2410"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szCs w:val="24"/>
              </w:rPr>
            </w:pPr>
            <w:r w:rsidRPr="00E35A2A">
              <w:rPr>
                <w:rFonts w:ascii="Times New Roman" w:hAnsi="Times New Roman"/>
                <w:szCs w:val="24"/>
              </w:rPr>
              <w:t>There is a very low IR absorbance signal or no signal</w:t>
            </w:r>
          </w:p>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tc>
        <w:tc>
          <w:tcPr>
            <w:tcW w:w="5528"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Check the cell spacer and ensure it</w:t>
            </w:r>
            <w:r w:rsidRPr="00E35A2A">
              <w:rPr>
                <w:rFonts w:ascii="Times New Roman" w:hAnsi="Times New Roman"/>
                <w:szCs w:val="24"/>
              </w:rPr>
              <w:t xml:space="preserve"> is</w:t>
            </w:r>
            <w:r w:rsidRPr="00E35A2A">
              <w:rPr>
                <w:rFonts w:ascii="Times New Roman" w:hAnsi="Times New Roman"/>
                <w:color w:val="000000" w:themeColor="text1"/>
                <w:szCs w:val="24"/>
              </w:rPr>
              <w:t>&gt;30μm.Check the protein concentration and ensure</w:t>
            </w:r>
            <w:r>
              <w:rPr>
                <w:rFonts w:ascii="Times New Roman" w:hAnsi="Times New Roman" w:hint="eastAsia"/>
                <w:color w:val="000000" w:themeColor="text1"/>
                <w:szCs w:val="24"/>
              </w:rPr>
              <w:t xml:space="preserve"> </w:t>
            </w:r>
            <w:r w:rsidRPr="00E35A2A">
              <w:rPr>
                <w:rFonts w:ascii="Times New Roman" w:hAnsi="Times New Roman"/>
                <w:color w:val="000000" w:themeColor="text1"/>
                <w:szCs w:val="24"/>
              </w:rPr>
              <w:t>it is high enough.</w:t>
            </w:r>
          </w:p>
        </w:tc>
      </w:tr>
      <w:tr w:rsidR="00DB20A4" w:rsidRPr="00E35A2A" w:rsidTr="00994432">
        <w:trPr>
          <w:trHeight w:val="651"/>
        </w:trPr>
        <w:tc>
          <w:tcPr>
            <w:tcW w:w="709" w:type="dxa"/>
            <w:tcBorders>
              <w:top w:val="nil"/>
              <w:bottom w:val="nil"/>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31</w:t>
            </w:r>
          </w:p>
        </w:tc>
        <w:tc>
          <w:tcPr>
            <w:tcW w:w="2410"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Sample in the cell leaks before completion of the experiment</w:t>
            </w:r>
          </w:p>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tc>
        <w:tc>
          <w:tcPr>
            <w:tcW w:w="5528"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The entrance hole and exit hole must be sealed well. Check the cell spacer and en</w:t>
            </w:r>
            <w:r w:rsidRPr="00E35A2A">
              <w:rPr>
                <w:rFonts w:ascii="Times New Roman" w:hAnsi="Times New Roman"/>
                <w:szCs w:val="24"/>
              </w:rPr>
              <w:t>sure it is</w:t>
            </w:r>
            <w:r>
              <w:rPr>
                <w:rFonts w:ascii="Times New Roman" w:hAnsi="Times New Roman" w:hint="eastAsia"/>
                <w:szCs w:val="24"/>
              </w:rPr>
              <w:t xml:space="preserve"> </w:t>
            </w:r>
            <w:r w:rsidRPr="00E35A2A">
              <w:rPr>
                <w:rFonts w:ascii="Times New Roman" w:hAnsi="Times New Roman"/>
                <w:szCs w:val="24"/>
              </w:rPr>
              <w:t>&lt;</w:t>
            </w:r>
            <w:r w:rsidRPr="00E35A2A">
              <w:rPr>
                <w:rFonts w:ascii="Times New Roman" w:hAnsi="Times New Roman"/>
                <w:color w:val="000000" w:themeColor="text1"/>
                <w:szCs w:val="24"/>
              </w:rPr>
              <w:t>80</w:t>
            </w:r>
            <w:r>
              <w:rPr>
                <w:rFonts w:ascii="Times New Roman" w:hAnsi="Times New Roman" w:hint="eastAsia"/>
                <w:color w:val="000000" w:themeColor="text1"/>
                <w:szCs w:val="24"/>
              </w:rPr>
              <w:t xml:space="preserve"> </w:t>
            </w:r>
            <w:proofErr w:type="spellStart"/>
            <w:r w:rsidRPr="00E35A2A">
              <w:rPr>
                <w:rFonts w:ascii="Times New Roman" w:hAnsi="Times New Roman"/>
                <w:color w:val="000000" w:themeColor="text1"/>
                <w:szCs w:val="24"/>
              </w:rPr>
              <w:t>μm</w:t>
            </w:r>
            <w:proofErr w:type="spellEnd"/>
            <w:r w:rsidRPr="00E35A2A">
              <w:rPr>
                <w:rFonts w:ascii="Times New Roman" w:hAnsi="Times New Roman"/>
                <w:szCs w:val="24"/>
              </w:rPr>
              <w:t>.</w:t>
            </w:r>
          </w:p>
        </w:tc>
      </w:tr>
      <w:tr w:rsidR="00DB20A4" w:rsidRPr="00E35A2A" w:rsidTr="00994432">
        <w:trPr>
          <w:trHeight w:val="651"/>
        </w:trPr>
        <w:tc>
          <w:tcPr>
            <w:tcW w:w="709" w:type="dxa"/>
            <w:tcBorders>
              <w:top w:val="nil"/>
              <w:bottom w:val="nil"/>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42</w:t>
            </w:r>
          </w:p>
        </w:tc>
        <w:tc>
          <w:tcPr>
            <w:tcW w:w="2410"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proofErr w:type="gramStart"/>
            <w:r w:rsidRPr="00E35A2A">
              <w:rPr>
                <w:rFonts w:ascii="Times New Roman" w:hAnsi="Times New Roman"/>
                <w:color w:val="000000" w:themeColor="text1"/>
                <w:szCs w:val="24"/>
              </w:rPr>
              <w:t>ω</w:t>
            </w:r>
            <w:proofErr w:type="gramEnd"/>
            <w:r w:rsidRPr="00E35A2A">
              <w:rPr>
                <w:rFonts w:ascii="Times New Roman" w:hAnsi="Times New Roman"/>
                <w:color w:val="000000" w:themeColor="text1"/>
                <w:szCs w:val="24"/>
              </w:rPr>
              <w:t xml:space="preserve"> is not nearly 2/3 or there is great variability between the value of ω obtained from the three independently acquired spectra.</w:t>
            </w:r>
          </w:p>
        </w:tc>
        <w:tc>
          <w:tcPr>
            <w:tcW w:w="5528" w:type="dxa"/>
            <w:tcBorders>
              <w:top w:val="nil"/>
              <w:bottom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Check the cell spacer and ensure the spectrum for protein in H</w:t>
            </w:r>
            <w:r w:rsidRPr="00E35A2A">
              <w:rPr>
                <w:rFonts w:ascii="Times New Roman" w:hAnsi="Times New Roman"/>
                <w:color w:val="000000" w:themeColor="text1"/>
                <w:szCs w:val="24"/>
                <w:vertAlign w:val="subscript"/>
              </w:rPr>
              <w:t>2</w:t>
            </w:r>
            <w:r w:rsidRPr="00E35A2A">
              <w:rPr>
                <w:rFonts w:ascii="Times New Roman" w:hAnsi="Times New Roman"/>
                <w:color w:val="000000" w:themeColor="text1"/>
                <w:szCs w:val="24"/>
              </w:rPr>
              <w:t>O is obtained in very thin films (&lt;10</w:t>
            </w:r>
            <w:r w:rsidRPr="00E35A2A">
              <w:rPr>
                <w:rFonts w:ascii="Times New Roman" w:hAnsi="Times New Roman"/>
                <w:color w:val="000000" w:themeColor="text1"/>
                <w:szCs w:val="24"/>
              </w:rPr>
              <w:sym w:font="Symbol" w:char="F06D"/>
            </w:r>
            <w:r w:rsidRPr="00E35A2A">
              <w:rPr>
                <w:rFonts w:ascii="Times New Roman" w:hAnsi="Times New Roman"/>
                <w:color w:val="000000" w:themeColor="text1"/>
                <w:szCs w:val="24"/>
              </w:rPr>
              <w:t>m). Alternatively, ω can be obtained from the spectra of very thin films of H</w:t>
            </w:r>
            <w:r w:rsidRPr="00E35A2A">
              <w:rPr>
                <w:rFonts w:ascii="Times New Roman" w:hAnsi="Times New Roman"/>
                <w:color w:val="000000" w:themeColor="text1"/>
                <w:szCs w:val="24"/>
                <w:vertAlign w:val="subscript"/>
              </w:rPr>
              <w:t>2</w:t>
            </w:r>
            <w:r w:rsidRPr="00E35A2A">
              <w:rPr>
                <w:rFonts w:ascii="Times New Roman" w:hAnsi="Times New Roman"/>
                <w:color w:val="000000" w:themeColor="text1"/>
                <w:szCs w:val="24"/>
              </w:rPr>
              <w:t>O</w:t>
            </w:r>
            <w:hyperlink w:anchor="_ENREF_63" w:tooltip="Ulmer, 1968 #177" w:history="1">
              <w:r w:rsidRPr="00E35A2A">
                <w:rPr>
                  <w:rFonts w:ascii="Times New Roman" w:hAnsi="Times New Roman"/>
                  <w:color w:val="000000" w:themeColor="text1"/>
                  <w:szCs w:val="24"/>
                </w:rPr>
                <w:fldChar w:fldCharType="begin"/>
              </w:r>
              <w:r w:rsidRPr="00E35A2A">
                <w:rPr>
                  <w:rFonts w:ascii="Times New Roman" w:hAnsi="Times New Roman"/>
                  <w:color w:val="000000" w:themeColor="text1"/>
                  <w:szCs w:val="24"/>
                </w:rPr>
                <w:instrText xml:space="preserve"> ADDIN EN.CITE &lt;EndNote&gt;&lt;Cite&gt;&lt;Author&gt;Ulmer&lt;/Author&gt;&lt;Year&gt;1968&lt;/Year&gt;&lt;RecNum&gt;177&lt;/RecNum&gt;&lt;DisplayText&gt;&lt;style face="superscript"&gt;63&lt;/style&gt;&lt;/DisplayText&gt;&lt;record&gt;&lt;rec-number&gt;177&lt;/rec-number&gt;&lt;foreign-keys&gt;&lt;key app="EN" db-id="re29e2tf1r5sazeatrp5x009d0v2ztdzsxpw"&gt;177&lt;/key&gt;&lt;/foreign-keys&gt;&lt;ref-type name="Journal Article"&gt;17&lt;/ref-type&gt;&lt;contributors&gt;&lt;authors&gt;&lt;author&gt;Ulmer, D. D.&lt;/author&gt;&lt;author&gt;Kagi, J. H.&lt;/author&gt;&lt;/authors&gt;&lt;/contributors&gt;&lt;titles&gt;&lt;title&gt;Hydrogen-deuterium exchange of cytochrome c. I. Effect of oxidation state&lt;/title&gt;&lt;secondary-title&gt;Biochemistry&lt;/secondary-title&gt;&lt;alt-title&gt;Biochemistry&lt;/alt-title&gt;&lt;/titles&gt;&lt;periodical&gt;&lt;full-title&gt;Biochemistry&lt;/full-title&gt;&lt;/periodical&gt;&lt;alt-periodical&gt;&lt;full-title&gt;Biochemistry&lt;/full-title&gt;&lt;/alt-periodical&gt;&lt;pages&gt;2710-7&lt;/pages&gt;&lt;volume&gt;7&lt;/volume&gt;&lt;number&gt;8&lt;/number&gt;&lt;edition&gt;1968/08/01&lt;/edition&gt;&lt;keywords&gt;&lt;keyword&gt;Animals&lt;/keyword&gt;&lt;keyword&gt;Chemical Phenomena&lt;/keyword&gt;&lt;keyword&gt;Chemistry&lt;/keyword&gt;&lt;keyword&gt;*Cytochromes&lt;/keyword&gt;&lt;keyword&gt;Deuterium&lt;/keyword&gt;&lt;keyword&gt;Horses&lt;/keyword&gt;&lt;keyword&gt;*Hydrogen&lt;/keyword&gt;&lt;keyword&gt;Iron&lt;/keyword&gt;&lt;keyword&gt;Kinetics&lt;/keyword&gt;&lt;keyword&gt;*Myocardium&lt;/keyword&gt;&lt;keyword&gt;*Oxidation-Reduction&lt;/keyword&gt;&lt;keyword&gt;Peptides&lt;/keyword&gt;&lt;keyword&gt;Spectrophotometry&lt;/keyword&gt;&lt;keyword&gt;Time Factors&lt;/keyword&gt;&lt;/keywords&gt;&lt;dates&gt;&lt;year&gt;1968&lt;/year&gt;&lt;pub-dates&gt;&lt;date&gt;Aug&lt;/date&gt;&lt;/pub-dates&gt;&lt;/dates&gt;&lt;isbn&gt;0006-2960 (Print)&amp;#xD;0006-2960&lt;/isbn&gt;&lt;accession-num&gt;5691140&lt;/accession-num&gt;&lt;urls&gt;&lt;/urls&gt;&lt;remote-database-provider&gt;Nlm&lt;/remote-database-provider&gt;&lt;language&gt;eng&lt;/language&gt;&lt;/record&gt;&lt;/Cite&gt;&lt;/EndNote&gt;</w:instrText>
              </w:r>
              <w:r w:rsidRPr="00E35A2A">
                <w:rPr>
                  <w:rFonts w:ascii="Times New Roman" w:hAnsi="Times New Roman"/>
                  <w:color w:val="000000" w:themeColor="text1"/>
                  <w:szCs w:val="24"/>
                </w:rPr>
                <w:fldChar w:fldCharType="separate"/>
              </w:r>
              <w:r w:rsidRPr="00E35A2A">
                <w:rPr>
                  <w:rFonts w:ascii="Times New Roman" w:hAnsi="Times New Roman"/>
                  <w:noProof/>
                  <w:color w:val="000000" w:themeColor="text1"/>
                  <w:szCs w:val="24"/>
                  <w:vertAlign w:val="superscript"/>
                </w:rPr>
                <w:t>63</w:t>
              </w:r>
              <w:r w:rsidRPr="00E35A2A">
                <w:rPr>
                  <w:rFonts w:ascii="Times New Roman" w:hAnsi="Times New Roman"/>
                  <w:color w:val="000000" w:themeColor="text1"/>
                  <w:szCs w:val="24"/>
                </w:rPr>
                <w:fldChar w:fldCharType="end"/>
              </w:r>
            </w:hyperlink>
            <w:r w:rsidRPr="00E35A2A">
              <w:rPr>
                <w:rFonts w:ascii="Times New Roman" w:hAnsi="Times New Roman"/>
                <w:color w:val="000000" w:themeColor="text1"/>
                <w:szCs w:val="24"/>
              </w:rPr>
              <w:t>.</w:t>
            </w:r>
            <w:r>
              <w:rPr>
                <w:rFonts w:ascii="Times New Roman" w:hAnsi="Times New Roman" w:hint="eastAsia"/>
                <w:color w:val="000000" w:themeColor="text1"/>
                <w:szCs w:val="24"/>
              </w:rPr>
              <w:t xml:space="preserve"> </w:t>
            </w:r>
            <w:r w:rsidRPr="00E35A2A">
              <w:rPr>
                <w:rFonts w:ascii="Times New Roman" w:hAnsi="Times New Roman"/>
                <w:color w:val="000000" w:themeColor="text1"/>
                <w:szCs w:val="24"/>
              </w:rPr>
              <w:t xml:space="preserve">By such means, ω has been found to be very nearly constant for proteins. If ω is pH- and/or temperature-independent, the value of ω will shift under different pH or temperature. Control the experimental conditions and ensure they are consistent during the experiment. </w:t>
            </w:r>
          </w:p>
        </w:tc>
      </w:tr>
      <w:tr w:rsidR="00DB20A4" w:rsidRPr="00E35A2A" w:rsidTr="00994432">
        <w:trPr>
          <w:trHeight w:val="263"/>
        </w:trPr>
        <w:tc>
          <w:tcPr>
            <w:tcW w:w="709" w:type="dxa"/>
            <w:tcBorders>
              <w:top w:val="nil"/>
              <w:bottom w:val="nil"/>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p>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44</w:t>
            </w:r>
          </w:p>
        </w:tc>
        <w:tc>
          <w:tcPr>
            <w:tcW w:w="2410" w:type="dxa"/>
            <w:tcBorders>
              <w:top w:val="nil"/>
              <w:bottom w:val="nil"/>
            </w:tcBorders>
          </w:tcPr>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r w:rsidRPr="00E35A2A">
              <w:rPr>
                <w:rFonts w:ascii="Times New Roman" w:hAnsi="Times New Roman"/>
                <w:color w:val="000000" w:themeColor="text1"/>
                <w:szCs w:val="24"/>
              </w:rPr>
              <w:t>F of the last point &gt;5%</w:t>
            </w:r>
          </w:p>
        </w:tc>
        <w:tc>
          <w:tcPr>
            <w:tcW w:w="5528" w:type="dxa"/>
            <w:tcBorders>
              <w:top w:val="nil"/>
              <w:bottom w:val="nil"/>
            </w:tcBorders>
          </w:tcPr>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r w:rsidRPr="00E35A2A">
              <w:rPr>
                <w:rFonts w:ascii="Times New Roman" w:hAnsi="Times New Roman"/>
                <w:color w:val="000000" w:themeColor="text1"/>
                <w:szCs w:val="24"/>
              </w:rPr>
              <w:t>The spectra should be recorded for a longer time.</w:t>
            </w:r>
          </w:p>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tc>
      </w:tr>
      <w:tr w:rsidR="00DB20A4" w:rsidRPr="00E35A2A" w:rsidTr="00994432">
        <w:trPr>
          <w:trHeight w:val="263"/>
        </w:trPr>
        <w:tc>
          <w:tcPr>
            <w:tcW w:w="709" w:type="dxa"/>
            <w:tcBorders>
              <w:top w:val="nil"/>
            </w:tcBorders>
          </w:tcPr>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p>
          <w:p w:rsidR="00DB20A4" w:rsidRPr="00E35A2A" w:rsidRDefault="00DB20A4" w:rsidP="00994432">
            <w:pPr>
              <w:pStyle w:val="a4"/>
              <w:autoSpaceDE w:val="0"/>
              <w:autoSpaceDN w:val="0"/>
              <w:adjustRightInd w:val="0"/>
              <w:ind w:firstLineChars="0" w:firstLine="0"/>
              <w:rPr>
                <w:rFonts w:ascii="Times New Roman" w:hAnsi="Times New Roman" w:cs="Times New Roman"/>
                <w:color w:val="000000" w:themeColor="text1"/>
                <w:sz w:val="24"/>
                <w:szCs w:val="24"/>
              </w:rPr>
            </w:pPr>
            <w:r w:rsidRPr="00E35A2A">
              <w:rPr>
                <w:rFonts w:ascii="Times New Roman" w:hAnsi="Times New Roman" w:cs="Times New Roman"/>
                <w:color w:val="000000" w:themeColor="text1"/>
                <w:sz w:val="24"/>
                <w:szCs w:val="24"/>
              </w:rPr>
              <w:t>45</w:t>
            </w:r>
          </w:p>
        </w:tc>
        <w:tc>
          <w:tcPr>
            <w:tcW w:w="2410" w:type="dxa"/>
            <w:tcBorders>
              <w:top w:val="nil"/>
            </w:tcBorders>
          </w:tcPr>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p>
          <w:p w:rsidR="00DB20A4" w:rsidRPr="00E35A2A" w:rsidRDefault="00DB20A4" w:rsidP="00994432">
            <w:pPr>
              <w:widowControl w:val="0"/>
              <w:autoSpaceDE w:val="0"/>
              <w:autoSpaceDN w:val="0"/>
              <w:adjustRightInd w:val="0"/>
              <w:spacing w:after="0"/>
              <w:rPr>
                <w:rFonts w:ascii="Times New Roman" w:hAnsi="Times New Roman"/>
                <w:color w:val="000000" w:themeColor="text1"/>
                <w:szCs w:val="24"/>
              </w:rPr>
            </w:pPr>
            <w:r w:rsidRPr="00E35A2A">
              <w:rPr>
                <w:rFonts w:ascii="Times New Roman" w:hAnsi="Times New Roman"/>
                <w:color w:val="000000" w:themeColor="text1"/>
                <w:szCs w:val="24"/>
              </w:rPr>
              <w:t>F versus exchange time plots cannot be fitted well with Eq.(3)</w:t>
            </w:r>
          </w:p>
        </w:tc>
        <w:tc>
          <w:tcPr>
            <w:tcW w:w="5528" w:type="dxa"/>
            <w:tcBorders>
              <w:top w:val="nil"/>
            </w:tcBorders>
          </w:tcPr>
          <w:p w:rsidR="00DB20A4" w:rsidRPr="00E35A2A" w:rsidRDefault="00DB20A4" w:rsidP="00994432">
            <w:pPr>
              <w:widowControl w:val="0"/>
              <w:autoSpaceDE w:val="0"/>
              <w:autoSpaceDN w:val="0"/>
              <w:adjustRightInd w:val="0"/>
              <w:spacing w:after="0"/>
              <w:jc w:val="left"/>
              <w:rPr>
                <w:rFonts w:ascii="Times New Roman" w:hAnsi="Times New Roman"/>
                <w:color w:val="000000" w:themeColor="text1"/>
                <w:szCs w:val="24"/>
              </w:rPr>
            </w:pPr>
          </w:p>
          <w:p w:rsidR="00DB20A4" w:rsidRPr="00E35A2A" w:rsidRDefault="00DB20A4" w:rsidP="00994432">
            <w:pPr>
              <w:adjustRightInd w:val="0"/>
              <w:snapToGrid w:val="0"/>
              <w:spacing w:after="0" w:line="276" w:lineRule="auto"/>
              <w:rPr>
                <w:rFonts w:ascii="Times New Roman" w:hAnsi="Times New Roman"/>
                <w:szCs w:val="24"/>
              </w:rPr>
            </w:pPr>
            <w:r w:rsidRPr="00E35A2A">
              <w:rPr>
                <w:rFonts w:ascii="Times New Roman" w:hAnsi="Times New Roman"/>
                <w:color w:val="000000" w:themeColor="text1"/>
                <w:szCs w:val="24"/>
              </w:rPr>
              <w:t xml:space="preserve">Check if </w:t>
            </w:r>
            <w:r w:rsidRPr="00E35A2A">
              <w:rPr>
                <w:rFonts w:ascii="Times New Roman" w:eastAsia="GulliverIT" w:hAnsi="Times New Roman"/>
                <w:color w:val="000000" w:themeColor="text1"/>
                <w:szCs w:val="24"/>
              </w:rPr>
              <w:t>A</w:t>
            </w:r>
            <w:r w:rsidRPr="00E35A2A">
              <w:rPr>
                <w:rFonts w:ascii="Times New Roman" w:eastAsia="GulliverRM" w:hAnsi="Times New Roman"/>
                <w:color w:val="000000" w:themeColor="text1"/>
                <w:szCs w:val="24"/>
                <w:vertAlign w:val="subscript"/>
              </w:rPr>
              <w:t>II</w:t>
            </w:r>
            <w:r w:rsidRPr="00E35A2A">
              <w:rPr>
                <w:rFonts w:ascii="Times New Roman" w:eastAsia="MTSY" w:hAnsi="Times New Roman"/>
                <w:color w:val="000000" w:themeColor="text1"/>
                <w:szCs w:val="24"/>
                <w:vertAlign w:val="subscript"/>
              </w:rPr>
              <w:t>∞</w:t>
            </w:r>
            <w:r w:rsidRPr="00E35A2A">
              <w:rPr>
                <w:rFonts w:ascii="Times New Roman" w:hAnsi="Times New Roman"/>
                <w:color w:val="000000" w:themeColor="text1"/>
                <w:szCs w:val="24"/>
              </w:rPr>
              <w:t xml:space="preserve"> is correct. Incorrect </w:t>
            </w:r>
            <w:r w:rsidRPr="00E35A2A">
              <w:rPr>
                <w:rFonts w:ascii="Times New Roman" w:eastAsia="GulliverIT" w:hAnsi="Times New Roman"/>
                <w:color w:val="000000" w:themeColor="text1"/>
                <w:szCs w:val="24"/>
              </w:rPr>
              <w:t>A</w:t>
            </w:r>
            <w:r w:rsidRPr="00E35A2A">
              <w:rPr>
                <w:rFonts w:ascii="Times New Roman" w:eastAsia="GulliverRM" w:hAnsi="Times New Roman"/>
                <w:color w:val="000000" w:themeColor="text1"/>
                <w:szCs w:val="24"/>
                <w:vertAlign w:val="subscript"/>
              </w:rPr>
              <w:t>II</w:t>
            </w:r>
            <w:r w:rsidRPr="00E35A2A">
              <w:rPr>
                <w:rFonts w:ascii="Times New Roman" w:eastAsia="MTSY" w:hAnsi="Times New Roman"/>
                <w:color w:val="000000" w:themeColor="text1"/>
                <w:szCs w:val="24"/>
                <w:vertAlign w:val="subscript"/>
              </w:rPr>
              <w:t>∞</w:t>
            </w:r>
            <w:r w:rsidRPr="00E35A2A">
              <w:rPr>
                <w:rFonts w:ascii="Times New Roman" w:hAnsi="Times New Roman"/>
                <w:color w:val="000000" w:themeColor="text1"/>
                <w:szCs w:val="24"/>
              </w:rPr>
              <w:t xml:space="preserve"> values will affect the plots. </w:t>
            </w:r>
            <w:r w:rsidRPr="00E35A2A">
              <w:rPr>
                <w:rFonts w:ascii="Times New Roman" w:hAnsi="Times New Roman"/>
                <w:szCs w:val="24"/>
              </w:rPr>
              <w:t>Random errors arise through dissolution of Ca</w:t>
            </w:r>
            <w:r w:rsidRPr="00E35A2A">
              <w:rPr>
                <w:rFonts w:ascii="Times New Roman" w:hAnsi="Times New Roman"/>
                <w:szCs w:val="24"/>
                <w:vertAlign w:val="superscript"/>
              </w:rPr>
              <w:t>2+</w:t>
            </w:r>
            <w:r w:rsidRPr="00E35A2A">
              <w:rPr>
                <w:rFonts w:ascii="Times New Roman" w:hAnsi="Times New Roman"/>
                <w:szCs w:val="24"/>
              </w:rPr>
              <w:t xml:space="preserve"> from the windows into the solution, through the elevation of temperature when the thin film of solution resides in the intense infrared beam, and through baseline drift. This will affect the data. Try to increase the protein concentration and ensure that there are no </w:t>
            </w:r>
            <w:proofErr w:type="spellStart"/>
            <w:r w:rsidRPr="00E35A2A">
              <w:rPr>
                <w:rFonts w:ascii="Times New Roman" w:hAnsi="Times New Roman"/>
                <w:szCs w:val="24"/>
              </w:rPr>
              <w:t>cosolvents</w:t>
            </w:r>
            <w:proofErr w:type="spellEnd"/>
            <w:r w:rsidRPr="00E35A2A">
              <w:rPr>
                <w:rFonts w:ascii="Times New Roman" w:hAnsi="Times New Roman"/>
                <w:szCs w:val="24"/>
              </w:rPr>
              <w:t xml:space="preserve"> in the sample. All can be </w:t>
            </w:r>
            <w:r w:rsidRPr="00E35A2A">
              <w:rPr>
                <w:rFonts w:ascii="Times New Roman" w:hAnsi="Times New Roman"/>
                <w:szCs w:val="24"/>
              </w:rPr>
              <w:lastRenderedPageBreak/>
              <w:t>corrected by careful and ingenious experimental techniques.</w:t>
            </w:r>
          </w:p>
        </w:tc>
      </w:tr>
    </w:tbl>
    <w:p w:rsidR="00912609" w:rsidRPr="00DB20A4" w:rsidRDefault="00912609"/>
    <w:sectPr w:rsidR="00912609" w:rsidRPr="00DB20A4" w:rsidSect="009126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ATWNQL+ACaslonPro-Regular">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GulliverIT">
    <w:altName w:val="宋体"/>
    <w:panose1 w:val="00000000000000000000"/>
    <w:charset w:val="86"/>
    <w:family w:val="auto"/>
    <w:notTrueType/>
    <w:pitch w:val="default"/>
    <w:sig w:usb0="00000001" w:usb1="080E0000" w:usb2="00000010" w:usb3="00000000" w:csb0="00040000" w:csb1="00000000"/>
  </w:font>
  <w:font w:name="GulliverRM">
    <w:altName w:val="Arial Unicode MS"/>
    <w:panose1 w:val="00000000000000000000"/>
    <w:charset w:val="86"/>
    <w:family w:val="auto"/>
    <w:notTrueType/>
    <w:pitch w:val="default"/>
    <w:sig w:usb0="00000000" w:usb1="080E0000" w:usb2="00000010" w:usb3="00000000" w:csb0="00040000" w:csb1="00000000"/>
  </w:font>
  <w:font w:name="MTSY">
    <w:altName w:val="Arial Unicode MS"/>
    <w:panose1 w:val="00000000000000000000"/>
    <w:charset w:val="81"/>
    <w:family w:val="auto"/>
    <w:notTrueType/>
    <w:pitch w:val="default"/>
    <w:sig w:usb0="00000000" w:usb1="09060000" w:usb2="00000010" w:usb3="00000000" w:csb0="0008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4B18"/>
    <w:rsid w:val="002C4B18"/>
    <w:rsid w:val="0079173C"/>
    <w:rsid w:val="00912609"/>
    <w:rsid w:val="00DB20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B18"/>
    <w:pPr>
      <w:spacing w:after="200"/>
      <w:jc w:val="both"/>
    </w:pPr>
    <w:rPr>
      <w:rFonts w:ascii="Arno Pro" w:hAnsi="Arno Pro"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4B18"/>
    <w:rPr>
      <w:rFonts w:ascii="Calibri"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4B18"/>
    <w:pPr>
      <w:widowControl w:val="0"/>
      <w:autoSpaceDE w:val="0"/>
      <w:autoSpaceDN w:val="0"/>
      <w:adjustRightInd w:val="0"/>
    </w:pPr>
    <w:rPr>
      <w:rFonts w:ascii="ATWNQL+ACaslonPro-Regular" w:eastAsia="ATWNQL+ACaslonPro-Regular" w:hAnsi="Calibri" w:cs="ATWNQL+ACaslonPro-Regular"/>
      <w:color w:val="000000"/>
      <w:kern w:val="0"/>
      <w:sz w:val="24"/>
      <w:szCs w:val="24"/>
    </w:rPr>
  </w:style>
  <w:style w:type="paragraph" w:styleId="a4">
    <w:name w:val="List Paragraph"/>
    <w:basedOn w:val="a"/>
    <w:uiPriority w:val="34"/>
    <w:qFormat/>
    <w:rsid w:val="00DB20A4"/>
    <w:pPr>
      <w:widowControl w:val="0"/>
      <w:spacing w:after="0"/>
      <w:ind w:firstLineChars="200" w:firstLine="420"/>
    </w:pPr>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zhang</cp:lastModifiedBy>
  <cp:revision>2</cp:revision>
  <dcterms:created xsi:type="dcterms:W3CDTF">2018-05-24T09:05:00Z</dcterms:created>
  <dcterms:modified xsi:type="dcterms:W3CDTF">2018-05-24T09:05:00Z</dcterms:modified>
</cp:coreProperties>
</file>