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D9A6" w14:textId="77777777" w:rsidR="00DB669B" w:rsidRDefault="00DB669B" w:rsidP="00DB669B">
      <w:pPr>
        <w:pStyle w:val="Normal1"/>
        <w:spacing w:line="360" w:lineRule="auto"/>
        <w:jc w:val="both"/>
      </w:pPr>
      <w:bookmarkStart w:id="0" w:name="_GoBack"/>
      <w:r>
        <w:rPr>
          <w:rFonts w:ascii="Times New Roman" w:eastAsia="Times New Roman" w:hAnsi="Times New Roman" w:cs="Times New Roman"/>
          <w:b/>
        </w:rPr>
        <w:t>Supplementary Table 1</w:t>
      </w:r>
      <w:bookmarkEnd w:id="0"/>
      <w:r>
        <w:rPr>
          <w:rFonts w:ascii="Times New Roman" w:eastAsia="Times New Roman" w:hAnsi="Times New Roman" w:cs="Times New Roman"/>
        </w:rPr>
        <w:t>. Comparison of BLISS with other methods for genome-wide DSB detection.</w:t>
      </w:r>
    </w:p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990"/>
        <w:gridCol w:w="2265"/>
        <w:gridCol w:w="1845"/>
        <w:gridCol w:w="2745"/>
      </w:tblGrid>
      <w:tr w:rsidR="00DB669B" w:rsidRPr="00DB669B" w14:paraId="37F8266E" w14:textId="77777777" w:rsidTr="00C05B51">
        <w:trPr>
          <w:trHeight w:val="320"/>
          <w:jc w:val="center"/>
        </w:trPr>
        <w:tc>
          <w:tcPr>
            <w:tcW w:w="1305" w:type="dxa"/>
            <w:vAlign w:val="center"/>
          </w:tcPr>
          <w:p w14:paraId="075F7E24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b/>
                <w:sz w:val="16"/>
                <w:szCs w:val="16"/>
              </w:rPr>
              <w:t>Method</w:t>
            </w:r>
          </w:p>
        </w:tc>
        <w:tc>
          <w:tcPr>
            <w:tcW w:w="990" w:type="dxa"/>
            <w:vAlign w:val="center"/>
          </w:tcPr>
          <w:p w14:paraId="7576CD78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b/>
                <w:sz w:val="16"/>
                <w:szCs w:val="16"/>
              </w:rPr>
              <w:t>Detection</w:t>
            </w:r>
          </w:p>
        </w:tc>
        <w:tc>
          <w:tcPr>
            <w:tcW w:w="2265" w:type="dxa"/>
            <w:vAlign w:val="center"/>
          </w:tcPr>
          <w:p w14:paraId="69B55CBE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b/>
                <w:sz w:val="16"/>
                <w:szCs w:val="16"/>
              </w:rPr>
              <w:t>Main features</w:t>
            </w:r>
          </w:p>
        </w:tc>
        <w:tc>
          <w:tcPr>
            <w:tcW w:w="1845" w:type="dxa"/>
            <w:vAlign w:val="center"/>
          </w:tcPr>
          <w:p w14:paraId="6DB3D171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b/>
                <w:sz w:val="16"/>
                <w:szCs w:val="16"/>
              </w:rPr>
              <w:t>Sample (input)</w:t>
            </w:r>
          </w:p>
        </w:tc>
        <w:tc>
          <w:tcPr>
            <w:tcW w:w="2745" w:type="dxa"/>
            <w:vAlign w:val="center"/>
          </w:tcPr>
          <w:p w14:paraId="2676D5E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b/>
                <w:sz w:val="16"/>
                <w:szCs w:val="16"/>
              </w:rPr>
              <w:t>Reported applications</w:t>
            </w:r>
          </w:p>
        </w:tc>
      </w:tr>
      <w:tr w:rsidR="00DB669B" w:rsidRPr="00DB669B" w14:paraId="43204387" w14:textId="77777777" w:rsidTr="00C05B51">
        <w:trPr>
          <w:jc w:val="center"/>
        </w:trPr>
        <w:tc>
          <w:tcPr>
            <w:tcW w:w="1305" w:type="dxa"/>
            <w:vAlign w:val="center"/>
          </w:tcPr>
          <w:p w14:paraId="45E70FF2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BLISS</w:t>
            </w:r>
          </w:p>
        </w:tc>
        <w:tc>
          <w:tcPr>
            <w:tcW w:w="990" w:type="dxa"/>
            <w:vAlign w:val="center"/>
          </w:tcPr>
          <w:p w14:paraId="4C5B836A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Direct</w:t>
            </w:r>
          </w:p>
        </w:tc>
        <w:tc>
          <w:tcPr>
            <w:tcW w:w="2265" w:type="dxa"/>
            <w:vAlign w:val="center"/>
          </w:tcPr>
          <w:p w14:paraId="6DCD64CD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situ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DSB blunting and ligation in cells and tissue sections attached onto a solid surface. Selective amplification of DSB ends by </w:t>
            </w: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vitro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transcription. Quantitative power thanks to UMIs. </w:t>
            </w:r>
          </w:p>
        </w:tc>
        <w:tc>
          <w:tcPr>
            <w:tcW w:w="1845" w:type="dxa"/>
            <w:vAlign w:val="center"/>
          </w:tcPr>
          <w:p w14:paraId="7BA110DE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Fixed cells, tissue sections (compatibility with low-input samples of 10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  <w:vertAlign w:val="superscript"/>
              </w:rPr>
              <w:t>3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cells)</w:t>
            </w:r>
          </w:p>
        </w:tc>
        <w:tc>
          <w:tcPr>
            <w:tcW w:w="2745" w:type="dxa"/>
            <w:vAlign w:val="center"/>
          </w:tcPr>
          <w:p w14:paraId="6D11135A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Etoposide-induced DSBs. Natural DSBs in cells and tissues. Cas9 and Cpf1 specificity (this paper)</w:t>
            </w:r>
          </w:p>
        </w:tc>
      </w:tr>
      <w:tr w:rsidR="00DB669B" w:rsidRPr="00DB669B" w14:paraId="740D4ACB" w14:textId="77777777" w:rsidTr="00C05B51">
        <w:trPr>
          <w:jc w:val="center"/>
        </w:trPr>
        <w:tc>
          <w:tcPr>
            <w:tcW w:w="1305" w:type="dxa"/>
            <w:vAlign w:val="center"/>
          </w:tcPr>
          <w:p w14:paraId="47CB782C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BLESS</w:t>
            </w:r>
          </w:p>
        </w:tc>
        <w:tc>
          <w:tcPr>
            <w:tcW w:w="990" w:type="dxa"/>
            <w:vAlign w:val="center"/>
          </w:tcPr>
          <w:p w14:paraId="63CDF990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Direct</w:t>
            </w:r>
          </w:p>
        </w:tc>
        <w:tc>
          <w:tcPr>
            <w:tcW w:w="2265" w:type="dxa"/>
            <w:vAlign w:val="center"/>
          </w:tcPr>
          <w:p w14:paraId="6FEBF16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situ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DSB blunting and ligation of biotinylated adapters. DSB capture on streptavidin</w:t>
            </w:r>
          </w:p>
        </w:tc>
        <w:tc>
          <w:tcPr>
            <w:tcW w:w="1845" w:type="dxa"/>
            <w:vAlign w:val="center"/>
          </w:tcPr>
          <w:p w14:paraId="49984845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Fixed cells</w:t>
            </w:r>
          </w:p>
          <w:p w14:paraId="721948B8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(at least 10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  <w:vertAlign w:val="superscript"/>
              </w:rPr>
              <w:t>6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cells)</w:t>
            </w:r>
          </w:p>
        </w:tc>
        <w:tc>
          <w:tcPr>
            <w:tcW w:w="2745" w:type="dxa"/>
            <w:vAlign w:val="center"/>
          </w:tcPr>
          <w:p w14:paraId="4F07A9E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Replication stress-induced DSBs in mammalian cells</w:t>
            </w:r>
            <w:hyperlink r:id="rId6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</w:t>
              </w:r>
              <w:proofErr w:type="spellStart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Crosetto</w:t>
              </w:r>
              <w:proofErr w:type="spellEnd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 xml:space="preserve"> et al. 2013)</w:t>
              </w:r>
            </w:hyperlink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, Cas9 specificity </w:t>
            </w:r>
            <w:hyperlink r:id="rId7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(Ran et al. 2015)</w:t>
              </w:r>
            </w:hyperlink>
            <w:hyperlink r:id="rId8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</w:t>
              </w:r>
              <w:proofErr w:type="spellStart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Slaymaker</w:t>
              </w:r>
              <w:proofErr w:type="spellEnd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 xml:space="preserve"> et al. 2016)</w:t>
              </w:r>
            </w:hyperlink>
            <w:hyperlink r:id="rId9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https://paperpile.com/c/Khgo8j/SGS3L</w:t>
              </w:r>
            </w:hyperlink>
          </w:p>
        </w:tc>
      </w:tr>
      <w:tr w:rsidR="00DB669B" w:rsidRPr="00DB669B" w14:paraId="6DBD2C91" w14:textId="77777777" w:rsidTr="00C05B51">
        <w:trPr>
          <w:trHeight w:val="560"/>
          <w:jc w:val="center"/>
        </w:trPr>
        <w:tc>
          <w:tcPr>
            <w:tcW w:w="1305" w:type="dxa"/>
            <w:vAlign w:val="center"/>
          </w:tcPr>
          <w:p w14:paraId="3CFB4C1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DSBCapture</w:t>
            </w:r>
            <w:proofErr w:type="spellEnd"/>
          </w:p>
        </w:tc>
        <w:tc>
          <w:tcPr>
            <w:tcW w:w="990" w:type="dxa"/>
            <w:vAlign w:val="center"/>
          </w:tcPr>
          <w:p w14:paraId="0FA25856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Direct</w:t>
            </w:r>
          </w:p>
        </w:tc>
        <w:tc>
          <w:tcPr>
            <w:tcW w:w="2265" w:type="dxa"/>
            <w:vAlign w:val="center"/>
          </w:tcPr>
          <w:p w14:paraId="62239024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situ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DSB blunting and A-tailing. Modified BLESS adapters containing Illumina adapter sequences</w:t>
            </w:r>
          </w:p>
        </w:tc>
        <w:tc>
          <w:tcPr>
            <w:tcW w:w="1845" w:type="dxa"/>
            <w:vAlign w:val="center"/>
          </w:tcPr>
          <w:p w14:paraId="095D9810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Fixed cells</w:t>
            </w:r>
          </w:p>
          <w:p w14:paraId="669F4F4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(at least 10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  <w:vertAlign w:val="superscript"/>
              </w:rPr>
              <w:t>6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cells)</w:t>
            </w:r>
          </w:p>
          <w:p w14:paraId="08B0B90D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2745" w:type="dxa"/>
            <w:vAlign w:val="center"/>
          </w:tcPr>
          <w:p w14:paraId="7EB7D6ED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DSBs at G-</w:t>
            </w: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quadruplex</w:t>
            </w:r>
            <w:proofErr w:type="spellEnd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rich sites, active genes and transcription start sites </w:t>
            </w:r>
            <w:hyperlink r:id="rId10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(Lensing et al. 2016)</w:t>
              </w:r>
            </w:hyperlink>
            <w:hyperlink r:id="rId11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https://paperpile.com/c/Khgo8j/R7DBE</w:t>
              </w:r>
            </w:hyperlink>
          </w:p>
        </w:tc>
      </w:tr>
      <w:tr w:rsidR="00DB669B" w:rsidRPr="00DB669B" w14:paraId="792B3FD2" w14:textId="77777777" w:rsidTr="00C05B51">
        <w:trPr>
          <w:jc w:val="center"/>
        </w:trPr>
        <w:tc>
          <w:tcPr>
            <w:tcW w:w="1305" w:type="dxa"/>
            <w:vAlign w:val="center"/>
          </w:tcPr>
          <w:p w14:paraId="0D63BB3A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End-</w:t>
            </w: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Seq</w:t>
            </w:r>
            <w:proofErr w:type="spellEnd"/>
          </w:p>
        </w:tc>
        <w:tc>
          <w:tcPr>
            <w:tcW w:w="990" w:type="dxa"/>
            <w:vAlign w:val="center"/>
          </w:tcPr>
          <w:p w14:paraId="46125FFC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Direct</w:t>
            </w:r>
          </w:p>
        </w:tc>
        <w:tc>
          <w:tcPr>
            <w:tcW w:w="2265" w:type="dxa"/>
            <w:vAlign w:val="center"/>
          </w:tcPr>
          <w:p w14:paraId="49F91E10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vivo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DSB blunting and A-tailing in agarose plugs. Modified BLESS adapters containing Illumina adapter sequences</w:t>
            </w:r>
          </w:p>
        </w:tc>
        <w:tc>
          <w:tcPr>
            <w:tcW w:w="1845" w:type="dxa"/>
            <w:vAlign w:val="center"/>
          </w:tcPr>
          <w:p w14:paraId="75032BA5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Live cells</w:t>
            </w:r>
          </w:p>
          <w:p w14:paraId="15AE3EFF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(at least 10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  <w:vertAlign w:val="superscript"/>
              </w:rPr>
              <w:t>7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cells)</w:t>
            </w:r>
          </w:p>
        </w:tc>
        <w:tc>
          <w:tcPr>
            <w:tcW w:w="2745" w:type="dxa"/>
            <w:vAlign w:val="center"/>
          </w:tcPr>
          <w:p w14:paraId="58B37F66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AsiSI</w:t>
            </w:r>
            <w:proofErr w:type="spellEnd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-induced DSBs resection mapping, RAG endonuclease specificity </w:t>
            </w:r>
            <w:hyperlink r:id="rId12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</w:t>
              </w:r>
              <w:proofErr w:type="spellStart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Canela</w:t>
              </w:r>
              <w:proofErr w:type="spellEnd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 xml:space="preserve"> et al. 2016)</w:t>
              </w:r>
            </w:hyperlink>
            <w:hyperlink r:id="rId13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https://paperpile.com/c/Khgo8j/Cc4Rk</w:t>
              </w:r>
            </w:hyperlink>
          </w:p>
        </w:tc>
      </w:tr>
      <w:tr w:rsidR="00DB669B" w:rsidRPr="00DB669B" w14:paraId="0ADFF69F" w14:textId="77777777" w:rsidTr="00C05B51">
        <w:trPr>
          <w:jc w:val="center"/>
        </w:trPr>
        <w:tc>
          <w:tcPr>
            <w:tcW w:w="1305" w:type="dxa"/>
            <w:vAlign w:val="center"/>
          </w:tcPr>
          <w:p w14:paraId="0B3C5E58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Digenome-seq</w:t>
            </w:r>
            <w:proofErr w:type="spellEnd"/>
          </w:p>
        </w:tc>
        <w:tc>
          <w:tcPr>
            <w:tcW w:w="990" w:type="dxa"/>
            <w:vAlign w:val="center"/>
          </w:tcPr>
          <w:p w14:paraId="25FBFD9C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Direct</w:t>
            </w:r>
          </w:p>
        </w:tc>
        <w:tc>
          <w:tcPr>
            <w:tcW w:w="2265" w:type="dxa"/>
            <w:vAlign w:val="center"/>
          </w:tcPr>
          <w:p w14:paraId="4F3D0085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vitro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nuclease</w:t>
            </w: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 xml:space="preserve"> 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digestion of purified genomic DNA and detection of DSBs by whole-genome sequencing</w:t>
            </w:r>
          </w:p>
        </w:tc>
        <w:tc>
          <w:tcPr>
            <w:tcW w:w="1845" w:type="dxa"/>
            <w:vAlign w:val="center"/>
          </w:tcPr>
          <w:p w14:paraId="7249C6A7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Purified DNA</w:t>
            </w:r>
          </w:p>
        </w:tc>
        <w:tc>
          <w:tcPr>
            <w:tcW w:w="2745" w:type="dxa"/>
            <w:vAlign w:val="center"/>
          </w:tcPr>
          <w:p w14:paraId="1356FACB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Cas9 and Cpf1 specificity </w:t>
            </w:r>
            <w:hyperlink r:id="rId14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(Kim et al. 2016; Kim et al. 2015)</w:t>
              </w:r>
            </w:hyperlink>
            <w:hyperlink r:id="rId15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https://paperpile.com/c/Khgo8j/pT1qb+d4hZg</w:t>
              </w:r>
            </w:hyperlink>
          </w:p>
        </w:tc>
      </w:tr>
      <w:tr w:rsidR="00DB669B" w:rsidRPr="00DB669B" w14:paraId="21EE9A70" w14:textId="77777777" w:rsidTr="00C05B51">
        <w:trPr>
          <w:jc w:val="center"/>
        </w:trPr>
        <w:tc>
          <w:tcPr>
            <w:tcW w:w="1305" w:type="dxa"/>
            <w:vAlign w:val="center"/>
          </w:tcPr>
          <w:p w14:paraId="4D04E011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ChIP-seq</w:t>
            </w:r>
            <w:proofErr w:type="spellEnd"/>
          </w:p>
        </w:tc>
        <w:tc>
          <w:tcPr>
            <w:tcW w:w="990" w:type="dxa"/>
            <w:vAlign w:val="center"/>
          </w:tcPr>
          <w:p w14:paraId="4F14CFC1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Indirect</w:t>
            </w:r>
          </w:p>
        </w:tc>
        <w:tc>
          <w:tcPr>
            <w:tcW w:w="2265" w:type="dxa"/>
            <w:vAlign w:val="center"/>
          </w:tcPr>
          <w:p w14:paraId="6C73084F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Capture of chromatin containing DSBs markers such as γH2A.X</w:t>
            </w:r>
          </w:p>
        </w:tc>
        <w:tc>
          <w:tcPr>
            <w:tcW w:w="1845" w:type="dxa"/>
            <w:vAlign w:val="center"/>
          </w:tcPr>
          <w:p w14:paraId="1412BFCE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Fixed cells</w:t>
            </w:r>
          </w:p>
          <w:p w14:paraId="2E54F41D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(at least 10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  <w:vertAlign w:val="superscript"/>
              </w:rPr>
              <w:t>7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cells)</w:t>
            </w:r>
          </w:p>
        </w:tc>
        <w:tc>
          <w:tcPr>
            <w:tcW w:w="2745" w:type="dxa"/>
            <w:vAlign w:val="center"/>
          </w:tcPr>
          <w:p w14:paraId="0C25D1CF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Replication stress-induced DSBs in yeast </w:t>
            </w:r>
            <w:hyperlink r:id="rId16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(Szilard et al. 2010)</w:t>
              </w:r>
            </w:hyperlink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, </w:t>
            </w: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AsiSI</w:t>
            </w:r>
            <w:proofErr w:type="spellEnd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-induced DSBs processing in mammalian cells </w:t>
            </w:r>
            <w:hyperlink r:id="rId17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</w:t>
              </w:r>
              <w:proofErr w:type="spellStart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Iacovoni</w:t>
              </w:r>
              <w:proofErr w:type="spellEnd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 xml:space="preserve"> et al. 2010)</w:t>
              </w:r>
            </w:hyperlink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, transcription-associated DSBs in neuronal cells </w:t>
            </w:r>
            <w:hyperlink r:id="rId18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</w:t>
              </w:r>
              <w:proofErr w:type="spellStart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Madabhushi</w:t>
              </w:r>
              <w:proofErr w:type="spellEnd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 xml:space="preserve"> et al. 2015)</w:t>
              </w:r>
            </w:hyperlink>
            <w:hyperlink r:id="rId19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https://paperpile.com/c/Khgo8j/gHd5K</w:t>
              </w:r>
            </w:hyperlink>
          </w:p>
        </w:tc>
      </w:tr>
      <w:tr w:rsidR="00DB669B" w:rsidRPr="00DB669B" w14:paraId="66A1488C" w14:textId="77777777" w:rsidTr="00C05B51">
        <w:trPr>
          <w:jc w:val="center"/>
        </w:trPr>
        <w:tc>
          <w:tcPr>
            <w:tcW w:w="1305" w:type="dxa"/>
            <w:vAlign w:val="center"/>
          </w:tcPr>
          <w:p w14:paraId="59A782EB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GUIDE-</w:t>
            </w: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seq</w:t>
            </w:r>
            <w:proofErr w:type="spellEnd"/>
          </w:p>
          <w:p w14:paraId="0A564F1C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2C25A191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Indirect</w:t>
            </w:r>
          </w:p>
          <w:p w14:paraId="3AB3FA96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14:paraId="25A12E3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vivo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DSB labeling by incorporation of dsDNA </w:t>
            </w:r>
            <w:proofErr w:type="spellStart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oligos</w:t>
            </w:r>
            <w:proofErr w:type="spellEnd"/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through NHEJ-mediated repair</w:t>
            </w:r>
          </w:p>
        </w:tc>
        <w:tc>
          <w:tcPr>
            <w:tcW w:w="1845" w:type="dxa"/>
            <w:vAlign w:val="center"/>
          </w:tcPr>
          <w:p w14:paraId="33762EF9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Transfected live cells</w:t>
            </w:r>
          </w:p>
        </w:tc>
        <w:tc>
          <w:tcPr>
            <w:tcW w:w="2745" w:type="dxa"/>
            <w:vAlign w:val="center"/>
          </w:tcPr>
          <w:p w14:paraId="57F4D521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Cas9 and Cpf1 specificity </w:t>
            </w:r>
            <w:hyperlink r:id="rId20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(Tsai et al. 2015)</w:t>
              </w:r>
            </w:hyperlink>
            <w:hyperlink r:id="rId21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</w:t>
              </w:r>
              <w:proofErr w:type="spellStart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Kleinstiver</w:t>
              </w:r>
              <w:proofErr w:type="spellEnd"/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 xml:space="preserve"> et al. 2016)</w:t>
              </w:r>
            </w:hyperlink>
            <w:hyperlink r:id="rId22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https://paperpile.com/c/Khgo8j/M0f7U</w:t>
              </w:r>
            </w:hyperlink>
          </w:p>
        </w:tc>
      </w:tr>
      <w:tr w:rsidR="00DB669B" w:rsidRPr="00DB669B" w14:paraId="441E6219" w14:textId="77777777" w:rsidTr="00C05B51">
        <w:trPr>
          <w:trHeight w:val="920"/>
          <w:jc w:val="center"/>
        </w:trPr>
        <w:tc>
          <w:tcPr>
            <w:tcW w:w="1305" w:type="dxa"/>
            <w:vAlign w:val="center"/>
          </w:tcPr>
          <w:p w14:paraId="546922D6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IDLV capture</w:t>
            </w:r>
          </w:p>
        </w:tc>
        <w:tc>
          <w:tcPr>
            <w:tcW w:w="990" w:type="dxa"/>
            <w:vAlign w:val="center"/>
          </w:tcPr>
          <w:p w14:paraId="606A4EDF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Indirect</w:t>
            </w:r>
          </w:p>
        </w:tc>
        <w:tc>
          <w:tcPr>
            <w:tcW w:w="2265" w:type="dxa"/>
            <w:vAlign w:val="center"/>
          </w:tcPr>
          <w:p w14:paraId="6960A6C3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vivo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DSB labeling by random incorporation of integration defective lentiviral vectors through NHEJ-mediated repair</w:t>
            </w:r>
          </w:p>
        </w:tc>
        <w:tc>
          <w:tcPr>
            <w:tcW w:w="1845" w:type="dxa"/>
            <w:vAlign w:val="center"/>
          </w:tcPr>
          <w:p w14:paraId="3BEA7A4E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Transduced live cells</w:t>
            </w:r>
          </w:p>
        </w:tc>
        <w:tc>
          <w:tcPr>
            <w:tcW w:w="2745" w:type="dxa"/>
            <w:vAlign w:val="center"/>
          </w:tcPr>
          <w:p w14:paraId="2D62D8A8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Cas9 and TALENs specificity </w:t>
            </w:r>
            <w:hyperlink r:id="rId23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(Wang et al. 2015)</w:t>
              </w:r>
            </w:hyperlink>
            <w:hyperlink r:id="rId24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https://paperpile.com/c/Khgo8j/XGIcf</w:t>
              </w:r>
            </w:hyperlink>
          </w:p>
        </w:tc>
      </w:tr>
      <w:tr w:rsidR="00DB669B" w:rsidRPr="00DB669B" w14:paraId="189D60B7" w14:textId="77777777" w:rsidTr="00C05B51">
        <w:trPr>
          <w:jc w:val="center"/>
        </w:trPr>
        <w:tc>
          <w:tcPr>
            <w:tcW w:w="1305" w:type="dxa"/>
            <w:vAlign w:val="center"/>
          </w:tcPr>
          <w:p w14:paraId="5CA63458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LAM-HTGTS</w:t>
            </w:r>
          </w:p>
        </w:tc>
        <w:tc>
          <w:tcPr>
            <w:tcW w:w="990" w:type="dxa"/>
            <w:vAlign w:val="center"/>
          </w:tcPr>
          <w:p w14:paraId="6F32F6F2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Indirect</w:t>
            </w:r>
          </w:p>
        </w:tc>
        <w:tc>
          <w:tcPr>
            <w:tcW w:w="2265" w:type="dxa"/>
            <w:vAlign w:val="center"/>
          </w:tcPr>
          <w:p w14:paraId="1138A019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i/>
                <w:sz w:val="16"/>
                <w:szCs w:val="16"/>
              </w:rPr>
              <w:t>In vivo</w:t>
            </w: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 induction of DSBs and sequencing of translocation products originated from NHEJ-mediated repair</w:t>
            </w:r>
          </w:p>
        </w:tc>
        <w:tc>
          <w:tcPr>
            <w:tcW w:w="1845" w:type="dxa"/>
            <w:vAlign w:val="center"/>
          </w:tcPr>
          <w:p w14:paraId="44628E10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>Live cells treated to induce translocations</w:t>
            </w:r>
          </w:p>
        </w:tc>
        <w:tc>
          <w:tcPr>
            <w:tcW w:w="2745" w:type="dxa"/>
            <w:vAlign w:val="center"/>
          </w:tcPr>
          <w:p w14:paraId="13F0D162" w14:textId="77777777" w:rsidR="00DB669B" w:rsidRPr="00DB669B" w:rsidRDefault="00DB669B" w:rsidP="00C05B51">
            <w:pPr>
              <w:pStyle w:val="Normal1"/>
              <w:rPr>
                <w:rFonts w:asciiTheme="minorBidi" w:hAnsiTheme="minorBidi" w:cstheme="minorBidi"/>
                <w:sz w:val="16"/>
                <w:szCs w:val="16"/>
              </w:rPr>
            </w:pPr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Cas9 specificity </w:t>
            </w:r>
            <w:hyperlink r:id="rId25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(Frock et al. 2015)</w:t>
              </w:r>
            </w:hyperlink>
            <w:r w:rsidRPr="00DB669B">
              <w:rPr>
                <w:rFonts w:asciiTheme="minorBidi" w:eastAsia="Arial" w:hAnsiTheme="minorBidi" w:cstheme="minorBidi"/>
                <w:sz w:val="16"/>
                <w:szCs w:val="16"/>
              </w:rPr>
              <w:t xml:space="preserve">, transcription-associated DSBs in neuronal cells </w:t>
            </w:r>
            <w:hyperlink r:id="rId26">
              <w:r w:rsidRPr="00DB669B">
                <w:rPr>
                  <w:rFonts w:asciiTheme="minorBidi" w:eastAsia="Arial" w:hAnsiTheme="minorBidi" w:cstheme="minorBidi"/>
                  <w:color w:val="1155CC"/>
                  <w:sz w:val="16"/>
                  <w:szCs w:val="16"/>
                  <w:u w:val="single"/>
                </w:rPr>
                <w:t>(Wei et al. 2016)</w:t>
              </w:r>
            </w:hyperlink>
            <w:hyperlink r:id="rId27">
              <w:r w:rsidRPr="00DB669B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https://paperpile.com/c/Khgo8j/AS8ja</w:t>
              </w:r>
            </w:hyperlink>
          </w:p>
        </w:tc>
      </w:tr>
    </w:tbl>
    <w:p w14:paraId="6894043A" w14:textId="77777777" w:rsidR="00DB669B" w:rsidRDefault="00DB669B" w:rsidP="00DB669B"/>
    <w:p w14:paraId="1173044F" w14:textId="77777777" w:rsidR="00DB669B" w:rsidRPr="00DB669B" w:rsidRDefault="00DB669B" w:rsidP="00DB669B"/>
    <w:sectPr w:rsidR="00DB669B" w:rsidRPr="00DB669B" w:rsidSect="00BE02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73527" w14:textId="77777777" w:rsidR="00343B7F" w:rsidRDefault="00343B7F" w:rsidP="00DB669B">
      <w:r>
        <w:separator/>
      </w:r>
    </w:p>
  </w:endnote>
  <w:endnote w:type="continuationSeparator" w:id="0">
    <w:p w14:paraId="5DCE8383" w14:textId="77777777" w:rsidR="00343B7F" w:rsidRDefault="00343B7F" w:rsidP="00DB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6B3EE" w14:textId="77777777" w:rsidR="00343B7F" w:rsidRDefault="00343B7F" w:rsidP="00DB669B">
      <w:r>
        <w:separator/>
      </w:r>
    </w:p>
  </w:footnote>
  <w:footnote w:type="continuationSeparator" w:id="0">
    <w:p w14:paraId="46DEDDB1" w14:textId="77777777" w:rsidR="00343B7F" w:rsidRDefault="00343B7F" w:rsidP="00DB6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9B"/>
    <w:rsid w:val="00343B7F"/>
    <w:rsid w:val="00974094"/>
    <w:rsid w:val="00BE0216"/>
    <w:rsid w:val="00BE14E1"/>
    <w:rsid w:val="00D03B0F"/>
    <w:rsid w:val="00DB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BAC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669B"/>
    <w:pPr>
      <w:widowControl w:val="0"/>
    </w:pPr>
    <w:rPr>
      <w:rFonts w:ascii="Cambria" w:eastAsia="Cambria" w:hAnsi="Cambria" w:cs="Cambria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6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69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B669B"/>
  </w:style>
  <w:style w:type="paragraph" w:styleId="Footer">
    <w:name w:val="footer"/>
    <w:basedOn w:val="Normal"/>
    <w:link w:val="FooterChar"/>
    <w:uiPriority w:val="99"/>
    <w:unhideWhenUsed/>
    <w:rsid w:val="00DB669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B669B"/>
  </w:style>
  <w:style w:type="paragraph" w:customStyle="1" w:styleId="Normal1">
    <w:name w:val="Normal1"/>
    <w:rsid w:val="00DB669B"/>
    <w:pPr>
      <w:widowControl w:val="0"/>
    </w:pPr>
    <w:rPr>
      <w:rFonts w:ascii="Cambria" w:eastAsia="Cambria" w:hAnsi="Cambria" w:cs="Cambr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aperpile.com/c/Khgo8j/SGS3L" TargetMode="External"/><Relationship Id="rId20" Type="http://schemas.openxmlformats.org/officeDocument/2006/relationships/hyperlink" Target="https://paperpile.com/c/Khgo8j/iWJVm" TargetMode="External"/><Relationship Id="rId21" Type="http://schemas.openxmlformats.org/officeDocument/2006/relationships/hyperlink" Target="https://paperpile.com/c/Khgo8j/M0f7U" TargetMode="External"/><Relationship Id="rId22" Type="http://schemas.openxmlformats.org/officeDocument/2006/relationships/hyperlink" Target="https://paperpile.com/c/Khgo8j/M0f7U" TargetMode="External"/><Relationship Id="rId23" Type="http://schemas.openxmlformats.org/officeDocument/2006/relationships/hyperlink" Target="https://paperpile.com/c/Khgo8j/XGIcf" TargetMode="External"/><Relationship Id="rId24" Type="http://schemas.openxmlformats.org/officeDocument/2006/relationships/hyperlink" Target="https://paperpile.com/c/Khgo8j/XGIcf" TargetMode="External"/><Relationship Id="rId25" Type="http://schemas.openxmlformats.org/officeDocument/2006/relationships/hyperlink" Target="https://paperpile.com/c/Khgo8j/Cxxsn" TargetMode="External"/><Relationship Id="rId26" Type="http://schemas.openxmlformats.org/officeDocument/2006/relationships/hyperlink" Target="https://paperpile.com/c/Khgo8j/AS8ja" TargetMode="External"/><Relationship Id="rId27" Type="http://schemas.openxmlformats.org/officeDocument/2006/relationships/hyperlink" Target="https://paperpile.com/c/Khgo8j/AS8ja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s://paperpile.com/c/Khgo8j/R7DBE" TargetMode="External"/><Relationship Id="rId11" Type="http://schemas.openxmlformats.org/officeDocument/2006/relationships/hyperlink" Target="https://paperpile.com/c/Khgo8j/R7DBE" TargetMode="External"/><Relationship Id="rId12" Type="http://schemas.openxmlformats.org/officeDocument/2006/relationships/hyperlink" Target="https://paperpile.com/c/Khgo8j/Cc4Rk" TargetMode="External"/><Relationship Id="rId13" Type="http://schemas.openxmlformats.org/officeDocument/2006/relationships/hyperlink" Target="https://paperpile.com/c/Khgo8j/Cc4Rk" TargetMode="External"/><Relationship Id="rId14" Type="http://schemas.openxmlformats.org/officeDocument/2006/relationships/hyperlink" Target="https://paperpile.com/c/Khgo8j/pT1qb+d4hZg" TargetMode="External"/><Relationship Id="rId15" Type="http://schemas.openxmlformats.org/officeDocument/2006/relationships/hyperlink" Target="https://paperpile.com/c/Khgo8j/pT1qb+d4hZg" TargetMode="External"/><Relationship Id="rId16" Type="http://schemas.openxmlformats.org/officeDocument/2006/relationships/hyperlink" Target="https://paperpile.com/c/Khgo8j/tEcZG" TargetMode="External"/><Relationship Id="rId17" Type="http://schemas.openxmlformats.org/officeDocument/2006/relationships/hyperlink" Target="https://paperpile.com/c/Khgo8j/6PXaa" TargetMode="External"/><Relationship Id="rId18" Type="http://schemas.openxmlformats.org/officeDocument/2006/relationships/hyperlink" Target="https://paperpile.com/c/Khgo8j/gHd5K" TargetMode="External"/><Relationship Id="rId19" Type="http://schemas.openxmlformats.org/officeDocument/2006/relationships/hyperlink" Target="https://paperpile.com/c/Khgo8j/gHd5K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paperpile.com/c/Khgo8j/8Prqo" TargetMode="External"/><Relationship Id="rId7" Type="http://schemas.openxmlformats.org/officeDocument/2006/relationships/hyperlink" Target="https://paperpile.com/c/Khgo8j/Nfxb0" TargetMode="External"/><Relationship Id="rId8" Type="http://schemas.openxmlformats.org/officeDocument/2006/relationships/hyperlink" Target="https://paperpile.com/c/Khgo8j/SGS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608</Words>
  <Characters>3467</Characters>
  <Application>Microsoft Macintosh Word</Application>
  <DocSecurity>0</DocSecurity>
  <Lines>28</Lines>
  <Paragraphs>8</Paragraphs>
  <ScaleCrop>false</ScaleCrop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Mirzazadeh</dc:creator>
  <cp:keywords/>
  <dc:description/>
  <cp:lastModifiedBy>Reza Mirzazadeh</cp:lastModifiedBy>
  <cp:revision>1</cp:revision>
  <dcterms:created xsi:type="dcterms:W3CDTF">2017-02-06T21:45:00Z</dcterms:created>
  <dcterms:modified xsi:type="dcterms:W3CDTF">2017-02-06T21:49:00Z</dcterms:modified>
</cp:coreProperties>
</file>