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23" w:rsidRPr="00607B27" w:rsidRDefault="00497823" w:rsidP="00497823">
      <w:pPr>
        <w:spacing w:after="0"/>
        <w:rPr>
          <w:b/>
        </w:rPr>
      </w:pPr>
      <w:r w:rsidRPr="00607B27">
        <w:rPr>
          <w:b/>
        </w:rPr>
        <w:t>Troubleshooting</w:t>
      </w:r>
    </w:p>
    <w:tbl>
      <w:tblPr>
        <w:tblStyle w:val="TableGrid"/>
        <w:tblpPr w:leftFromText="180" w:rightFromText="180" w:vertAnchor="text" w:tblpY="1"/>
        <w:tblOverlap w:val="never"/>
        <w:tblW w:w="9288" w:type="dxa"/>
        <w:tblLook w:val="04A0" w:firstRow="1" w:lastRow="0" w:firstColumn="1" w:lastColumn="0" w:noHBand="0" w:noVBand="1"/>
      </w:tblPr>
      <w:tblGrid>
        <w:gridCol w:w="864"/>
        <w:gridCol w:w="2160"/>
        <w:gridCol w:w="2160"/>
        <w:gridCol w:w="4104"/>
      </w:tblGrid>
      <w:tr w:rsidR="00497823" w:rsidTr="00222C2B">
        <w:tc>
          <w:tcPr>
            <w:tcW w:w="864" w:type="dxa"/>
          </w:tcPr>
          <w:p w:rsidR="00497823" w:rsidRPr="000D70D3" w:rsidRDefault="00497823" w:rsidP="00222C2B">
            <w:pPr>
              <w:spacing w:after="0"/>
              <w:rPr>
                <w:b/>
              </w:rPr>
            </w:pPr>
            <w:r w:rsidRPr="000D70D3">
              <w:rPr>
                <w:b/>
              </w:rPr>
              <w:t>Step</w:t>
            </w:r>
          </w:p>
        </w:tc>
        <w:tc>
          <w:tcPr>
            <w:tcW w:w="2160" w:type="dxa"/>
          </w:tcPr>
          <w:p w:rsidR="00497823" w:rsidRPr="000D70D3" w:rsidRDefault="00497823" w:rsidP="00222C2B">
            <w:pPr>
              <w:spacing w:after="0"/>
              <w:rPr>
                <w:b/>
              </w:rPr>
            </w:pPr>
            <w:r w:rsidRPr="000D70D3">
              <w:rPr>
                <w:b/>
              </w:rPr>
              <w:t>Problem</w:t>
            </w:r>
          </w:p>
        </w:tc>
        <w:tc>
          <w:tcPr>
            <w:tcW w:w="2160" w:type="dxa"/>
          </w:tcPr>
          <w:p w:rsidR="00497823" w:rsidRPr="000D70D3" w:rsidRDefault="00497823" w:rsidP="00222C2B">
            <w:pPr>
              <w:spacing w:after="0"/>
              <w:rPr>
                <w:b/>
              </w:rPr>
            </w:pPr>
            <w:r w:rsidRPr="000D70D3">
              <w:rPr>
                <w:b/>
              </w:rPr>
              <w:t>Possible reason</w:t>
            </w:r>
          </w:p>
        </w:tc>
        <w:tc>
          <w:tcPr>
            <w:tcW w:w="4104" w:type="dxa"/>
          </w:tcPr>
          <w:p w:rsidR="00497823" w:rsidRPr="000D70D3" w:rsidRDefault="00497823" w:rsidP="00222C2B">
            <w:pPr>
              <w:spacing w:after="0"/>
              <w:rPr>
                <w:b/>
              </w:rPr>
            </w:pPr>
            <w:r w:rsidRPr="000D70D3">
              <w:rPr>
                <w:b/>
              </w:rPr>
              <w:t>Solution</w:t>
            </w:r>
          </w:p>
        </w:tc>
      </w:tr>
      <w:tr w:rsidR="00497823" w:rsidTr="00222C2B">
        <w:tc>
          <w:tcPr>
            <w:tcW w:w="864" w:type="dxa"/>
          </w:tcPr>
          <w:p w:rsidR="00497823" w:rsidRPr="00607B27" w:rsidRDefault="00497823" w:rsidP="00222C2B">
            <w:pPr>
              <w:spacing w:after="0"/>
              <w:rPr>
                <w:sz w:val="20"/>
                <w:szCs w:val="20"/>
              </w:rPr>
            </w:pPr>
            <w:r w:rsidRPr="00607B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.1-1.8</w:t>
            </w:r>
          </w:p>
        </w:tc>
        <w:tc>
          <w:tcPr>
            <w:tcW w:w="2160" w:type="dxa"/>
          </w:tcPr>
          <w:p w:rsidR="00497823" w:rsidRPr="00607B27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</w:t>
            </w:r>
            <w:r w:rsidRPr="00607B27">
              <w:rPr>
                <w:sz w:val="20"/>
                <w:szCs w:val="20"/>
              </w:rPr>
              <w:t xml:space="preserve">ntibody </w:t>
            </w:r>
            <w:r>
              <w:rPr>
                <w:sz w:val="20"/>
                <w:szCs w:val="20"/>
              </w:rPr>
              <w:t>or only small portion is</w:t>
            </w:r>
            <w:r w:rsidRPr="00607B27">
              <w:rPr>
                <w:sz w:val="20"/>
                <w:szCs w:val="20"/>
              </w:rPr>
              <w:t xml:space="preserve"> coupled to beads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497823" w:rsidRPr="00607B27" w:rsidRDefault="00497823" w:rsidP="00222C2B">
            <w:pPr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pH</w:t>
            </w:r>
            <w:proofErr w:type="gramEnd"/>
            <w:r>
              <w:rPr>
                <w:sz w:val="20"/>
                <w:szCs w:val="20"/>
              </w:rPr>
              <w:t xml:space="preserve"> of sodium borate solution is incorrect.</w:t>
            </w:r>
          </w:p>
        </w:tc>
        <w:tc>
          <w:tcPr>
            <w:tcW w:w="4104" w:type="dxa"/>
          </w:tcPr>
          <w:p w:rsidR="00497823" w:rsidRPr="00607B27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sure all sodium borate is dissolved before use, and pH is adjusted to the correct value.</w:t>
            </w:r>
          </w:p>
        </w:tc>
      </w:tr>
      <w:tr w:rsidR="00497823" w:rsidTr="00222C2B">
        <w:tc>
          <w:tcPr>
            <w:tcW w:w="864" w:type="dxa"/>
          </w:tcPr>
          <w:p w:rsidR="00497823" w:rsidRDefault="00497823" w:rsidP="00222C2B">
            <w:pPr>
              <w:spacing w:after="0"/>
            </w:pPr>
          </w:p>
        </w:tc>
        <w:tc>
          <w:tcPr>
            <w:tcW w:w="2160" w:type="dxa"/>
          </w:tcPr>
          <w:p w:rsidR="00497823" w:rsidRDefault="00497823" w:rsidP="00222C2B">
            <w:pPr>
              <w:spacing w:after="0"/>
            </w:pPr>
          </w:p>
        </w:tc>
        <w:tc>
          <w:tcPr>
            <w:tcW w:w="2160" w:type="dxa"/>
          </w:tcPr>
          <w:p w:rsidR="00497823" w:rsidRDefault="00497823" w:rsidP="00222C2B">
            <w:pPr>
              <w:spacing w:after="0"/>
            </w:pPr>
            <w:r w:rsidRPr="00607B27">
              <w:rPr>
                <w:sz w:val="20"/>
                <w:szCs w:val="20"/>
              </w:rPr>
              <w:t xml:space="preserve">DMP </w:t>
            </w:r>
            <w:r>
              <w:rPr>
                <w:sz w:val="20"/>
                <w:szCs w:val="20"/>
              </w:rPr>
              <w:t>is degraded.</w:t>
            </w:r>
          </w:p>
        </w:tc>
        <w:tc>
          <w:tcPr>
            <w:tcW w:w="4104" w:type="dxa"/>
          </w:tcPr>
          <w:p w:rsidR="00497823" w:rsidRDefault="00497823" w:rsidP="00222C2B">
            <w:pPr>
              <w:spacing w:after="0"/>
            </w:pPr>
            <w:r>
              <w:rPr>
                <w:sz w:val="20"/>
                <w:szCs w:val="20"/>
              </w:rPr>
              <w:t>Light and moisture rapidly inactivate DMP. Buy and use small amounts that are stored dry (with desiccant). Allow DMP to come to room temperature before opening to prevent condensation.</w:t>
            </w:r>
          </w:p>
        </w:tc>
      </w:tr>
      <w:tr w:rsidR="00497823" w:rsidTr="00222C2B">
        <w:tc>
          <w:tcPr>
            <w:tcW w:w="864" w:type="dxa"/>
          </w:tcPr>
          <w:p w:rsidR="00497823" w:rsidRDefault="00497823" w:rsidP="00222C2B">
            <w:pPr>
              <w:spacing w:after="0"/>
            </w:pPr>
          </w:p>
        </w:tc>
        <w:tc>
          <w:tcPr>
            <w:tcW w:w="2160" w:type="dxa"/>
          </w:tcPr>
          <w:p w:rsidR="00497823" w:rsidRDefault="00497823" w:rsidP="00222C2B">
            <w:pPr>
              <w:spacing w:after="0"/>
            </w:pPr>
          </w:p>
        </w:tc>
        <w:tc>
          <w:tcPr>
            <w:tcW w:w="2160" w:type="dxa"/>
          </w:tcPr>
          <w:p w:rsidR="00497823" w:rsidRPr="008F74D4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Incorrect</w:t>
            </w:r>
            <w:r w:rsidRPr="008F74D4">
              <w:rPr>
                <w:sz w:val="20"/>
                <w:szCs w:val="20"/>
              </w:rPr>
              <w:t xml:space="preserve"> </w:t>
            </w:r>
            <w:proofErr w:type="spellStart"/>
            <w:r w:rsidRPr="008F74D4">
              <w:rPr>
                <w:sz w:val="20"/>
                <w:szCs w:val="20"/>
              </w:rPr>
              <w:t>sepharose</w:t>
            </w:r>
            <w:proofErr w:type="spellEnd"/>
            <w:r w:rsidRPr="008F74D4">
              <w:rPr>
                <w:sz w:val="20"/>
                <w:szCs w:val="20"/>
              </w:rPr>
              <w:t xml:space="preserve"> beads</w:t>
            </w:r>
          </w:p>
        </w:tc>
        <w:tc>
          <w:tcPr>
            <w:tcW w:w="4104" w:type="dxa"/>
          </w:tcPr>
          <w:p w:rsidR="00497823" w:rsidRPr="008F74D4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the binding strength of the antibody to the particular type of </w:t>
            </w:r>
            <w:proofErr w:type="spellStart"/>
            <w:r>
              <w:rPr>
                <w:sz w:val="20"/>
                <w:szCs w:val="20"/>
              </w:rPr>
              <w:t>sepharose</w:t>
            </w:r>
            <w:proofErr w:type="spellEnd"/>
            <w:r w:rsidRPr="008F74D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such as protein A or protein G coupled </w:t>
            </w:r>
            <w:proofErr w:type="spellStart"/>
            <w:r>
              <w:rPr>
                <w:sz w:val="20"/>
                <w:szCs w:val="20"/>
              </w:rPr>
              <w:t>sepharose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97823" w:rsidTr="00222C2B">
        <w:tc>
          <w:tcPr>
            <w:tcW w:w="864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2160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342901">
              <w:rPr>
                <w:sz w:val="20"/>
                <w:szCs w:val="20"/>
              </w:rPr>
              <w:t>ecovery</w:t>
            </w:r>
            <w:r>
              <w:rPr>
                <w:sz w:val="20"/>
                <w:szCs w:val="20"/>
              </w:rPr>
              <w:t xml:space="preserve"> of bait i</w:t>
            </w:r>
            <w:r w:rsidRPr="00342901">
              <w:rPr>
                <w:sz w:val="20"/>
                <w:szCs w:val="20"/>
              </w:rPr>
              <w:t>s low</w:t>
            </w:r>
            <w:r>
              <w:rPr>
                <w:sz w:val="20"/>
                <w:szCs w:val="20"/>
              </w:rPr>
              <w:t>.</w:t>
            </w:r>
            <w:r w:rsidRPr="003429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Antibody does not bind bait specifically.</w:t>
            </w:r>
          </w:p>
        </w:tc>
        <w:tc>
          <w:tcPr>
            <w:tcW w:w="4104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sure that the antibody recognizes the bait protein specifically by including positive and negative controls, e.g. overexpress the bait protein in a cell system and if available compare signal with a knockout strain or a cell or tissue that does not express the bait protein.</w:t>
            </w:r>
          </w:p>
        </w:tc>
      </w:tr>
      <w:tr w:rsidR="00497823" w:rsidTr="00222C2B">
        <w:tc>
          <w:tcPr>
            <w:tcW w:w="864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2160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Antibody does not recognize native epitope.</w:t>
            </w:r>
          </w:p>
        </w:tc>
        <w:tc>
          <w:tcPr>
            <w:tcW w:w="4104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 though an antibody may work well for western blotting, it may not recognize the epitope in non-denatured protein. Try a different antibody for the bait. </w:t>
            </w:r>
          </w:p>
        </w:tc>
      </w:tr>
      <w:tr w:rsidR="00497823" w:rsidTr="00222C2B">
        <w:tc>
          <w:tcPr>
            <w:tcW w:w="864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2.1-2.23</w:t>
            </w:r>
          </w:p>
        </w:tc>
        <w:tc>
          <w:tcPr>
            <w:tcW w:w="2160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Too little </w:t>
            </w:r>
            <w:proofErr w:type="gramStart"/>
            <w:r>
              <w:rPr>
                <w:sz w:val="20"/>
                <w:szCs w:val="20"/>
              </w:rPr>
              <w:t>antibody coupled</w:t>
            </w:r>
            <w:proofErr w:type="gramEnd"/>
            <w:r>
              <w:rPr>
                <w:sz w:val="20"/>
                <w:szCs w:val="20"/>
              </w:rPr>
              <w:t xml:space="preserve"> beads were used or too many beads were lost during procedure.</w:t>
            </w:r>
          </w:p>
        </w:tc>
        <w:tc>
          <w:tcPr>
            <w:tcW w:w="4104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an insulin syringe to remove solutions during washing of the Co-IP. Check that sufficient quantities of antibody have been coupled to the beads and enough beads were used for the Co-IP procedure. </w:t>
            </w:r>
          </w:p>
        </w:tc>
      </w:tr>
      <w:tr w:rsidR="00497823" w:rsidTr="00222C2B">
        <w:tc>
          <w:tcPr>
            <w:tcW w:w="864" w:type="dxa"/>
          </w:tcPr>
          <w:p w:rsidR="00497823" w:rsidRPr="001F19CF" w:rsidRDefault="00497823" w:rsidP="00222C2B">
            <w:pPr>
              <w:spacing w:after="0"/>
              <w:rPr>
                <w:b/>
                <w:sz w:val="20"/>
                <w:szCs w:val="20"/>
              </w:rPr>
            </w:pPr>
            <w:r w:rsidRPr="001F19CF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1-2.23</w:t>
            </w:r>
          </w:p>
        </w:tc>
        <w:tc>
          <w:tcPr>
            <w:tcW w:w="2160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pH</w:t>
            </w:r>
            <w:proofErr w:type="gramEnd"/>
            <w:r>
              <w:rPr>
                <w:sz w:val="20"/>
                <w:szCs w:val="20"/>
              </w:rPr>
              <w:t xml:space="preserve"> of solutions was incorrect.</w:t>
            </w:r>
          </w:p>
        </w:tc>
        <w:tc>
          <w:tcPr>
            <w:tcW w:w="4104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solutions need to have the correct pH, in particular the </w:t>
            </w:r>
            <w:proofErr w:type="spellStart"/>
            <w:r>
              <w:rPr>
                <w:sz w:val="20"/>
                <w:szCs w:val="20"/>
              </w:rPr>
              <w:t>lysis</w:t>
            </w:r>
            <w:proofErr w:type="spellEnd"/>
            <w:r>
              <w:rPr>
                <w:sz w:val="20"/>
                <w:szCs w:val="20"/>
              </w:rPr>
              <w:t xml:space="preserve"> buffer and elution buffer. It is critical that detergent is added to the elution buffer for elution of membrane proteins.</w:t>
            </w:r>
          </w:p>
        </w:tc>
      </w:tr>
      <w:tr w:rsidR="00497823" w:rsidTr="00222C2B">
        <w:tc>
          <w:tcPr>
            <w:tcW w:w="864" w:type="dxa"/>
          </w:tcPr>
          <w:p w:rsidR="00497823" w:rsidRPr="001F19CF" w:rsidRDefault="00497823" w:rsidP="00222C2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160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97823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enough starting material.</w:t>
            </w:r>
          </w:p>
        </w:tc>
        <w:tc>
          <w:tcPr>
            <w:tcW w:w="4104" w:type="dxa"/>
          </w:tcPr>
          <w:p w:rsidR="00497823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Increase the starting material amount. “The more the merrier” still holds true for Co-IP </w:t>
            </w:r>
            <w:r>
              <w:rPr>
                <w:sz w:val="20"/>
                <w:szCs w:val="20"/>
              </w:rPr>
              <w:lastRenderedPageBreak/>
              <w:t>experiments if low abundant proteins are used as bait.  Confirm presence of the protein in the starting material.</w:t>
            </w:r>
          </w:p>
        </w:tc>
      </w:tr>
      <w:tr w:rsidR="00497823" w:rsidTr="00222C2B">
        <w:tc>
          <w:tcPr>
            <w:tcW w:w="864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60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97823" w:rsidRDefault="00497823" w:rsidP="00222C2B">
            <w:pPr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liquid</w:t>
            </w:r>
            <w:proofErr w:type="gramEnd"/>
            <w:r>
              <w:rPr>
                <w:sz w:val="20"/>
                <w:szCs w:val="20"/>
              </w:rPr>
              <w:t xml:space="preserve"> chromatography or mass spectrometer problem</w:t>
            </w:r>
          </w:p>
        </w:tc>
        <w:tc>
          <w:tcPr>
            <w:tcW w:w="4104" w:type="dxa"/>
          </w:tcPr>
          <w:p w:rsidR="00497823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that chromatographic separation is good and the mass spectrometer is calibrated correctly. Run a test sample if necessary.</w:t>
            </w:r>
          </w:p>
        </w:tc>
      </w:tr>
      <w:tr w:rsidR="00497823" w:rsidTr="00222C2B">
        <w:tc>
          <w:tcPr>
            <w:tcW w:w="864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97823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Wrong protein database used for search</w:t>
            </w:r>
          </w:p>
        </w:tc>
        <w:tc>
          <w:tcPr>
            <w:tcW w:w="4104" w:type="dxa"/>
          </w:tcPr>
          <w:p w:rsidR="00497823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Download the correct protein database for the species that was used in the experiment, it should contain the bait protein of interest.  </w:t>
            </w:r>
          </w:p>
        </w:tc>
      </w:tr>
      <w:tr w:rsidR="00497823" w:rsidTr="00222C2B">
        <w:tc>
          <w:tcPr>
            <w:tcW w:w="864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2160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Many background proteins were identified, but little of the bait.</w:t>
            </w:r>
          </w:p>
        </w:tc>
        <w:tc>
          <w:tcPr>
            <w:tcW w:w="2160" w:type="dxa"/>
          </w:tcPr>
          <w:p w:rsidR="00497823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Antibody is not suitable for IP.</w:t>
            </w:r>
          </w:p>
        </w:tc>
        <w:tc>
          <w:tcPr>
            <w:tcW w:w="4104" w:type="dxa"/>
          </w:tcPr>
          <w:p w:rsidR="00497823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antibody binds to many other proteins in addition to the bait, it may not be suitable for Co-IP. Try a different antibody if available or affinity purification of an antiserum.</w:t>
            </w:r>
          </w:p>
        </w:tc>
      </w:tr>
      <w:tr w:rsidR="00497823" w:rsidTr="00222C2B">
        <w:tc>
          <w:tcPr>
            <w:tcW w:w="864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2.10- 2.12</w:t>
            </w:r>
          </w:p>
        </w:tc>
        <w:tc>
          <w:tcPr>
            <w:tcW w:w="2160" w:type="dxa"/>
          </w:tcPr>
          <w:p w:rsidR="00497823" w:rsidRDefault="00497823" w:rsidP="00222C2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97823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Insufficient washing of the IP.</w:t>
            </w:r>
          </w:p>
        </w:tc>
        <w:tc>
          <w:tcPr>
            <w:tcW w:w="4104" w:type="dxa"/>
          </w:tcPr>
          <w:p w:rsidR="00497823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Carry out all five wash steps and remove washing solution carefully. If necessary an additional wash step with </w:t>
            </w:r>
            <w:proofErr w:type="spellStart"/>
            <w:r>
              <w:rPr>
                <w:sz w:val="20"/>
                <w:szCs w:val="20"/>
              </w:rPr>
              <w:t>lysis</w:t>
            </w:r>
            <w:proofErr w:type="spellEnd"/>
            <w:r>
              <w:rPr>
                <w:sz w:val="20"/>
                <w:szCs w:val="20"/>
              </w:rPr>
              <w:t xml:space="preserve"> buffer containing no detergent can be included. Washing helps to increase signal to noise ratio. </w:t>
            </w:r>
          </w:p>
        </w:tc>
      </w:tr>
      <w:tr w:rsidR="00497823" w:rsidTr="00222C2B">
        <w:tc>
          <w:tcPr>
            <w:tcW w:w="864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2160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97823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Pre-clearing was not sufficient.</w:t>
            </w:r>
          </w:p>
        </w:tc>
        <w:tc>
          <w:tcPr>
            <w:tcW w:w="4104" w:type="dxa"/>
          </w:tcPr>
          <w:p w:rsidR="00497823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Pre-clear the cell lysate before incubation with antibody-coupled beads. Remove insoluble material by centrifugation and be careful to remove it completely.</w:t>
            </w:r>
          </w:p>
        </w:tc>
      </w:tr>
      <w:tr w:rsidR="00497823" w:rsidTr="00222C2B">
        <w:tc>
          <w:tcPr>
            <w:tcW w:w="864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497823" w:rsidRPr="00342901" w:rsidRDefault="00497823" w:rsidP="00222C2B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CoPIT</w:t>
            </w:r>
            <w:proofErr w:type="spellEnd"/>
            <w:r>
              <w:rPr>
                <w:sz w:val="20"/>
                <w:szCs w:val="20"/>
              </w:rPr>
              <w:t xml:space="preserve"> cannot distinguish background from specific </w:t>
            </w:r>
            <w:proofErr w:type="spellStart"/>
            <w:r>
              <w:rPr>
                <w:sz w:val="20"/>
                <w:szCs w:val="20"/>
              </w:rPr>
              <w:t>interactors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497823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 much background was present in the IPs or bait was not enriched enough.</w:t>
            </w:r>
          </w:p>
        </w:tc>
        <w:tc>
          <w:tcPr>
            <w:tcW w:w="4104" w:type="dxa"/>
          </w:tcPr>
          <w:p w:rsidR="00497823" w:rsidRDefault="00497823" w:rsidP="00222C2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Optimize experimental procedure.  </w:t>
            </w:r>
          </w:p>
        </w:tc>
      </w:tr>
    </w:tbl>
    <w:p w:rsidR="00EC2190" w:rsidRDefault="00EC2190">
      <w:bookmarkStart w:id="0" w:name="_GoBack"/>
      <w:bookmarkEnd w:id="0"/>
    </w:p>
    <w:sectPr w:rsidR="00EC2190" w:rsidSect="0098164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23"/>
    <w:rsid w:val="00497823"/>
    <w:rsid w:val="00981648"/>
    <w:rsid w:val="00EC21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EAC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823"/>
    <w:pPr>
      <w:spacing w:after="200" w:line="360" w:lineRule="auto"/>
      <w:jc w:val="both"/>
    </w:pPr>
    <w:rPr>
      <w:rFonts w:ascii="Arial" w:eastAsia="MS Mincho" w:hAnsi="Arial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823"/>
    <w:rPr>
      <w:rFonts w:ascii="Cambria" w:eastAsia="MS Mincho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823"/>
    <w:pPr>
      <w:spacing w:after="200" w:line="360" w:lineRule="auto"/>
      <w:jc w:val="both"/>
    </w:pPr>
    <w:rPr>
      <w:rFonts w:ascii="Arial" w:eastAsia="MS Mincho" w:hAnsi="Arial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823"/>
    <w:rPr>
      <w:rFonts w:ascii="Cambria" w:eastAsia="MS Mincho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2758</Characters>
  <Application>Microsoft Macintosh Word</Application>
  <DocSecurity>0</DocSecurity>
  <Lines>22</Lines>
  <Paragraphs>6</Paragraphs>
  <ScaleCrop>false</ScaleCrop>
  <Company>The Scripps Research Institute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Pankow</dc:creator>
  <cp:keywords/>
  <dc:description/>
  <cp:lastModifiedBy>Sandra Pankow</cp:lastModifiedBy>
  <cp:revision>1</cp:revision>
  <dcterms:created xsi:type="dcterms:W3CDTF">2015-10-13T18:50:00Z</dcterms:created>
  <dcterms:modified xsi:type="dcterms:W3CDTF">2015-10-13T18:51:00Z</dcterms:modified>
</cp:coreProperties>
</file>