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719"/>
        <w:tblW w:w="5000" w:type="pct"/>
        <w:tblLook w:val="04A0" w:firstRow="1" w:lastRow="0" w:firstColumn="1" w:lastColumn="0" w:noHBand="0" w:noVBand="1"/>
      </w:tblPr>
      <w:tblGrid>
        <w:gridCol w:w="478"/>
        <w:gridCol w:w="657"/>
        <w:gridCol w:w="1132"/>
        <w:gridCol w:w="992"/>
        <w:gridCol w:w="1417"/>
        <w:gridCol w:w="1135"/>
        <w:gridCol w:w="992"/>
        <w:gridCol w:w="1277"/>
        <w:gridCol w:w="1304"/>
        <w:gridCol w:w="1082"/>
      </w:tblGrid>
      <w:tr w:rsidR="00B54713" w:rsidRPr="00F5238E" w:rsidTr="00B54713">
        <w:trPr>
          <w:trHeight w:val="315"/>
        </w:trPr>
        <w:tc>
          <w:tcPr>
            <w:tcW w:w="22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GA </w:t>
            </w: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Day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N. at risk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N. URH</w:t>
            </w:r>
          </w:p>
        </w:tc>
        <w:tc>
          <w:tcPr>
            <w:tcW w:w="6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No URH prob. 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LCL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UCL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 prob.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LCL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95% UCL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32-34 weeks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0.006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0.997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986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0.993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983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981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0.029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976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0.988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974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0.036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0.981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966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0.048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0.052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950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0.960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0.948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0.040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0.028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0.052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27-31 weeks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2346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0.997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2331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0.993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0.988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0.012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0.022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2295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0.985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2280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2262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0.964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0.043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2239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0.961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2190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2177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0.078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2158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0.937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0.084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2149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0.931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2131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0.099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2102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0.905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0.917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0.083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2089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0.898</w:t>
            </w: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0.886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0.102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0.114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22-26 weeks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473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471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1.000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0.000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465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0.993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458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0.983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0.017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453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0.958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0.976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0.024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446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0.941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0.962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0.038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0.080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443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0.915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0.959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0.041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0.085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436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0.946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0.054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0.102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430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0.935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0.065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0.117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423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0.902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0.876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0.930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0.124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22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419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0.896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0.869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0.924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0.076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0.131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24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412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0.883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0.854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0.913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0.117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0.088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0.146</w:t>
            </w:r>
          </w:p>
        </w:tc>
      </w:tr>
      <w:tr w:rsidR="00B54713" w:rsidRPr="00F5238E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409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0.879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0.850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0.909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0.121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0.091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F5238E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0.150</w:t>
            </w:r>
          </w:p>
        </w:tc>
      </w:tr>
      <w:tr w:rsidR="00B54713" w:rsidRPr="00B4316C" w:rsidTr="00B54713">
        <w:trPr>
          <w:trHeight w:val="300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401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0.859</w:t>
            </w:r>
          </w:p>
        </w:tc>
        <w:tc>
          <w:tcPr>
            <w:tcW w:w="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0.828</w:t>
            </w:r>
          </w:p>
        </w:tc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0.891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0.141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0.109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0.172</w:t>
            </w:r>
          </w:p>
        </w:tc>
      </w:tr>
      <w:tr w:rsidR="00B54713" w:rsidRPr="00B4316C" w:rsidTr="00B54713">
        <w:trPr>
          <w:trHeight w:val="315"/>
        </w:trPr>
        <w:tc>
          <w:tcPr>
            <w:tcW w:w="22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</w:t>
            </w:r>
          </w:p>
        </w:tc>
        <w:tc>
          <w:tcPr>
            <w:tcW w:w="541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394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6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0.846</w:t>
            </w:r>
          </w:p>
        </w:tc>
        <w:tc>
          <w:tcPr>
            <w:tcW w:w="5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0.814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0.880</w:t>
            </w:r>
          </w:p>
        </w:tc>
        <w:tc>
          <w:tcPr>
            <w:tcW w:w="610" w:type="pct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0.154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0.120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4713" w:rsidRPr="00B4316C" w:rsidRDefault="00B54713" w:rsidP="00B54713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B4316C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0.186</w:t>
            </w:r>
          </w:p>
        </w:tc>
      </w:tr>
    </w:tbl>
    <w:p w:rsidR="00EF08DE" w:rsidRDefault="00EF08DE">
      <w:pPr>
        <w:pStyle w:val="Lgende"/>
        <w:rPr>
          <w:rFonts w:ascii="Times New Roman" w:hAnsi="Times New Roman" w:cs="Times New Roman"/>
        </w:rPr>
      </w:pPr>
    </w:p>
    <w:p w:rsidR="007D7283" w:rsidRPr="006149D5" w:rsidRDefault="00EF08DE" w:rsidP="006149D5">
      <w:pPr>
        <w:pStyle w:val="Lgende"/>
        <w:rPr>
          <w:sz w:val="18"/>
          <w:szCs w:val="18"/>
        </w:rPr>
      </w:pPr>
      <w:r w:rsidRPr="00B4316C">
        <w:rPr>
          <w:rFonts w:ascii="Times New Roman" w:hAnsi="Times New Roman" w:cs="Times New Roman"/>
          <w:sz w:val="18"/>
          <w:szCs w:val="18"/>
        </w:rPr>
        <w:t>Table 5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: Cumulative probability of no unplanned rehospitalisation (URH) (and the inverse) over the first 30-days following discharge from birth hospitalisation by gestational age (GA) category amongst </w:t>
      </w:r>
      <w:r w:rsidR="00B4316C">
        <w:rPr>
          <w:rFonts w:ascii="Times New Roman" w:hAnsi="Times New Roman" w:cs="Times New Roman"/>
          <w:sz w:val="18"/>
          <w:szCs w:val="18"/>
          <w:lang w:val="en-GB"/>
        </w:rPr>
        <w:t>3,841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 eligible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 xml:space="preserve"> </w:t>
      </w:r>
      <w:r w:rsidR="00830EA8">
        <w:rPr>
          <w:rFonts w:ascii="Times New Roman" w:hAnsi="Times New Roman" w:cs="Times New Roman"/>
          <w:sz w:val="18"/>
          <w:szCs w:val="18"/>
          <w:lang w:val="en-GB"/>
        </w:rPr>
        <w:t xml:space="preserve">babies </w:t>
      </w:r>
      <w:r w:rsidRPr="00B4316C">
        <w:rPr>
          <w:rFonts w:ascii="Times New Roman" w:hAnsi="Times New Roman" w:cs="Times New Roman"/>
          <w:sz w:val="18"/>
          <w:szCs w:val="18"/>
          <w:lang w:val="en-GB"/>
        </w:rPr>
        <w:t>in the EPIPAGE 2 cohort. Derived via Kaplan-Meier analysis.</w:t>
      </w:r>
      <w:bookmarkStart w:id="0" w:name="_GoBack"/>
      <w:bookmarkEnd w:id="0"/>
    </w:p>
    <w:sectPr w:rsidR="007D7283" w:rsidRPr="006149D5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4C34CD"/>
    <w:rsid w:val="005130BF"/>
    <w:rsid w:val="00603EB8"/>
    <w:rsid w:val="006149D5"/>
    <w:rsid w:val="006C1954"/>
    <w:rsid w:val="007D7283"/>
    <w:rsid w:val="00830EA8"/>
    <w:rsid w:val="0089076A"/>
    <w:rsid w:val="00932F37"/>
    <w:rsid w:val="009D0268"/>
    <w:rsid w:val="00A305E6"/>
    <w:rsid w:val="00AC7253"/>
    <w:rsid w:val="00B4316C"/>
    <w:rsid w:val="00B54713"/>
    <w:rsid w:val="00C16536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AE0E3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82E717-0073-4DB6-A5D3-56B392BE4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398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4</cp:revision>
  <cp:lastPrinted>2019-04-02T13:15:00Z</cp:lastPrinted>
  <dcterms:created xsi:type="dcterms:W3CDTF">2019-10-04T13:05:00Z</dcterms:created>
  <dcterms:modified xsi:type="dcterms:W3CDTF">2019-10-04T13:12:00Z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