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B46" w:rsidRDefault="00E23B46">
      <w:pPr>
        <w:pStyle w:val="Standard"/>
        <w:rPr>
          <w:rFonts w:ascii="Times New Roman" w:hAnsi="Times New Roman"/>
          <w:lang w:val="en-GB"/>
        </w:rPr>
      </w:pPr>
      <w:bookmarkStart w:id="0" w:name="_GoBack"/>
      <w:bookmarkEnd w:id="0"/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604"/>
        <w:gridCol w:w="1449"/>
        <w:gridCol w:w="1744"/>
        <w:gridCol w:w="2669"/>
      </w:tblGrid>
      <w:tr w:rsidR="00EF08DE" w:rsidRPr="00EF08DE" w:rsidTr="00EF08DE">
        <w:trPr>
          <w:trHeight w:val="315"/>
        </w:trPr>
        <w:tc>
          <w:tcPr>
            <w:tcW w:w="2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Variable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Variable type</w:t>
            </w:r>
          </w:p>
        </w:tc>
        <w:tc>
          <w:tcPr>
            <w:tcW w:w="6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Proportion missing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Imputation method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Sex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Gestational age (weeks)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Birth weight (grams)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Small for gestational age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Mode of delivery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0.01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Polytomous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Type of birth (single, twin, triple, quad)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Congenital abnormalities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D16DC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Early onset neonatal infection (within ≤72h life)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D16DC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</w:t>
            </w:r>
            <w:r w:rsidR="00D16DC6">
              <w:rPr>
                <w:rFonts w:eastAsia="Times New Roman"/>
                <w:color w:val="000000"/>
                <w:kern w:val="0"/>
                <w:lang w:eastAsia="en-GB" w:bidi="ar-SA"/>
              </w:rPr>
              <w:t>3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Late onset neonatal infection (&gt;72h of life)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D16DC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</w:t>
            </w:r>
            <w:r w:rsidR="00D16DC6">
              <w:rPr>
                <w:rFonts w:eastAsia="Times New Roman"/>
                <w:color w:val="000000"/>
                <w:kern w:val="0"/>
                <w:lang w:eastAsia="en-GB" w:bidi="ar-SA"/>
              </w:rPr>
              <w:t>6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Bronchopulmonary dysplasia stage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0.04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Proportional odds model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Necrotising entercolitis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0.02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Intraventricular hemorrhage (Stage 3 IVH or IPH)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lang w:eastAsia="en-GB" w:bidi="ar-SA"/>
              </w:rPr>
              <w:t>0.06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Surfactant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0.01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Nitric oxide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0.02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Level of birth establishment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Nasogastric feeding at discharge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0.03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Days of mechanical ventilation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0.04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Predictive mean matching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Gastroesophageal reflux treatment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lang w:eastAsia="en-GB" w:bidi="ar-SA"/>
              </w:rPr>
              <w:t>0.01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Age at discharge (days)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Discharge weight (grams)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D16DC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</w:t>
            </w:r>
            <w:r w:rsidR="00D16DC6">
              <w:rPr>
                <w:rFonts w:eastAsia="Times New Roman"/>
                <w:color w:val="000000"/>
                <w:kern w:val="0"/>
                <w:lang w:eastAsia="en-GB" w:bidi="ar-SA"/>
              </w:rPr>
              <w:t>2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Predictive mean matching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Breastfeeding at discharge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0.07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Proportional odds model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Mother's age (years)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Mother's birth place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D16DC6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Mother lives in couple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0.05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Family socioeconomic status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Categorical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D16DC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</w:t>
            </w:r>
            <w:r w:rsidR="00D16DC6">
              <w:rPr>
                <w:rFonts w:eastAsia="Times New Roman"/>
                <w:color w:val="000000"/>
                <w:kern w:val="0"/>
                <w:lang w:eastAsia="en-GB" w:bidi="ar-SA"/>
              </w:rPr>
              <w:t>4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Proportional odds model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Number of previous pregnancies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-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Mother smoking during pregnancy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 xml:space="preserve">Binary 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0.03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Logistic regression</w:t>
            </w:r>
          </w:p>
        </w:tc>
      </w:tr>
      <w:tr w:rsidR="00EF08DE" w:rsidRPr="00EF08DE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Days between discharge and hospitalisation 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0.01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EF08DE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lang w:eastAsia="en-GB" w:bidi="ar-SA"/>
              </w:rPr>
              <w:t>Predictive mean matching</w:t>
            </w:r>
          </w:p>
        </w:tc>
      </w:tr>
      <w:tr w:rsidR="00EF08DE" w:rsidRPr="00B4316C" w:rsidTr="00EF08DE">
        <w:trPr>
          <w:trHeight w:val="300"/>
        </w:trPr>
        <w:tc>
          <w:tcPr>
            <w:tcW w:w="2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Days between discharge and hospitalisation 2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-</w:t>
            </w:r>
          </w:p>
        </w:tc>
      </w:tr>
      <w:tr w:rsidR="00EF08DE" w:rsidRPr="00B4316C" w:rsidTr="00EF08DE">
        <w:trPr>
          <w:trHeight w:val="315"/>
        </w:trPr>
        <w:tc>
          <w:tcPr>
            <w:tcW w:w="2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Days between discharge and hospitalisation 3 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  <w:tc>
          <w:tcPr>
            <w:tcW w:w="6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Zero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8DE" w:rsidRPr="00B4316C" w:rsidRDefault="00EF08DE" w:rsidP="00EF08D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-</w:t>
            </w:r>
          </w:p>
        </w:tc>
      </w:tr>
    </w:tbl>
    <w:p w:rsidR="00E23B46" w:rsidRPr="00B4316C" w:rsidRDefault="00EF08DE">
      <w:pPr>
        <w:pStyle w:val="Standard"/>
        <w:rPr>
          <w:sz w:val="18"/>
          <w:szCs w:val="18"/>
        </w:rPr>
      </w:pPr>
      <w:r w:rsidRPr="00B4316C">
        <w:rPr>
          <w:rFonts w:ascii="Times New Roman" w:hAnsi="Times New Roman"/>
          <w:color w:val="000000"/>
          <w:sz w:val="18"/>
          <w:szCs w:val="18"/>
          <w:lang w:val="en-GB"/>
        </w:rPr>
        <w:t xml:space="preserve">Table 2: </w:t>
      </w:r>
      <w:r w:rsidRPr="00B4316C">
        <w:rPr>
          <w:rFonts w:ascii="Times New Roman" w:hAnsi="Times New Roman"/>
          <w:color w:val="000000"/>
          <w:sz w:val="18"/>
          <w:szCs w:val="18"/>
        </w:rPr>
        <w:t>Thirty variables included as predictors in multivariate imputation by chained equ</w:t>
      </w:r>
      <w:r w:rsidR="00F5238E" w:rsidRPr="00B4316C">
        <w:rPr>
          <w:rFonts w:ascii="Times New Roman" w:hAnsi="Times New Roman"/>
          <w:color w:val="000000"/>
          <w:sz w:val="18"/>
          <w:szCs w:val="18"/>
        </w:rPr>
        <w:t>ations of missing data amongst 3,841</w:t>
      </w:r>
      <w:r w:rsidRPr="00B4316C"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830EA8">
        <w:rPr>
          <w:rFonts w:ascii="Times New Roman" w:hAnsi="Times New Roman"/>
          <w:color w:val="000000"/>
          <w:sz w:val="18"/>
          <w:szCs w:val="18"/>
        </w:rPr>
        <w:t xml:space="preserve">eligible babies </w:t>
      </w:r>
      <w:r w:rsidRPr="00B4316C">
        <w:rPr>
          <w:rFonts w:ascii="Times New Roman" w:hAnsi="Times New Roman"/>
          <w:color w:val="000000"/>
          <w:sz w:val="18"/>
          <w:szCs w:val="18"/>
        </w:rPr>
        <w:t>in the EPIPAGE 2 cohort</w:t>
      </w:r>
      <w:r w:rsidRPr="00B4316C">
        <w:rPr>
          <w:rFonts w:ascii="Times New Roman" w:hAnsi="Times New Roman"/>
          <w:color w:val="000000"/>
          <w:sz w:val="18"/>
          <w:szCs w:val="18"/>
          <w:lang w:val="en-GB"/>
        </w:rPr>
        <w:t>.</w:t>
      </w: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sectPr w:rsidR="00EF08DE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F1932"/>
    <w:rsid w:val="00302D8C"/>
    <w:rsid w:val="00304AE9"/>
    <w:rsid w:val="003106C1"/>
    <w:rsid w:val="003402F8"/>
    <w:rsid w:val="004C34CD"/>
    <w:rsid w:val="005130BF"/>
    <w:rsid w:val="00603EB8"/>
    <w:rsid w:val="006C1954"/>
    <w:rsid w:val="007D7283"/>
    <w:rsid w:val="00830EA8"/>
    <w:rsid w:val="0089076A"/>
    <w:rsid w:val="00932F37"/>
    <w:rsid w:val="009D0268"/>
    <w:rsid w:val="00A305E6"/>
    <w:rsid w:val="00AC7253"/>
    <w:rsid w:val="00B4316C"/>
    <w:rsid w:val="00C16536"/>
    <w:rsid w:val="00D16DC6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D27CC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1BBEC-CE30-4388-8A3A-7C315969F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3</cp:revision>
  <cp:lastPrinted>2019-04-02T13:15:00Z</cp:lastPrinted>
  <dcterms:created xsi:type="dcterms:W3CDTF">2019-10-04T13:04:00Z</dcterms:created>
  <dcterms:modified xsi:type="dcterms:W3CDTF">2019-10-04T13:10:00Z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