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759CE" w14:textId="77777777" w:rsidR="00C7096D" w:rsidRDefault="00C7096D" w:rsidP="00C7096D">
      <w:pPr>
        <w:widowControl/>
        <w:ind w:left="720" w:hangingChars="300" w:hanging="720"/>
        <w:jc w:val="left"/>
        <w:rPr>
          <w:rFonts w:ascii="Times New Roman" w:hAnsi="Times New Roman" w:cs="Times New Roman"/>
          <w:snapToGrid w:val="0"/>
          <w:sz w:val="24"/>
          <w:szCs w:val="24"/>
        </w:rPr>
      </w:pPr>
      <w:r w:rsidRPr="00652B67">
        <w:rPr>
          <w:rFonts w:ascii="Times New Roman" w:hAnsi="Times New Roman" w:cs="Times New Roman"/>
          <w:snapToGrid w:val="0"/>
          <w:sz w:val="24"/>
          <w:szCs w:val="24"/>
        </w:rPr>
        <w:t xml:space="preserve">Table 1. </w:t>
      </w:r>
      <w:r>
        <w:rPr>
          <w:rFonts w:ascii="Times New Roman" w:hAnsi="Times New Roman" w:cs="Times New Roman"/>
          <w:snapToGrid w:val="0"/>
          <w:sz w:val="24"/>
          <w:szCs w:val="24"/>
        </w:rPr>
        <w:t>Energy intake, body</w:t>
      </w:r>
      <w:r>
        <w:rPr>
          <w:rFonts w:ascii="Times New Roman" w:hAnsi="Times New Roman" w:cs="Times New Roman" w:hint="eastAsia"/>
          <w:snapToGrid w:val="0"/>
          <w:sz w:val="24"/>
          <w:szCs w:val="24"/>
        </w:rPr>
        <w:t>,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organ weights, serum lipids in mice after 8 weeks of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trehalose</w:t>
      </w:r>
      <w:proofErr w:type="spellEnd"/>
      <w:r>
        <w:rPr>
          <w:rFonts w:ascii="Times New Roman" w:hAnsi="Times New Roman" w:cs="Times New Roman"/>
          <w:snapToGrid w:val="0"/>
          <w:sz w:val="24"/>
          <w:szCs w:val="24"/>
        </w:rPr>
        <w:t xml:space="preserve"> intake.</w:t>
      </w:r>
    </w:p>
    <w:p w14:paraId="73ECF88B" w14:textId="77777777" w:rsidR="00C7096D" w:rsidRPr="00652B67" w:rsidRDefault="00C7096D" w:rsidP="00C709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19B6">
        <w:rPr>
          <w:noProof/>
        </w:rPr>
        <w:drawing>
          <wp:inline distT="0" distB="0" distL="0" distR="0" wp14:anchorId="76D901E4" wp14:editId="7E2A925E">
            <wp:extent cx="5400040" cy="2131060"/>
            <wp:effectExtent l="0" t="0" r="0" b="254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7DBFD" w14:textId="77777777" w:rsidR="00C7096D" w:rsidRPr="002F43EE" w:rsidRDefault="00C7096D" w:rsidP="00C7096D">
      <w:pPr>
        <w:widowControl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Values are shown as means </w:t>
      </w:r>
      <w:r>
        <w:rPr>
          <w:rFonts w:ascii="Yu Gothic UI" w:eastAsia="Yu Gothic UI" w:hAnsi="Yu Gothic UI" w:cs="Times New Roman" w:hint="eastAsia"/>
          <w:snapToGrid w:val="0"/>
          <w:sz w:val="24"/>
          <w:szCs w:val="24"/>
        </w:rPr>
        <w:t xml:space="preserve">± 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SD for 7-8 mice per group. There were 8 mice in the KO/CE-2/Water and WT/HFD/Water groups and 7 mice in the other groups. </w:t>
      </w:r>
      <w:r w:rsidRPr="006B07E0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Statistical analysis was performed using a Steel-</w:t>
      </w:r>
      <w:proofErr w:type="spellStart"/>
      <w:r w:rsidRPr="006B07E0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Dwass</w:t>
      </w:r>
      <w:proofErr w:type="spellEnd"/>
      <w:r w:rsidRPr="006B07E0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test.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*Statistically significant (</w:t>
      </w:r>
      <w:r w:rsidRPr="00DB5D45">
        <w:rPr>
          <w:rFonts w:ascii="Times New Roman" w:hAnsi="Times New Roman" w:cs="Times New Roman"/>
          <w:i/>
          <w:snapToGrid w:val="0"/>
          <w:sz w:val="24"/>
          <w:szCs w:val="24"/>
        </w:rPr>
        <w:t>p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&lt;0.05) difference compared to the KO/CE-2/Water group; </w:t>
      </w:r>
      <w:r w:rsidRPr="002F43EE">
        <w:rPr>
          <w:rFonts w:ascii="Times New Roman" w:eastAsia="Yu Gothic UI" w:hAnsi="Times New Roman" w:cs="Times New Roman"/>
          <w:snapToGrid w:val="0"/>
          <w:sz w:val="24"/>
          <w:szCs w:val="24"/>
          <w:vertAlign w:val="superscript"/>
        </w:rPr>
        <w:t>§</w:t>
      </w:r>
      <w:r>
        <w:rPr>
          <w:rFonts w:ascii="Times New Roman" w:hAnsi="Times New Roman" w:cs="Times New Roman" w:hint="eastAsia"/>
          <w:snapToGrid w:val="0"/>
          <w:sz w:val="24"/>
          <w:szCs w:val="24"/>
        </w:rPr>
        <w:t>Statistically significant (</w:t>
      </w:r>
      <w:r w:rsidRPr="002F43EE">
        <w:rPr>
          <w:rFonts w:ascii="Times New Roman" w:hAnsi="Times New Roman" w:cs="Times New Roman" w:hint="eastAsia"/>
          <w:i/>
          <w:snapToGrid w:val="0"/>
          <w:sz w:val="24"/>
          <w:szCs w:val="24"/>
        </w:rPr>
        <w:t>p&lt;</w:t>
      </w:r>
      <w:r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0.05) 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difference between the KO/HFD/Water and WT/HFD/Water group; </w:t>
      </w:r>
    </w:p>
    <w:p w14:paraId="798F5D89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96D"/>
    <w:rsid w:val="00C7096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73803"/>
  <w15:chartTrackingRefBased/>
  <w15:docId w15:val="{DA9691FC-1AC9-4595-B8FC-73C11372B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96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2020-02-26T20:43:00Z</dcterms:created>
  <dcterms:modified xsi:type="dcterms:W3CDTF">2020-02-26T20:43:00Z</dcterms:modified>
</cp:coreProperties>
</file>