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0E5FF" w14:textId="77777777" w:rsidR="00B63AD3" w:rsidRPr="003C6F79" w:rsidRDefault="00B63AD3" w:rsidP="00B63AD3">
      <w:pPr>
        <w:spacing w:after="0" w:line="480" w:lineRule="auto"/>
        <w:jc w:val="both"/>
        <w:rPr>
          <w:rFonts w:ascii="Times New Roman" w:hAnsi="Times New Roman" w:cs="Times New Roman"/>
          <w:i/>
          <w:sz w:val="24"/>
          <w:szCs w:val="24"/>
        </w:rPr>
      </w:pPr>
      <w:r w:rsidRPr="0035170D">
        <w:rPr>
          <w:rFonts w:ascii="Times New Roman" w:hAnsi="Times New Roman" w:cs="Times New Roman"/>
          <w:i/>
          <w:sz w:val="24"/>
          <w:szCs w:val="24"/>
        </w:rPr>
        <w:t>Gait Asymmetry</w:t>
      </w:r>
      <w:r>
        <w:rPr>
          <w:rFonts w:ascii="Times New Roman" w:hAnsi="Times New Roman" w:cs="Times New Roman"/>
          <w:i/>
          <w:sz w:val="24"/>
          <w:szCs w:val="24"/>
        </w:rPr>
        <w:t xml:space="preserve">: </w:t>
      </w:r>
      <w:r w:rsidRPr="005F7E72">
        <w:rPr>
          <w:rFonts w:ascii="Times New Roman" w:hAnsi="Times New Roman" w:cs="Times New Roman"/>
          <w:color w:val="000000" w:themeColor="text1"/>
          <w:sz w:val="24"/>
          <w:szCs w:val="24"/>
        </w:rPr>
        <w:t>When gait becomes less automatic due to sarcopenia and cognitive aging, left-right step coordination may require more effort, especially among frail individuals</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 "citationItems" : [ { "id" : "ITEM-1", "itemData" : { "DOI" : "10.1159/000369095", "ISSN" : "0304-324X", "PMID" : "25547185", "abstract" : "BACKGROUND Frailty is a geriatric syndrome resulting from age-related cumulative decline across multiple physiologic systems, impaired homeostatic reserve, and reduced capacity to resist stress. Based on recent estimates, 10% of community-dwelling older individuals are frail and another 41.6% are prefrail. Frail elders account for the highest health care costs in industrialized nations. Impaired physical function is a major indicator of frailty, and functional performance tests are useful for the identification of frailty. Objective instrumented assessments of physical functioning that are feasible for home frailty screening have not been adequately developed. OBJECTIVE To examine the ability of wearable sensor-based in-home assessment of gait, balance, and physical activity (PA) to discriminate between frailty levels (nonfrail, prefrail, and frail). METHODS In an observational cross-sectional study, in-home visits were completed in 125 older adults (nonfrail: n=44, prefrail: n=60, frail: n=21) living in Tucson, Ariz., USA, between September 2012 and November 2013. Temporal-spatial gait parameters (speed, stride length, stride time, double support, and variability of stride velocity), postural balance (sway of hip, ankle, and center of mass), and PA (percentage of walking, standing, sitting, and lying; mean duration and variability of single walking, standing, sitting, and lying bouts) were measured in the participant's home using validated wearable sensor technology. Logistic regression was used to assess the most sensitive gait, balance, and PA variables for identifying prefrail participants (vs. nonfrail). Multinomial logistic regression was used to identify variables sensitive to discriminate between three frailty levels. RESULTS Gait speed (area under the curve, AUC=0.802), hip sway (AUC=0.734), and steps/day (AUC=0.736) were the most sensitive parameters for the identification of prefrailty. Multinomial regression revealed that stride length (AUC=0.857) and double support (AUC=0.841) were the most sensitive gait parameters for discriminating between three frailty levels. Interestingly, walking bout duration variability was the most sensitive PA parameter for discriminating between three frailty levels (AUC=0.818). No balance parameter discriminated between three frailty levels. CONCLUSION Our results indicate that unique parameters derived from objective assessment of gait, balance, and PA are sensitive for the identification of prefrailty and the\u2026", "author" : [ { "dropping-particle" : "", "family" : "Schwenk", "given" : "Michael", "non-dropping-particle" : "", "parse-names" : false, "suffix" : "" }, { "dropping-particle" : "", "family" : "Mohler", "given" : "Jane", "non-dropping-particle" : "", "parse-names" : false, "suffix" : "" }, { "dropping-particle" : "", "family" : "Wendel", "given" : "Christopher", "non-dropping-particle" : "", "parse-names" : false, "suffix" : "" }, { "dropping-particle" : "", "family" : "D''Huyvetter", "given" : "Karen", "non-dropping-particle" : "", "parse-names" : false, "suffix" : "" }, { "dropping-particle" : "", "family" : "Fain", "given" : "Mindy", "non-dropping-particle" : "", "parse-names" : false, "suffix" : "" }, { "dropping-particle" : "", "family" : "Taylor-Piliae", "given" : "Ruth", "non-dropping-particle" : "", "parse-names" : false, "suffix" : "" }, { "dropping-particle" : "", "family" : "Najafi", "given" : "Bijan", "non-dropping-particle" : "", "parse-names" : false, "suffix" : "" } ], "container-title" : "Gerontology", "id" : "ITEM-1", "issue" : "3", "issued" : { "date-parts" : [ [ "2015" ] ] }, "page" : "258-267", "publisher" : "Karger Publishers", "title" : "Wearable Sensor-Based In-Home Assessment of Gait, Balance, and Physical Activity for Discrimination of Frailty Status: Baseline Results of the Arizona Frailty Cohort Study", "type" : "article-journal", "volume" : "61" }, "uris" : [ "http://www.mendeley.com/documents/?uuid=f3cfa45b-1663-37c3-9274-e0092c73d40f" ] }, { "id" : "ITEM-2", "itemData" : { "DOI" : "10.1111/jgs.13451", "ISSN" : "00028614", "PMID" : "26096391", "abstract" : "OBJECTIVES To objectively identify frailty using wireless sensors and an innovative upper extremity motion assessment routine that does not rely on gait. DESIGN Validation study. SETTING Southwestern tertiary academic medical center, Tucson, Arizona. PARTICIPANTS Convenience subsample of the Arizona Frailty Cohort, a community-dwelling older adults (\u226565; n\u00a0=\u00a0117; 50 nonfrail, 51 prefrail, 16 frail). MEASUREMENTS Wireless sensors were attached to the upper arm and forearm with bands, and subjects performed repetitive elbow flexion for 20\u00a0seconds on each side. Information was extracted on objective slowness, weakness, exhaustion, and flexibility measures, and associations between parameters and Fried frailty categories were determined. RESULTS Speed of elbow flexion (slowness) was 29% less in prefrail and 59% less in frail than in nonfrail controls (P\u00a0&lt;\u00a0.001), power of movement (weakness) was 61% less in prefrail and 89% less frail (P\u00a0&lt;\u00a0.001), and speed variation (exhaustion) was 35% more in prefrail and 272% more in frail (P\u00a0&lt;\u00a0.001). Using elbow flexion parameters in regression models, sensitivity and specificity of 100% were achieved in predicting frailty and sensitivity of 87% and specificity of 95% in predicting prefrailty compared to Fried frailty category. CONCLUSION The suggested innovative upper extremity frailty assessment method integrates low-cost sensors, and the physical assessment is easily performed in less than 1\u00a0minute. The uniqueness of the proposed technology is its applicability in older nonambulatory individuals, such as those in emergency settings. Further improvement is warrant to make it suitable for routine clinical applications.", "author" : [ { "dropping-particle" : "", "family" : "Toosizadeh", "given" : "Nima", "non-dropping-particle" : "", "parse-names" : false, "suffix" : "" }, { "dropping-particle" : "", "family" : "Mohler", "given" : "Jane", "non-dropping-particle" : "", "parse-names" : false, "suffix" : "" }, { "dropping-particle" : "", "family" : "Najafi", "given" : "Bijan", "non-dropping-particle" : "", "parse-names" : false, "suffix" : "" } ], "container-title" : "Journal of the American Geriatrics Society", "id" : "ITEM-2", "issue" : "6", "issued" : { "date-parts" : [ [ "2015", "6" ] ] }, "page" : "1181-1186", "title" : "Assessing Upper Extremity Motion: An Innovative Method to Identify Frailty", "type" : "article-journal", "volume" : "63" }, "uris" : [ "http://www.mendeley.com/documents/?uuid=a8328cff-bc2a-4e51-bd1e-209926e299c6" ] }, { "id" : "ITEM-3", "itemData" : { "DOI" : "10.1007/s00221-006-0676-3", "ISSN" : "0014-4819", "PMID" : "16972073", "abstract" : "While it is known that certain pathologies may impact on left-right symmetry of gait, little is known about the mechanisms that contribute to gait symmetry or how high in the hierarchy of the control of gait symmetry is regulated in humans. To assess the contribution of cognitive function to gait symmetry, we measured gait asymmetry (GA) in three subject groups, patients with Parkinson's disease (PD, n = 21), idiopathic elderly fallers (n = 15), and healthy elderly controls (n = 11). All subjects walked, under two walking conditions: usual walking and dual tasking (cognitive loading) condition. For each subject, the swing time (SW) was calculated and averaged across strides for the left and right feet (SWL and SWR). GA was defined as: 100 x /ln(SWR/SWL)/. For both the PD patients and the elderly fallers GA values were significantly higher during the usual walking condition, as compared with the control group (P &lt; 0.01). In addition, for both the PD patients and the elderly fallers, GA significantly increased when they walked and performed a dual task, compared with the usual walking condition (P &lt; 0.003). In contrast, dual tasking did not affect the GA of the healthy controls (P = 0.518). GA was associated with gait speed and gait variability, but no correlations were found between GA and the asymmetry of the classic PD motor symptoms. Thus, the results suggest that the ability to generate a steady, rhythmic walk with a bilaterally coordinated gait does not rely heavily on mental attention and cognitive resources in healthy older adults. In contrast, however, when gait becomes impaired and less automatic, GA apparently relies on cognitive input and attention.", "author" : [ { "dropping-particle" : "", "family" : "Yogev", "given" : "Galit", "non-dropping-particle" : "", "parse-names" : false, "suffix" : "" }, { "dropping-particle" : "", "family" : "Plotnik", "given" : "Meir", "non-dropping-particle" : "", "parse-names" : false, "suffix" : "" }, { "dropping-particle" : "", "family" : "Peretz", "given" : "Chava", "non-dropping-particle" : "", "parse-names" : false, "suffix" : "" }, { "dropping-particle" : "", "family" : "Giladi", "given" : "Nir", "non-dropping-particle" : "", "parse-names" : false, "suffix" : "" }, { "dropping-particle" : "", "family" : "Hausdorff", "given" : "Jeffrey M.", "non-dropping-particle" : "", "parse-names" : false, "suffix" : "" } ], "container-title" : "Experimental Brain Research", "id" : "ITEM-3", "issue" : "3", "issued" : { "date-parts" : [ [ "2007", "2", "15" ] ] }, "page" : "336-346", "title" : "Gait asymmetry in patients with Parkinson\u2019s disease and elderly fallers: when does the bilateral coordination of gait require attention?", "type" : "article-journal", "volume" : "177" }, "uris" : [ "http://www.mendeley.com/documents/?uuid=9079d82a-8e0b-3176-92ed-773d5c46d601" ] } ], "mendeley" : { "formattedCitation" : "(17,34,44)", "plainTextFormattedCitation" : "(17,34,44)", "previouslyFormattedCitation" : "(16,33,43)" }, "properties" : { "noteIndex" : 0 }, "schema" : "https://github.com/citation-style-language/schema/raw/master/csl-citation.json" }</w:instrText>
      </w:r>
      <w:r>
        <w:rPr>
          <w:rFonts w:ascii="Times New Roman" w:hAnsi="Times New Roman" w:cs="Times New Roman"/>
          <w:color w:val="000000" w:themeColor="text1"/>
          <w:sz w:val="24"/>
          <w:szCs w:val="24"/>
        </w:rPr>
        <w:fldChar w:fldCharType="separate"/>
      </w:r>
      <w:r w:rsidRPr="002A3619">
        <w:rPr>
          <w:rFonts w:ascii="Times New Roman" w:hAnsi="Times New Roman" w:cs="Times New Roman"/>
          <w:noProof/>
          <w:color w:val="000000" w:themeColor="text1"/>
          <w:sz w:val="24"/>
          <w:szCs w:val="24"/>
        </w:rPr>
        <w:t>(17,34,44)</w:t>
      </w:r>
      <w:r>
        <w:rPr>
          <w:rFonts w:ascii="Times New Roman" w:hAnsi="Times New Roman" w:cs="Times New Roman"/>
          <w:color w:val="000000" w:themeColor="text1"/>
          <w:sz w:val="24"/>
          <w:szCs w:val="24"/>
        </w:rPr>
        <w:fldChar w:fldCharType="end"/>
      </w:r>
      <w:r w:rsidRPr="005F7E72">
        <w:rPr>
          <w:rFonts w:ascii="Times New Roman" w:hAnsi="Times New Roman" w:cs="Times New Roman"/>
          <w:color w:val="000000" w:themeColor="text1"/>
          <w:sz w:val="24"/>
          <w:szCs w:val="24"/>
        </w:rPr>
        <w:t>. Further, studies showed that no strong association between gait variability and asymmetry exists, suggesting that asymmetry reflects an independent measure of gait impairments due to distinct pathological causes</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 "citationItems" : [ { "id" : "ITEM-1", "itemData" : { "DOI" : "10.1159/000369095", "ISSN" : "0304-324X", "PMID" : "25547185", "abstract" : "BACKGROUND Frailty is a geriatric syndrome resulting from age-related cumulative decline across multiple physiologic systems, impaired homeostatic reserve, and reduced capacity to resist stress. Based on recent estimates, 10% of community-dwelling older individuals are frail and another 41.6% are prefrail. Frail elders account for the highest health care costs in industrialized nations. Impaired physical function is a major indicator of frailty, and functional performance tests are useful for the identification of frailty. Objective instrumented assessments of physical functioning that are feasible for home frailty screening have not been adequately developed. OBJECTIVE To examine the ability of wearable sensor-based in-home assessment of gait, balance, and physical activity (PA) to discriminate between frailty levels (nonfrail, prefrail, and frail). METHODS In an observational cross-sectional study, in-home visits were completed in 125 older adults (nonfrail: n=44, prefrail: n=60, frail: n=21) living in Tucson, Ariz., USA, between September 2012 and November 2013. Temporal-spatial gait parameters (speed, stride length, stride time, double support, and variability of stride velocity), postural balance (sway of hip, ankle, and center of mass), and PA (percentage of walking, standing, sitting, and lying; mean duration and variability of single walking, standing, sitting, and lying bouts) were measured in the participant's home using validated wearable sensor technology. Logistic regression was used to assess the most sensitive gait, balance, and PA variables for identifying prefrail participants (vs. nonfrail). Multinomial logistic regression was used to identify variables sensitive to discriminate between three frailty levels. RESULTS Gait speed (area under the curve, AUC=0.802), hip sway (AUC=0.734), and steps/day (AUC=0.736) were the most sensitive parameters for the identification of prefrailty. Multinomial regression revealed that stride length (AUC=0.857) and double support (AUC=0.841) were the most sensitive gait parameters for discriminating between three frailty levels. Interestingly, walking bout duration variability was the most sensitive PA parameter for discriminating between three frailty levels (AUC=0.818). No balance parameter discriminated between three frailty levels. CONCLUSION Our results indicate that unique parameters derived from objective assessment of gait, balance, and PA are sensitive for the identification of prefrailty and the\u2026", "author" : [ { "dropping-particle" : "", "family" : "Schwenk", "given" : "Michael", "non-dropping-particle" : "", "parse-names" : false, "suffix" : "" }, { "dropping-particle" : "", "family" : "Mohler", "given" : "Jane", "non-dropping-particle" : "", "parse-names" : false, "suffix" : "" }, { "dropping-particle" : "", "family" : "Wendel", "given" : "Christopher", "non-dropping-particle" : "", "parse-names" : false, "suffix" : "" }, { "dropping-particle" : "", "family" : "D''Huyvetter", "given" : "Karen", "non-dropping-particle" : "", "parse-names" : false, "suffix" : "" }, { "dropping-particle" : "", "family" : "Fain", "given" : "Mindy", "non-dropping-particle" : "", "parse-names" : false, "suffix" : "" }, { "dropping-particle" : "", "family" : "Taylor-Piliae", "given" : "Ruth", "non-dropping-particle" : "", "parse-names" : false, "suffix" : "" }, { "dropping-particle" : "", "family" : "Najafi", "given" : "Bijan", "non-dropping-particle" : "", "parse-names" : false, "suffix" : "" } ], "container-title" : "Gerontology", "id" : "ITEM-1", "issue" : "3", "issued" : { "date-parts" : [ [ "2015" ] ] }, "page" : "258-267", "publisher" : "Karger Publishers", "title" : "Wearable Sensor-Based In-Home Assessment of Gait, Balance, and Physical Activity for Discrimination of Frailty Status: Baseline Results of the Arizona Frailty Cohort Study", "type" : "article-journal", "volume" : "61" }, "uris" : [ "http://www.mendeley.com/documents/?uuid=f3cfa45b-1663-37c3-9274-e0092c73d40f" ] }, { "id" : "ITEM-2", "itemData" : { "DOI" : "10.1111/jgs.13451", "ISSN" : "00028614", "PMID" : "26096391", "abstract" : "OBJECTIVES To objectively identify frailty using wireless sensors and an innovative upper extremity motion assessment routine that does not rely on gait. DESIGN Validation study. SETTING Southwestern tertiary academic medical center, Tucson, Arizona. PARTICIPANTS Convenience subsample of the Arizona Frailty Cohort, a community-dwelling older adults (\u226565; n\u00a0=\u00a0117; 50 nonfrail, 51 prefrail, 16 frail). MEASUREMENTS Wireless sensors were attached to the upper arm and forearm with bands, and subjects performed repetitive elbow flexion for 20\u00a0seconds on each side. Information was extracted on objective slowness, weakness, exhaustion, and flexibility measures, and associations between parameters and Fried frailty categories were determined. RESULTS Speed of elbow flexion (slowness) was 29% less in prefrail and 59% less in frail than in nonfrail controls (P\u00a0&lt;\u00a0.001), power of movement (weakness) was 61% less in prefrail and 89% less frail (P\u00a0&lt;\u00a0.001), and speed variation (exhaustion) was 35% more in prefrail and 272% more in frail (P\u00a0&lt;\u00a0.001). Using elbow flexion parameters in regression models, sensitivity and specificity of 100% were achieved in predicting frailty and sensitivity of 87% and specificity of 95% in predicting prefrailty compared to Fried frailty category. CONCLUSION The suggested innovative upper extremity frailty assessment method integrates low-cost sensors, and the physical assessment is easily performed in less than 1\u00a0minute. The uniqueness of the proposed technology is its applicability in older nonambulatory individuals, such as those in emergency settings. Further improvement is warrant to make it suitable for routine clinical applications.", "author" : [ { "dropping-particle" : "", "family" : "Toosizadeh", "given" : "Nima", "non-dropping-particle" : "", "parse-names" : false, "suffix" : "" }, { "dropping-particle" : "", "family" : "Mohler", "given" : "Jane", "non-dropping-particle" : "", "parse-names" : false, "suffix" : "" }, { "dropping-particle" : "", "family" : "Najafi", "given" : "Bijan", "non-dropping-particle" : "", "parse-names" : false, "suffix" : "" } ], "container-title" : "Journal of the American Geriatrics Society", "id" : "ITEM-2", "issue" : "6", "issued" : { "date-parts" : [ [ "2015", "6" ] ] }, "page" : "1181-1186", "title" : "Assessing Upper Extremity Motion: An Innovative Method to Identify Frailty", "type" : "article-journal", "volume" : "63" }, "uris" : [ "http://www.mendeley.com/documents/?uuid=a8328cff-bc2a-4e51-bd1e-209926e299c6" ] } ], "mendeley" : { "formattedCitation" : "(17,44)", "plainTextFormattedCitation" : "(17,44)", "previouslyFormattedCitation" : "(16,43)" }, "properties" : { "noteIndex" : 0 }, "schema" : "https://github.com/citation-style-language/schema/raw/master/csl-citation.json" }</w:instrText>
      </w:r>
      <w:r>
        <w:rPr>
          <w:rFonts w:ascii="Times New Roman" w:hAnsi="Times New Roman" w:cs="Times New Roman"/>
          <w:color w:val="000000" w:themeColor="text1"/>
          <w:sz w:val="24"/>
          <w:szCs w:val="24"/>
        </w:rPr>
        <w:fldChar w:fldCharType="separate"/>
      </w:r>
      <w:r w:rsidRPr="002A3619">
        <w:rPr>
          <w:rFonts w:ascii="Times New Roman" w:hAnsi="Times New Roman" w:cs="Times New Roman"/>
          <w:noProof/>
          <w:color w:val="000000" w:themeColor="text1"/>
          <w:sz w:val="24"/>
          <w:szCs w:val="24"/>
        </w:rPr>
        <w:t>(17,44)</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w:t>
      </w:r>
      <w:r w:rsidRPr="005F7E72">
        <w:rPr>
          <w:rFonts w:ascii="Times New Roman" w:hAnsi="Times New Roman" w:cs="Times New Roman"/>
          <w:color w:val="000000" w:themeColor="text1"/>
          <w:sz w:val="24"/>
          <w:szCs w:val="24"/>
        </w:rPr>
        <w:t xml:space="preserve"> Here, </w:t>
      </w:r>
      <w:r w:rsidRPr="005F7E72">
        <w:rPr>
          <w:rFonts w:ascii="Times New Roman" w:hAnsi="Times New Roman" w:cs="Times New Roman"/>
          <w:bCs/>
          <w:color w:val="000000" w:themeColor="text1"/>
          <w:sz w:val="24"/>
          <w:szCs w:val="24"/>
          <w:shd w:val="clear" w:color="auto" w:fill="FFFFFF"/>
        </w:rPr>
        <w:t xml:space="preserve">step asymmetry </w:t>
      </w:r>
      <w:r w:rsidRPr="005F7E72">
        <w:rPr>
          <w:rFonts w:ascii="Times New Roman" w:hAnsi="Times New Roman" w:cs="Times New Roman"/>
          <w:color w:val="000000" w:themeColor="text1"/>
          <w:sz w:val="24"/>
          <w:szCs w:val="24"/>
        </w:rPr>
        <w:t>was obtained from the autocorrelation function of the vertical acceleration signal</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 "citationItems" : [ { "id" : "ITEM-1", "itemData" : { "DOI" : "10.1159/000369095", "ISSN" : "0304-324X", "PMID" : "25547185", "abstract" : "BACKGROUND Frailty is a geriatric syndrome resulting from age-related cumulative decline across multiple physiologic systems, impaired homeostatic reserve, and reduced capacity to resist stress. Based on recent estimates, 10% of community-dwelling older individuals are frail and another 41.6% are prefrail. Frail elders account for the highest health care costs in industrialized nations. Impaired physical function is a major indicator of frailty, and functional performance tests are useful for the identification of frailty. Objective instrumented assessments of physical functioning that are feasible for home frailty screening have not been adequately developed. OBJECTIVE To examine the ability of wearable sensor-based in-home assessment of gait, balance, and physical activity (PA) to discriminate between frailty levels (nonfrail, prefrail, and frail). METHODS In an observational cross-sectional study, in-home visits were completed in 125 older adults (nonfrail: n=44, prefrail: n=60, frail: n=21) living in Tucson, Ariz., USA, between September 2012 and November 2013. Temporal-spatial gait parameters (speed, stride length, stride time, double support, and variability of stride velocity), postural balance (sway of hip, ankle, and center of mass), and PA (percentage of walking, standing, sitting, and lying; mean duration and variability of single walking, standing, sitting, and lying bouts) were measured in the participant's home using validated wearable sensor technology. Logistic regression was used to assess the most sensitive gait, balance, and PA variables for identifying prefrail participants (vs. nonfrail). Multinomial logistic regression was used to identify variables sensitive to discriminate between three frailty levels. RESULTS Gait speed (area under the curve, AUC=0.802), hip sway (AUC=0.734), and steps/day (AUC=0.736) were the most sensitive parameters for the identification of prefrailty. Multinomial regression revealed that stride length (AUC=0.857) and double support (AUC=0.841) were the most sensitive gait parameters for discriminating between three frailty levels. Interestingly, walking bout duration variability was the most sensitive PA parameter for discriminating between three frailty levels (AUC=0.818). No balance parameter discriminated between three frailty levels. CONCLUSION Our results indicate that unique parameters derived from objective assessment of gait, balance, and PA are sensitive for the identification of prefrailty and the\u2026", "author" : [ { "dropping-particle" : "", "family" : "Schwenk", "given" : "Michael", "non-dropping-particle" : "", "parse-names" : false, "suffix" : "" }, { "dropping-particle" : "", "family" : "Mohler", "given" : "Jane", "non-dropping-particle" : "", "parse-names" : false, "suffix" : "" }, { "dropping-particle" : "", "family" : "Wendel", "given" : "Christopher", "non-dropping-particle" : "", "parse-names" : false, "suffix" : "" }, { "dropping-particle" : "", "family" : "D''Huyvetter", "given" : "Karen", "non-dropping-particle" : "", "parse-names" : false, "suffix" : "" }, { "dropping-particle" : "", "family" : "Fain", "given" : "Mindy", "non-dropping-particle" : "", "parse-names" : false, "suffix" : "" }, { "dropping-particle" : "", "family" : "Taylor-Piliae", "given" : "Ruth", "non-dropping-particle" : "", "parse-names" : false, "suffix" : "" }, { "dropping-particle" : "", "family" : "Najafi", "given" : "Bijan", "non-dropping-particle" : "", "parse-names" : false, "suffix" : "" } ], "container-title" : "Gerontology", "id" : "ITEM-1", "issue" : "3", "issued" : { "date-parts" : [ [ "2015" ] ] }, "page" : "258-267", "publisher" : "Karger Publishers", "title" : "Wearable Sensor-Based In-Home Assessment of Gait, Balance, and Physical Activity for Discrimination of Frailty Status: Baseline Results of the Arizona Frailty Cohort Study", "type" : "article-journal", "volume" : "61" }, "uris" : [ "http://www.mendeley.com/documents/?uuid=f3cfa45b-1663-37c3-9274-e0092c73d40f" ] }, { "id" : "ITEM-2", "itemData" : { "DOI" : "10.1111/jgs.13451", "ISSN" : "00028614", "PMID" : "26096391", "abstract" : "OBJECTIVES To objectively identify frailty using wireless sensors and an innovative upper extremity motion assessment routine that does not rely on gait. DESIGN Validation study. SETTING Southwestern tertiary academic medical center, Tucson, Arizona. PARTICIPANTS Convenience subsample of the Arizona Frailty Cohort, a community-dwelling older adults (\u226565; n\u00a0=\u00a0117; 50 nonfrail, 51 prefrail, 16 frail). MEASUREMENTS Wireless sensors were attached to the upper arm and forearm with bands, and subjects performed repetitive elbow flexion for 20\u00a0seconds on each side. Information was extracted on objective slowness, weakness, exhaustion, and flexibility measures, and associations between parameters and Fried frailty categories were determined. RESULTS Speed of elbow flexion (slowness) was 29% less in prefrail and 59% less in frail than in nonfrail controls (P\u00a0&lt;\u00a0.001), power of movement (weakness) was 61% less in prefrail and 89% less frail (P\u00a0&lt;\u00a0.001), and speed variation (exhaustion) was 35% more in prefrail and 272% more in frail (P\u00a0&lt;\u00a0.001). Using elbow flexion parameters in regression models, sensitivity and specificity of 100% were achieved in predicting frailty and sensitivity of 87% and specificity of 95% in predicting prefrailty compared to Fried frailty category. CONCLUSION The suggested innovative upper extremity frailty assessment method integrates low-cost sensors, and the physical assessment is easily performed in less than 1\u00a0minute. The uniqueness of the proposed technology is its applicability in older nonambulatory individuals, such as those in emergency settings. Further improvement is warrant to make it suitable for routine clinical applications.", "author" : [ { "dropping-particle" : "", "family" : "Toosizadeh", "given" : "Nima", "non-dropping-particle" : "", "parse-names" : false, "suffix" : "" }, { "dropping-particle" : "", "family" : "Mohler", "given" : "Jane", "non-dropping-particle" : "", "parse-names" : false, "suffix" : "" }, { "dropping-particle" : "", "family" : "Najafi", "given" : "Bijan", "non-dropping-particle" : "", "parse-names" : false, "suffix" : "" } ], "container-title" : "Journal of the American Geriatrics Society", "id" : "ITEM-2", "issue" : "6", "issued" : { "date-parts" : [ [ "2015", "6" ] ] }, "page" : "1181-1186", "title" : "Assessing Upper Extremity Motion: An Innovative Method to Identify Frailty", "type" : "article-journal", "volume" : "63" }, "uris" : [ "http://www.mendeley.com/documents/?uuid=a8328cff-bc2a-4e51-bd1e-209926e299c6" ] } ], "mendeley" : { "formattedCitation" : "(17,44)", "plainTextFormattedCitation" : "(17,44)", "previouslyFormattedCitation" : "(16,43)" }, "properties" : { "noteIndex" : 0 }, "schema" : "https://github.com/citation-style-language/schema/raw/master/csl-citation.json" }</w:instrText>
      </w:r>
      <w:r>
        <w:rPr>
          <w:rFonts w:ascii="Times New Roman" w:hAnsi="Times New Roman" w:cs="Times New Roman"/>
          <w:color w:val="000000" w:themeColor="text1"/>
          <w:sz w:val="24"/>
          <w:szCs w:val="24"/>
        </w:rPr>
        <w:fldChar w:fldCharType="separate"/>
      </w:r>
      <w:r w:rsidRPr="002A3619">
        <w:rPr>
          <w:rFonts w:ascii="Times New Roman" w:hAnsi="Times New Roman" w:cs="Times New Roman"/>
          <w:noProof/>
          <w:color w:val="000000" w:themeColor="text1"/>
          <w:sz w:val="24"/>
          <w:szCs w:val="24"/>
        </w:rPr>
        <w:t>(17,44)</w:t>
      </w:r>
      <w:r>
        <w:rPr>
          <w:rFonts w:ascii="Times New Roman" w:hAnsi="Times New Roman" w:cs="Times New Roman"/>
          <w:color w:val="000000" w:themeColor="text1"/>
          <w:sz w:val="24"/>
          <w:szCs w:val="24"/>
        </w:rPr>
        <w:fldChar w:fldCharType="end"/>
      </w:r>
      <w:r w:rsidRPr="005F7E7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5F7E72">
        <w:rPr>
          <w:rFonts w:ascii="Times New Roman" w:hAnsi="Times New Roman" w:cs="Times New Roman"/>
          <w:color w:val="000000" w:themeColor="text1"/>
          <w:sz w:val="24"/>
          <w:szCs w:val="24"/>
        </w:rPr>
        <w:t>represented by a sequence of autocorrelation coefficients ov</w:t>
      </w:r>
      <w:r>
        <w:rPr>
          <w:rFonts w:ascii="Times New Roman" w:hAnsi="Times New Roman" w:cs="Times New Roman"/>
          <w:color w:val="000000" w:themeColor="text1"/>
          <w:sz w:val="24"/>
          <w:szCs w:val="24"/>
        </w:rPr>
        <w:t>er increasing time lags</w:t>
      </w:r>
      <w:r w:rsidRPr="005F7E72">
        <w:rPr>
          <w:rFonts w:ascii="Times New Roman" w:hAnsi="Times New Roman" w:cs="Times New Roman"/>
          <w:color w:val="000000" w:themeColor="text1"/>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3600"/>
        <w:gridCol w:w="2425"/>
      </w:tblGrid>
      <w:tr w:rsidR="00B63AD3" w14:paraId="4259B0F5" w14:textId="77777777" w:rsidTr="0039347F">
        <w:tc>
          <w:tcPr>
            <w:tcW w:w="3325" w:type="dxa"/>
            <w:vAlign w:val="center"/>
          </w:tcPr>
          <w:p w14:paraId="1F54290D" w14:textId="77777777" w:rsidR="00B63AD3" w:rsidRPr="00906642" w:rsidRDefault="00B63AD3" w:rsidP="0039347F">
            <w:pPr>
              <w:pStyle w:val="ListParagraph"/>
              <w:spacing w:line="480" w:lineRule="auto"/>
              <w:ind w:left="0"/>
              <w:jc w:val="right"/>
              <w:rPr>
                <w:rFonts w:ascii="Times New Roman" w:hAnsi="Times New Roman" w:cs="Times New Roman"/>
                <w:color w:val="000000" w:themeColor="text1"/>
                <w:sz w:val="20"/>
              </w:rPr>
            </w:pPr>
            <m:oMathPara>
              <m:oMath>
                <m:r>
                  <w:rPr>
                    <w:rFonts w:ascii="Cambria Math" w:hAnsi="Cambria Math" w:cs="Times New Roman"/>
                    <w:color w:val="000000"/>
                    <w:sz w:val="20"/>
                  </w:rPr>
                  <m:t>Asymmetr</m:t>
                </m:r>
                <m:sSub>
                  <m:sSubPr>
                    <m:ctrlPr>
                      <w:rPr>
                        <w:rFonts w:ascii="Cambria Math" w:hAnsi="Cambria Math" w:cs="Times New Roman"/>
                        <w:i/>
                        <w:color w:val="000000"/>
                        <w:sz w:val="20"/>
                      </w:rPr>
                    </m:ctrlPr>
                  </m:sSubPr>
                  <m:e>
                    <m:r>
                      <w:rPr>
                        <w:rFonts w:ascii="Cambria Math" w:hAnsi="Cambria Math" w:cs="Times New Roman"/>
                        <w:color w:val="000000"/>
                        <w:sz w:val="20"/>
                      </w:rPr>
                      <m:t>y</m:t>
                    </m:r>
                  </m:e>
                  <m:sub>
                    <m:r>
                      <w:rPr>
                        <w:rFonts w:ascii="Cambria Math" w:hAnsi="Cambria Math" w:cs="Times New Roman"/>
                        <w:color w:val="000000"/>
                        <w:sz w:val="20"/>
                      </w:rPr>
                      <m:t>1</m:t>
                    </m:r>
                  </m:sub>
                </m:sSub>
                <m:r>
                  <w:rPr>
                    <w:rFonts w:ascii="Cambria Math" w:hAnsi="Cambria Math" w:cs="Times New Roman"/>
                    <w:color w:val="000000"/>
                    <w:sz w:val="20"/>
                  </w:rPr>
                  <m:t xml:space="preserve">= </m:t>
                </m:r>
                <m:f>
                  <m:fPr>
                    <m:ctrlPr>
                      <w:rPr>
                        <w:rFonts w:ascii="Cambria Math" w:hAnsi="Cambria Math" w:cs="Times New Roman"/>
                        <w:bCs/>
                        <w:i/>
                        <w:color w:val="000000"/>
                        <w:sz w:val="20"/>
                      </w:rPr>
                    </m:ctrlPr>
                  </m:fPr>
                  <m:num>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1</m:t>
                        </m:r>
                      </m:sub>
                    </m:sSub>
                  </m:num>
                  <m:den>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2</m:t>
                        </m:r>
                      </m:sub>
                    </m:sSub>
                  </m:den>
                </m:f>
                <m:r>
                  <w:rPr>
                    <w:rFonts w:ascii="Cambria Math" w:hAnsi="Cambria Math" w:cs="Times New Roman"/>
                    <w:color w:val="000000"/>
                    <w:sz w:val="20"/>
                  </w:rPr>
                  <m:t>,</m:t>
                </m:r>
              </m:oMath>
            </m:oMathPara>
          </w:p>
        </w:tc>
        <w:tc>
          <w:tcPr>
            <w:tcW w:w="3600" w:type="dxa"/>
            <w:vAlign w:val="center"/>
          </w:tcPr>
          <w:p w14:paraId="7AB7A126" w14:textId="77777777" w:rsidR="00B63AD3" w:rsidRPr="00906642" w:rsidRDefault="00B63AD3" w:rsidP="0039347F">
            <w:pPr>
              <w:pStyle w:val="ListParagraph"/>
              <w:spacing w:line="480" w:lineRule="auto"/>
              <w:ind w:left="0"/>
              <w:jc w:val="both"/>
              <w:rPr>
                <w:rFonts w:ascii="Times New Roman" w:hAnsi="Times New Roman" w:cs="Times New Roman"/>
                <w:color w:val="000000" w:themeColor="text1"/>
                <w:sz w:val="20"/>
              </w:rPr>
            </w:pPr>
            <m:oMathPara>
              <m:oMath>
                <m:r>
                  <w:rPr>
                    <w:rFonts w:ascii="Cambria Math" w:hAnsi="Cambria Math" w:cs="Times New Roman"/>
                    <w:color w:val="000000"/>
                    <w:sz w:val="20"/>
                  </w:rPr>
                  <m:t>Asymmetr</m:t>
                </m:r>
                <m:sSub>
                  <m:sSubPr>
                    <m:ctrlPr>
                      <w:rPr>
                        <w:rFonts w:ascii="Cambria Math" w:hAnsi="Cambria Math" w:cs="Times New Roman"/>
                        <w:i/>
                        <w:color w:val="000000"/>
                        <w:sz w:val="20"/>
                      </w:rPr>
                    </m:ctrlPr>
                  </m:sSubPr>
                  <m:e>
                    <m:r>
                      <w:rPr>
                        <w:rFonts w:ascii="Cambria Math" w:hAnsi="Cambria Math" w:cs="Times New Roman"/>
                        <w:color w:val="000000"/>
                        <w:sz w:val="20"/>
                      </w:rPr>
                      <m:t>y</m:t>
                    </m:r>
                  </m:e>
                  <m:sub>
                    <m:r>
                      <w:rPr>
                        <w:rFonts w:ascii="Cambria Math" w:hAnsi="Cambria Math" w:cs="Times New Roman"/>
                        <w:color w:val="000000"/>
                        <w:sz w:val="20"/>
                      </w:rPr>
                      <m:t>2</m:t>
                    </m:r>
                  </m:sub>
                </m:sSub>
                <m:r>
                  <w:rPr>
                    <w:rFonts w:ascii="Cambria Math" w:hAnsi="Cambria Math" w:cs="Times New Roman"/>
                    <w:color w:val="000000"/>
                    <w:sz w:val="20"/>
                  </w:rPr>
                  <m:t xml:space="preserve"> = </m:t>
                </m:r>
                <m:f>
                  <m:fPr>
                    <m:ctrlPr>
                      <w:rPr>
                        <w:rFonts w:ascii="Cambria Math" w:hAnsi="Cambria Math" w:cs="Times New Roman"/>
                        <w:bCs/>
                        <w:i/>
                        <w:color w:val="000000"/>
                        <w:sz w:val="20"/>
                      </w:rPr>
                    </m:ctrlPr>
                  </m:fPr>
                  <m:num>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1</m:t>
                        </m:r>
                      </m:sub>
                    </m:sSub>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2</m:t>
                        </m:r>
                      </m:sub>
                    </m:sSub>
                    <m:r>
                      <w:rPr>
                        <w:rFonts w:ascii="Cambria Math" w:hAnsi="Cambria Math" w:cs="Times New Roman"/>
                        <w:color w:val="000000"/>
                        <w:sz w:val="20"/>
                      </w:rPr>
                      <m:t>|</m:t>
                    </m:r>
                  </m:num>
                  <m:den>
                    <m:r>
                      <m:rPr>
                        <m:sty m:val="p"/>
                      </m:rPr>
                      <w:rPr>
                        <w:rFonts w:ascii="Cambria Math" w:hAnsi="Cambria Math" w:cs="Times New Roman"/>
                        <w:color w:val="000000"/>
                        <w:sz w:val="20"/>
                      </w:rPr>
                      <m:t>max⁡</m:t>
                    </m:r>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1</m:t>
                        </m:r>
                      </m:sub>
                    </m:sSub>
                    <m:r>
                      <w:rPr>
                        <w:rFonts w:ascii="Cambria Math" w:hAnsi="Cambria Math" w:cs="Times New Roman"/>
                        <w:color w:val="000000"/>
                        <w:sz w:val="20"/>
                      </w:rPr>
                      <m:t>,A</m:t>
                    </m:r>
                    <m:sSub>
                      <m:sSubPr>
                        <m:ctrlPr>
                          <w:rPr>
                            <w:rFonts w:ascii="Cambria Math" w:hAnsi="Cambria Math" w:cs="Times New Roman"/>
                            <w:i/>
                            <w:color w:val="000000"/>
                            <w:sz w:val="20"/>
                          </w:rPr>
                        </m:ctrlPr>
                      </m:sSubPr>
                      <m:e>
                        <m:r>
                          <w:rPr>
                            <w:rFonts w:ascii="Cambria Math" w:hAnsi="Cambria Math" w:cs="Times New Roman"/>
                            <w:color w:val="000000"/>
                            <w:sz w:val="20"/>
                          </w:rPr>
                          <m:t>d</m:t>
                        </m:r>
                      </m:e>
                      <m:sub>
                        <m:r>
                          <w:rPr>
                            <w:rFonts w:ascii="Cambria Math" w:hAnsi="Cambria Math" w:cs="Times New Roman"/>
                            <w:color w:val="000000"/>
                            <w:sz w:val="20"/>
                          </w:rPr>
                          <m:t>2</m:t>
                        </m:r>
                      </m:sub>
                    </m:sSub>
                    <m:r>
                      <w:rPr>
                        <w:rFonts w:ascii="Cambria Math" w:hAnsi="Cambria Math" w:cs="Times New Roman"/>
                        <w:color w:val="000000"/>
                        <w:sz w:val="20"/>
                      </w:rPr>
                      <m:t>)</m:t>
                    </m:r>
                  </m:den>
                </m:f>
              </m:oMath>
            </m:oMathPara>
          </w:p>
        </w:tc>
        <w:tc>
          <w:tcPr>
            <w:tcW w:w="2425" w:type="dxa"/>
            <w:vAlign w:val="center"/>
          </w:tcPr>
          <w:p w14:paraId="71AE2F4E" w14:textId="77777777" w:rsidR="00B63AD3" w:rsidRDefault="00B63AD3" w:rsidP="0039347F">
            <w:pPr>
              <w:pStyle w:val="ListParagraph"/>
              <w:spacing w:line="480" w:lineRule="auto"/>
              <w:ind w:left="0"/>
              <w:jc w:val="right"/>
              <w:rPr>
                <w:rFonts w:ascii="Times New Roman" w:hAnsi="Times New Roman" w:cs="Times New Roman"/>
                <w:color w:val="000000" w:themeColor="text1"/>
              </w:rPr>
            </w:pPr>
            <w:r>
              <w:rPr>
                <w:rFonts w:ascii="Times New Roman" w:hAnsi="Times New Roman" w:cs="Times New Roman"/>
                <w:color w:val="000000" w:themeColor="text1"/>
              </w:rPr>
              <w:t>(1)</w:t>
            </w:r>
          </w:p>
        </w:tc>
      </w:tr>
    </w:tbl>
    <w:p w14:paraId="05E676F5" w14:textId="77777777" w:rsidR="00B63AD3" w:rsidRDefault="00B63AD3" w:rsidP="00B63AD3">
      <w:pPr>
        <w:pStyle w:val="NormalWeb"/>
        <w:shd w:val="clear" w:color="auto" w:fill="FFFFFF"/>
        <w:spacing w:before="0" w:beforeAutospacing="0" w:after="0" w:afterAutospacing="0" w:line="480" w:lineRule="auto"/>
        <w:jc w:val="both"/>
        <w:textAlignment w:val="baseline"/>
        <w:rPr>
          <w:color w:val="000000" w:themeColor="text1"/>
        </w:rPr>
      </w:pPr>
      <w:r>
        <w:rPr>
          <w:color w:val="000000" w:themeColor="text1"/>
        </w:rPr>
        <w:t xml:space="preserve">where </w:t>
      </w:r>
      <m:oMath>
        <m:r>
          <w:rPr>
            <w:rFonts w:ascii="Cambria Math" w:hAnsi="Cambria Math"/>
            <w:color w:val="000000" w:themeColor="text1"/>
          </w:rPr>
          <m:t>A</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1</m:t>
            </m:r>
          </m:sub>
        </m:sSub>
      </m:oMath>
      <w:r w:rsidRPr="00190FBE">
        <w:rPr>
          <w:color w:val="000000" w:themeColor="text1"/>
        </w:rPr>
        <w:t xml:space="preserve"> and </w:t>
      </w:r>
      <m:oMath>
        <m:r>
          <w:rPr>
            <w:rFonts w:ascii="Cambria Math" w:hAnsi="Cambria Math"/>
            <w:color w:val="000000" w:themeColor="text1"/>
          </w:rPr>
          <m:t>A</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2</m:t>
            </m:r>
          </m:sub>
        </m:sSub>
      </m:oMath>
      <w:r w:rsidRPr="00190FBE">
        <w:rPr>
          <w:color w:val="000000" w:themeColor="text1"/>
        </w:rPr>
        <w:t xml:space="preserve"> are the prominence of the first and the second peaks respectively after the central (zero lag)</w:t>
      </w:r>
      <w:r>
        <w:rPr>
          <w:color w:val="000000" w:themeColor="text1"/>
        </w:rPr>
        <w:t xml:space="preserve"> peak </w:t>
      </w:r>
      <w:r>
        <w:rPr>
          <w:color w:val="000000" w:themeColor="text1"/>
        </w:rPr>
        <w:fldChar w:fldCharType="begin" w:fldLock="1"/>
      </w:r>
      <w:r>
        <w:rPr>
          <w:color w:val="000000" w:themeColor="text1"/>
        </w:rPr>
        <w:instrText>ADDIN CSL_CITATION { "citationItems" : [ { "id" : "ITEM-1", "itemData" : { "DOI" : "10.1109/IEMBS.2002.1134453", "ISBN" : "0-7803-7612-9", "abstract" : "Identifying and analyzing peaks (or spikes) in a given time-series is important in many applications. Peaks indicate significant events such as sudden increase in price/volume, sharp rise in demand, bursts in data traffic etc. While it is easy to visually identify peaks in a small univariate time-series, there is a need to formalize the notion of a peak to avoid subjectivity and to devise algorithms to automatically detect peaks in any given time-series. The latter is important in applications such as data center monitoring where thousands of large time-series indicating CPU/memory utilization need to be analyzed in real-time. A data point in a time-series is a local peak if (a) it is a large and locally maximum value within a window, which is not necessarily large nor globally maximum in the entire time-series; and (b) it is isolated i.e., not too many points in the window have similar values. Not all local peaks are true peaks; a local peak is a true peak if it is a reasonably large value even in the global context. We offer different formalizations of the notion of a peak and propose corresponding algorithms to detect peaks in the given time-series. We experimentally compare the effectiveness of these algorithms.", "author" : [ { "dropping-particle" : "", "family" : "Palshikar", "given" : "Girish Keshav", "non-dropping-particle" : "", "parse-names" : false, "suffix" : "" } ], "container-title" : "Design", "id" : "ITEM-1", "issue" : "July", "issued" : { "date-parts" : [ [ "2002" ] ] }, "page" : "1-13", "title" : "Simple Algorithms for Peak Detection in Time-Series Simple Algorithms for Peak Detection in Time-Series", "type" : "article-journal" }, "uris" : [ "http://www.mendeley.com/documents/?uuid=18393907-1b8c-42b0-bc8b-71a36c5d1ef1" ] } ], "mendeley" : { "formattedCitation" : "(45)", "plainTextFormattedCitation" : "(45)", "previouslyFormattedCitation" : "(44)" }, "properties" : { "noteIndex" : 0 }, "schema" : "https://github.com/citation-style-language/schema/raw/master/csl-citation.json" }</w:instrText>
      </w:r>
      <w:r>
        <w:rPr>
          <w:color w:val="000000" w:themeColor="text1"/>
        </w:rPr>
        <w:fldChar w:fldCharType="separate"/>
      </w:r>
      <w:r w:rsidRPr="002A3619">
        <w:rPr>
          <w:noProof/>
          <w:color w:val="000000" w:themeColor="text1"/>
        </w:rPr>
        <w:t>(45)</w:t>
      </w:r>
      <w:r>
        <w:rPr>
          <w:color w:val="000000" w:themeColor="text1"/>
        </w:rPr>
        <w:fldChar w:fldCharType="end"/>
      </w:r>
      <w:r w:rsidRPr="00190FBE">
        <w:rPr>
          <w:color w:val="000000" w:themeColor="text1"/>
        </w:rPr>
        <w:t>.</w:t>
      </w:r>
    </w:p>
    <w:p w14:paraId="756E4135" w14:textId="77777777" w:rsidR="00B63AD3" w:rsidRPr="00DF4AC5" w:rsidRDefault="00B63AD3" w:rsidP="00B63AD3">
      <w:pPr>
        <w:pStyle w:val="NormalWeb"/>
        <w:shd w:val="clear" w:color="auto" w:fill="FFFFFF"/>
        <w:spacing w:before="0" w:beforeAutospacing="0" w:after="0" w:afterAutospacing="0" w:line="480" w:lineRule="auto"/>
        <w:jc w:val="both"/>
        <w:textAlignment w:val="baseline"/>
        <w:rPr>
          <w:iCs/>
          <w:color w:val="000000" w:themeColor="text1"/>
        </w:rPr>
      </w:pPr>
      <w:r w:rsidRPr="001F07BF">
        <w:rPr>
          <w:i/>
          <w:color w:val="000000" w:themeColor="text1"/>
        </w:rPr>
        <w:t xml:space="preserve">Gait </w:t>
      </w:r>
      <w:r>
        <w:rPr>
          <w:i/>
          <w:color w:val="000000" w:themeColor="text1"/>
        </w:rPr>
        <w:t>Irregularity</w:t>
      </w:r>
      <w:r w:rsidRPr="00504CC9">
        <w:rPr>
          <w:i/>
          <w:color w:val="000000" w:themeColor="text1"/>
        </w:rPr>
        <w:t>:</w:t>
      </w:r>
      <w:r>
        <w:rPr>
          <w:iCs/>
          <w:color w:val="000000" w:themeColor="text1"/>
        </w:rPr>
        <w:t xml:space="preserve"> </w:t>
      </w:r>
      <w:r w:rsidRPr="008D11B7">
        <w:rPr>
          <w:color w:val="000000" w:themeColor="text1"/>
        </w:rPr>
        <w:t xml:space="preserve">Results from supervised gait studies showed that irregularity measures can describe predictability of walking cycles, which can be influenced by both neurological and neuromuscular diseases </w:t>
      </w:r>
      <w:r w:rsidRPr="008D11B7">
        <w:rPr>
          <w:color w:val="000000" w:themeColor="text1"/>
        </w:rPr>
        <w:fldChar w:fldCharType="begin" w:fldLock="1"/>
      </w:r>
      <w:r>
        <w:rPr>
          <w:color w:val="000000" w:themeColor="text1"/>
        </w:rPr>
        <w:instrText>ADDIN CSL_CITATION { "citationItems" : [ { "id" : "ITEM-1", "itemData" : { "DOI" : "10.1186/1743-0003-8-2", "ISSN" : "1743-0003", "PMID" : "21241487", "abstract" : "BACKGROUND Falls in frail elderly are a common problem with a rising incidence. Gait and postural instability are major risk factors for falling, particularly in geriatric patients. As walking requires attention, cognitive impairments are likely to contribute to an increased fall risk. An objective quantification of gait and balance ability is required to identify persons with a high tendency to fall. Recent studies have shown that stride variability is increased in elderly and under dual task condition and might be more sensitive to detect fall risk than walking speed. In the present study we complemented stride related measures with measures that quantify trunk movement patterns as indicators of dynamic balance ability during walking. The aim of the study was to quantify the effect of impaired cognition and dual tasking on gait variability and stability in geriatric patients. METHODS Thirteen elderly with dementia (mean age: 82.6 \u00b1 4.3 years) and thirteen without dementia (79.4 \u00b1 5.55) recruited from a geriatric day clinic, walked at self-selected speed with and without performing a verbal dual task. The Mini Mental State Examination and the Seven Minute Screen were administered. Trunk accelerations were measured with an accelerometer. In addition to walking speed, mean, and variability of stride times, gait stability was quantified using stochastic dynamical measures, namely regularity (sample entropy, long range correlations) and local stability exponents of trunk accelerations. RESULTS Dual tasking significantly (p &lt; 0.05) decreased walking speed, while stride time variability increased, and stability and regularity of lateral trunk accelerations decreased. Cognitively impaired elderly showed significantly (p &lt; 0.05) more changes in gait variability than cognitive intact elderly. Differences in dynamic parameters between groups were more discerned under dual task conditions. CONCLUSIONS The observed trunk adaptations were a consistent instability factor. These results support the concept that changes in cognitive functions contribute to changes in the variability and stability of the gait pattern. Walking under dual task conditions and quantifying gait using dynamical parameters can improve detecting walking disorders and might help to identify those elderly who are able to adapt walking ability and those who are not and thus are at greater risk for falling.", "author" : [ { "dropping-particle" : "", "family" : "Lamoth", "given" : "Claudine J", "non-dropping-particle" : "", "parse-names" : false, "suffix" : "" }, { "dropping-particle" : "", "family" : "Deudekom", "given" : "Floor J", "non-dropping-particle" : "van", "parse-names" : false, "suffix" : "" }, { "dropping-particle" : "", "family" : "Campen", "given" : "Jos P", "non-dropping-particle" : "van", "parse-names" : false, "suffix" : "" }, { "dropping-particle" : "", "family" : "Appels", "given" : "Bregje A", "non-dropping-particle" : "", "parse-names" : false, "suffix" : "" }, { "dropping-particle" : "", "family" : "Vries", "given" : "Oscar J", "non-dropping-particle" : "de", "parse-names" : false, "suffix" : "" }, { "dropping-particle" : "", "family" : "Pijnappels", "given" : "Mirjam", "non-dropping-particle" : "", "parse-names" : false, "suffix" : "" } ], "container-title" : "Journal of NeuroEngineering and Rehabilitation", "id" : "ITEM-1", "issue" : "1", "issued" : { "date-parts" : [ [ "2011", "12", "17" ] ] }, "page" : "2", "title" : "Gait stability and variability measures show effects of impaired cognition and dual tasking in frail people", "type" : "article-journal", "volume" : "8" }, "uris" : [ "http://www.mendeley.com/documents/?uuid=dd2df602-8e43-37e6-afe9-16a112ade4d2" ] }, { "id" : "ITEM-2", "itemData" : { "DOI" : "10.1016/j.medengphy.2007.04.014", "ISSN" : "13504533", "PMID" : "17569571", "abstract" : "Gait rhythm of patients with Parkinson's disease (PD), Huntington's disease (HD) and amyotrophic lateral sclerosis (ALS) has been studied focusing on the fractal and correlation properties of stride time fluctuations. In this study, we investigated gait asymmetry in these diseases using the multi-resolution entropy analysis of stance time fluctuations. Since stance time is likely to exhibit fluctuations across multiple spatial and temporal scales, the data series were decomposed into appropriate levels by applying stationary wavelet transform. The similarity between two corresponding wavelet coefficient series in terms of their regularities at each level was quantified based on a modified sample entropy method and a weighted sum was then used as gait symmetry index. We found that gait symmetry in subjects with PD and HD, especially with ALS is significantly disturbed. This method may be useful in characterizing certain pathologies of motor control and, possibly, in monitoring disease progression and evaluating the effect of an individual treatment.", "author" : [ { "dropping-particle" : "", "family" : "Liao", "given" : "Fuyuan", "non-dropping-particle" : "", "parse-names" : false, "suffix" : "" }, { "dropping-particle" : "", "family" : "Wang", "given" : "Jue", "non-dropping-particle" : "", "parse-names" : false, "suffix" : "" }, { "dropping-particle" : "", "family" : "He", "given" : "Ping", "non-dropping-particle" : "", "parse-names" : false, "suffix" : "" } ], "container-title" : "Medical Engineering &amp; Physics", "id" : "ITEM-2", "issue" : "3", "issued" : { "date-parts" : [ [ "2008", "4" ] ] }, "page" : "299-310", "title" : "Multi-resolution entropy analysis of gait symmetry in neurological degenerative diseases and amyotrophic lateral sclerosis", "type" : "article-journal", "volume" : "30" }, "uris" : [ "http://www.mendeley.com/documents/?uuid=b52bdbbc-7ef9-3aea-98b0-766c4dc73c10" ] }, { "id" : "ITEM-3", "itemData" : { "DOI" : "10.1016/j.gaitpost.2011.08.022", "ISSN" : "09666362", "author" : [ { "dropping-particle" : "", "family" : "IJmker", "given" : "Trienke", "non-dropping-particle" : "", "parse-names" : false, "suffix" : "" }, { "dropping-particle" : "", "family" : "Lamoth", "given" : "Claudine J.C.", "non-dropping-particle" : "", "parse-names" : false, "suffix" : "" } ], "container-title" : "Gait &amp; Posture", "id" : "ITEM-3", "issue" : "1", "issued" : { "date-parts" : [ [ "2012", "1" ] ] }, "page" : "126-130", "title" : "Gait and cognition: The relationship between gait stability and variability with executive function in persons with and without dementia", "type" : "article-journal", "volume" : "35" }, "uris" : [ "http://www.mendeley.com/documents/?uuid=61e66ba4-4504-324a-945a-a821dee614d6" ] }, { "id" : "ITEM-4", "itemData" : { "DOI" : "10.1016/j.gaitpost.2013.05.002", "ISSN" : "09666362", "PMID" : "23726429", "abstract" : "Falls have major consequences both at societal (health-care and economy) and individual (physical and psychological) levels. Questionnaires to assess fall risk are commonly used in the clinic, but their predictive value is limited. Objective methods, suitable for clinical application, are hence needed to obtain a quantitative assessment of individual fall risk. Falls in older adults often occur during walking and trunk position is known to play a critical role in balance control. Therefore, analysis of trunk kinematics during gait could present a viable approach to the development of such methods. In this study, nonlinear measures such as harmonic ratio (HR), index of harmonicity (IH), multiscale entropy (MSE) and recurrence quantification analysis (RQA) of trunk accelerations were calculated. These measures are not dependent on step detection, a potentially critical source of error. The aim of the present study was to investigate the association between the aforementioned measures and fall history in a large sample of subjects (42 fallers and 89 non - fallers) aged 50 or older. Univariate associations with fall history were found for MSE and RQA parameters in the AP direction; the best classification results were obtained for MSE with scale factor \u03c4 = 2 and for maximum length of diagonals in RQA (72.5% and 71% correct classifications, respectively). MSE and RQA were found to be positively associated with fall history and could hence represent useful tools in the identification of subjects for fall prevention programs.", "author" : [ { "dropping-particle" : "", "family" : "Riva", "given" : "F.", "non-dropping-particle" : "", "parse-names" : false, "suffix" : "" }, { "dropping-particle" : "", "family" : "Toebes", "given" : "M.J.P.", "non-dropping-particle" : "", "parse-names" : false, "suffix" : "" }, { "dropping-particle" : "", "family" : "Pijnappels", "given" : "M.", "non-dropping-particle" : "", "parse-names" : false, "suffix" : "" }, { "dropping-particle" : "", "family" : "Stagni", "given" : "R.", "non-dropping-particle" : "", "parse-names" : false, "suffix" : "" }, { "dropping-particle" : "", "family" : "Die\u00ebn", "given" : "J.H.", "non-dropping-particle" : "van", "parse-names" : false, "suffix" : "" } ], "container-title" : "Gait &amp; Posture", "id" : "ITEM-4", "issue" : "2", "issued" : { "date-parts" : [ [ "2013", "6" ] ] }, "page" : "170-174", "title" : "Estimating fall risk with inertial sensors using gait stability measures that do not require step detection", "type" : "article-journal", "volume" : "38" }, "uris" : [ "http://www.mendeley.com/documents/?uuid=523c74c9-83f1-399d-ac1d-440bbef52217" ] } ], "mendeley" : { "formattedCitation" : "(46\u201349)", "plainTextFormattedCitation" : "(46\u201349)", "previouslyFormattedCitation" : "(45\u201348)" }, "properties" : { "noteIndex" : 0 }, "schema" : "https://github.com/citation-style-language/schema/raw/master/csl-citation.json" }</w:instrText>
      </w:r>
      <w:r w:rsidRPr="008D11B7">
        <w:rPr>
          <w:color w:val="000000" w:themeColor="text1"/>
        </w:rPr>
        <w:fldChar w:fldCharType="separate"/>
      </w:r>
      <w:r w:rsidRPr="002A3619">
        <w:rPr>
          <w:noProof/>
          <w:color w:val="000000" w:themeColor="text1"/>
        </w:rPr>
        <w:t>(46–49)</w:t>
      </w:r>
      <w:r w:rsidRPr="008D11B7">
        <w:rPr>
          <w:color w:val="000000" w:themeColor="text1"/>
        </w:rPr>
        <w:fldChar w:fldCharType="end"/>
      </w:r>
      <w:r w:rsidRPr="008D11B7">
        <w:rPr>
          <w:color w:val="000000" w:themeColor="text1"/>
        </w:rPr>
        <w:t xml:space="preserve">. </w:t>
      </w:r>
      <w:r>
        <w:rPr>
          <w:color w:val="000000" w:themeColor="text1"/>
        </w:rPr>
        <w:t>Further</w:t>
      </w:r>
      <w:r w:rsidRPr="008D11B7">
        <w:rPr>
          <w:color w:val="000000" w:themeColor="text1"/>
        </w:rPr>
        <w:t xml:space="preserve">, </w:t>
      </w:r>
      <w:r>
        <w:rPr>
          <w:color w:val="000000" w:themeColor="text1"/>
        </w:rPr>
        <w:t xml:space="preserve">within in-lab settings, </w:t>
      </w:r>
      <w:r w:rsidRPr="008D11B7">
        <w:rPr>
          <w:color w:val="000000" w:themeColor="text1"/>
        </w:rPr>
        <w:t>it has been demonstrated that gait irregularity can differ between non-frail and pre-frail older adults</w:t>
      </w:r>
      <w:r>
        <w:rPr>
          <w:color w:val="000000" w:themeColor="text1"/>
        </w:rPr>
        <w:t xml:space="preserve"> </w:t>
      </w:r>
      <w:r>
        <w:rPr>
          <w:color w:val="000000" w:themeColor="text1"/>
        </w:rPr>
        <w:fldChar w:fldCharType="begin" w:fldLock="1"/>
      </w:r>
      <w:r>
        <w:rPr>
          <w:color w:val="000000" w:themeColor="text1"/>
        </w:rPr>
        <w:instrText>ADDIN CSL_CITATION { "citationItems" : [ { "id" : "ITEM-1", "itemData" : { "DOI" : "10.1111/ggi.13492", "ISSN" : "14441586", "PMID" : "30105810", "abstract" : "AIM Smart bracelets are popular today. Based on their built-in motion sensors, they can serve as a cost-effective method of gait assessment in home-based care. Few studies have applied smart bracelets in the gait assessment of older Chinese adults. The present study aimed to: (i) establish reference gait parameters of older Chinese adults using smart bracelets under single and dual task; and (ii) explore the differences in gait parameters among non-frail and pre-frail Chinese older adults. METHODS A total of 50 community-dwelling older Chinese adults aged \u226550\u2009years wore a smart bracelet sensor in the L3 region of the back and underwent a 10-m walking test under single- and dual-task conditions. Participants were preliminarily classified into non-frail and pre-frail groups based on the Fatigue, Resistance, Ambulation, Illnesses and Loss of Weight scale. Gait parameters including average walking speed, step frequency, root mean square (RMS), acceleration amplitude variability, step variability, step regularity and step symmetry were calculated based on the data exported from the bracelet. RESULTS Multivariate analysis of covariance (mancova) analysis showed that older adults had significantly decreased speed and step frequency (P\u2009&lt;\u20090.05) under the dual cognitive task condition. Pre-frail older adults showed significantly decreased speed, mediolateral RMS, vertical RMS, anteroposterior RMS, vertical amplitude variability and vertical step regularity compared with non-frail older adults (P\u2009&lt;\u20090.05). CONCLUSIONS The present study suggested that the decline in gait parameters as a result of frailty could be detected by the smart bracelet sensor. Geriatr Gerontol Int 2018; 18: 1366-1371.", "author" : [ { "dropping-particle" : "", "family" : "Zhong", "given" : "Runting", "non-dropping-particle" : "", "parse-names" : false, "suffix" : "" }, { "dropping-particle" : "", "family" : "Rau", "given" : "Pei-Luen Patrick", "non-dropping-particle" : "", "parse-names" : false, "suffix" : "" }, { "dropping-particle" : "", "family" : "Yan", "given" : "Xinghui", "non-dropping-particle" : "", "parse-names" : false, "suffix" : "" } ], "container-title" : "Geriatrics &amp; Gerontology International", "id" : "ITEM-1", "issue" : "9", "issued" : { "date-parts" : [ [ "2018", "9" ] ] }, "page" : "1366-1371", "title" : "Application of smart bracelet to monitor frailty-related gait parameters of older Chinese adults: A preliminary study", "type" : "article-journal", "volume" : "18" }, "uris" : [ "http://www.mendeley.com/documents/?uuid=a737856b-35bc-4a6e-9046-6a6d66f250cb" ] } ], "mendeley" : { "formattedCitation" : "(21)", "plainTextFormattedCitation" : "(21)", "previouslyFormattedCitation" : "(20)" }, "properties" : { "noteIndex" : 0 }, "schema" : "https://github.com/citation-style-language/schema/raw/master/csl-citation.json" }</w:instrText>
      </w:r>
      <w:r>
        <w:rPr>
          <w:color w:val="000000" w:themeColor="text1"/>
        </w:rPr>
        <w:fldChar w:fldCharType="separate"/>
      </w:r>
      <w:r w:rsidRPr="002A3619">
        <w:rPr>
          <w:noProof/>
          <w:color w:val="000000" w:themeColor="text1"/>
        </w:rPr>
        <w:t>(21)</w:t>
      </w:r>
      <w:r>
        <w:rPr>
          <w:color w:val="000000" w:themeColor="text1"/>
        </w:rPr>
        <w:fldChar w:fldCharType="end"/>
      </w:r>
      <w:r w:rsidRPr="008D11B7">
        <w:rPr>
          <w:color w:val="000000" w:themeColor="text1"/>
        </w:rPr>
        <w:t xml:space="preserve">. </w:t>
      </w:r>
      <w:r>
        <w:rPr>
          <w:color w:val="000000" w:themeColor="text1"/>
        </w:rPr>
        <w:t>We used Sample Entropy (</w:t>
      </w:r>
      <w:proofErr w:type="spellStart"/>
      <w:r>
        <w:rPr>
          <w:color w:val="000000" w:themeColor="text1"/>
        </w:rPr>
        <w:t>SampEn</w:t>
      </w:r>
      <w:proofErr w:type="spellEnd"/>
      <w:r>
        <w:rPr>
          <w:color w:val="000000" w:themeColor="text1"/>
        </w:rPr>
        <w:t xml:space="preserve">) assessment defined as equation (2), where </w:t>
      </w:r>
      <m:oMath>
        <m:r>
          <w:rPr>
            <w:rFonts w:ascii="Cambria Math" w:eastAsiaTheme="minorEastAsia" w:hAnsi="Cambria Math" w:cs="Arial"/>
            <w:color w:val="000000" w:themeColor="text1"/>
          </w:rPr>
          <m:t>A</m:t>
        </m:r>
      </m:oMath>
      <w:r w:rsidRPr="00525FED">
        <w:rPr>
          <w:color w:val="000000" w:themeColor="text1"/>
        </w:rPr>
        <w:t xml:space="preserve"> </w:t>
      </w:r>
      <w:r>
        <w:rPr>
          <w:color w:val="000000" w:themeColor="text1"/>
        </w:rPr>
        <w:t>was defined as the number of matches in the filtered acceleration signal</w:t>
      </w:r>
      <w:r w:rsidRPr="00525FED">
        <w:rPr>
          <w:color w:val="000000" w:themeColor="text1"/>
        </w:rPr>
        <w:t xml:space="preserve"> length </w:t>
      </w:r>
      <m:oMath>
        <m:r>
          <w:rPr>
            <w:rFonts w:ascii="Cambria Math" w:eastAsiaTheme="minorEastAsia" w:hAnsi="Cambria Math" w:cs="Arial"/>
            <w:color w:val="000000" w:themeColor="text1"/>
          </w:rPr>
          <m:t>m+1</m:t>
        </m:r>
      </m:oMath>
      <w:r w:rsidRPr="00525FED">
        <w:rPr>
          <w:color w:val="000000" w:themeColor="text1"/>
        </w:rPr>
        <w:t xml:space="preserve"> (distance function smaller than tolerance </w:t>
      </w:r>
      <m:oMath>
        <m:r>
          <w:rPr>
            <w:rFonts w:ascii="Cambria Math" w:hAnsi="Cambria Math"/>
            <w:color w:val="000000" w:themeColor="text1"/>
          </w:rPr>
          <m:t>r:</m:t>
        </m:r>
      </m:oMath>
      <w:r w:rsidRPr="00525FED">
        <w:rPr>
          <w:color w:val="000000" w:themeColor="text1"/>
        </w:rPr>
        <w:t xml:space="preserve"> </w:t>
      </w:r>
      <m:oMath>
        <m:r>
          <w:rPr>
            <w:rFonts w:ascii="Cambria Math" w:eastAsiaTheme="minorEastAsia" w:hAnsi="Cambria Math" w:cs="Arial"/>
            <w:color w:val="000000" w:themeColor="text1"/>
          </w:rPr>
          <m:t>d</m:t>
        </m:r>
        <m:d>
          <m:dPr>
            <m:begChr m:val="["/>
            <m:endChr m:val="]"/>
            <m:ctrlPr>
              <w:rPr>
                <w:rFonts w:ascii="Cambria Math" w:eastAsiaTheme="minorEastAsia" w:hAnsi="Cambria Math" w:cs="Arial"/>
                <w:i/>
                <w:color w:val="000000" w:themeColor="text1"/>
              </w:rPr>
            </m:ctrlPr>
          </m:dPr>
          <m:e>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m+1</m:t>
                </m:r>
              </m:sub>
            </m:sSub>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i</m:t>
                </m:r>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m+1</m:t>
                </m:r>
              </m:sub>
            </m:sSub>
            <m:r>
              <w:rPr>
                <w:rFonts w:ascii="Cambria Math" w:eastAsiaTheme="minorEastAsia" w:hAnsi="Cambria Math" w:cs="Arial"/>
                <w:color w:val="000000" w:themeColor="text1"/>
              </w:rPr>
              <m:t>(j)</m:t>
            </m:r>
          </m:e>
        </m:d>
        <m:r>
          <w:rPr>
            <w:rFonts w:ascii="Cambria Math" w:eastAsiaTheme="minorEastAsia" w:hAnsi="Cambria Math" w:cs="Arial"/>
            <w:color w:val="000000" w:themeColor="text1"/>
          </w:rPr>
          <m:t>&lt;r</m:t>
        </m:r>
      </m:oMath>
      <w:r w:rsidRPr="00525FED">
        <w:rPr>
          <w:rFonts w:ascii="Arial" w:eastAsiaTheme="minorEastAsia" w:hAnsi="Arial" w:cs="Arial"/>
          <w:color w:val="000000" w:themeColor="text1"/>
        </w:rPr>
        <w:t>)</w:t>
      </w:r>
      <w:r w:rsidRPr="00525FED">
        <w:rPr>
          <w:color w:val="000000" w:themeColor="text1"/>
        </w:rPr>
        <w:t xml:space="preserve"> and </w:t>
      </w:r>
      <m:oMath>
        <m:r>
          <w:rPr>
            <w:rFonts w:ascii="Cambria Math" w:eastAsiaTheme="minorEastAsia" w:hAnsi="Cambria Math" w:cs="Arial"/>
            <w:color w:val="000000" w:themeColor="text1"/>
          </w:rPr>
          <m:t>B</m:t>
        </m:r>
      </m:oMath>
      <w:r w:rsidRPr="00525FED">
        <w:rPr>
          <w:color w:val="000000" w:themeColor="text1"/>
        </w:rPr>
        <w:t xml:space="preserve"> as the number of matches of length </w:t>
      </w:r>
      <m:oMath>
        <m:r>
          <w:rPr>
            <w:rFonts w:ascii="Cambria Math" w:eastAsiaTheme="minorEastAsia" w:hAnsi="Cambria Math" w:cs="Arial"/>
            <w:color w:val="000000" w:themeColor="text1"/>
          </w:rPr>
          <m:t>m:</m:t>
        </m:r>
      </m:oMath>
      <w:r w:rsidRPr="00525FED">
        <w:rPr>
          <w:color w:val="000000" w:themeColor="text1"/>
        </w:rPr>
        <w:t xml:space="preserve"> </w:t>
      </w:r>
      <w:r w:rsidRPr="00525FED">
        <w:rPr>
          <w:rFonts w:ascii="Arial" w:eastAsiaTheme="minorEastAsia" w:hAnsi="Arial" w:cs="Arial"/>
          <w:color w:val="000000" w:themeColor="text1"/>
        </w:rPr>
        <w:t>(</w:t>
      </w:r>
      <m:oMath>
        <m:r>
          <w:rPr>
            <w:rFonts w:ascii="Cambria Math" w:eastAsiaTheme="minorEastAsia" w:hAnsi="Cambria Math" w:cs="Arial"/>
            <w:color w:val="000000" w:themeColor="text1"/>
          </w:rPr>
          <m:t>d</m:t>
        </m:r>
        <m:d>
          <m:dPr>
            <m:begChr m:val="["/>
            <m:endChr m:val="]"/>
            <m:ctrlPr>
              <w:rPr>
                <w:rFonts w:ascii="Cambria Math" w:eastAsiaTheme="minorEastAsia" w:hAnsi="Cambria Math" w:cs="Arial"/>
                <w:i/>
                <w:color w:val="000000" w:themeColor="text1"/>
              </w:rPr>
            </m:ctrlPr>
          </m:dPr>
          <m:e>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m</m:t>
                </m:r>
              </m:sub>
            </m:sSub>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i</m:t>
                </m:r>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m</m:t>
                </m:r>
              </m:sub>
            </m:sSub>
            <m:r>
              <w:rPr>
                <w:rFonts w:ascii="Cambria Math" w:eastAsiaTheme="minorEastAsia" w:hAnsi="Cambria Math" w:cs="Arial"/>
                <w:color w:val="000000" w:themeColor="text1"/>
              </w:rPr>
              <m:t>(j)</m:t>
            </m:r>
          </m:e>
        </m:d>
        <m:r>
          <w:rPr>
            <w:rFonts w:ascii="Cambria Math" w:eastAsiaTheme="minorEastAsia" w:hAnsi="Cambria Math" w:cs="Arial"/>
            <w:color w:val="000000" w:themeColor="text1"/>
          </w:rPr>
          <m:t>&lt;r</m:t>
        </m:r>
      </m:oMath>
      <w:r w:rsidRPr="00525FED">
        <w:rPr>
          <w:rFonts w:ascii="Arial" w:eastAsiaTheme="minorEastAsia" w:hAnsi="Arial" w:cs="Arial"/>
          <w:color w:val="000000" w:themeColor="text1"/>
        </w:rPr>
        <w:t>)</w:t>
      </w:r>
      <w:r>
        <w:rPr>
          <w:rFonts w:ascii="Arial" w:eastAsiaTheme="minorEastAsia" w:hAnsi="Arial" w:cs="Arial"/>
          <w:color w:val="000000" w:themeColor="text1"/>
        </w:rPr>
        <w:t xml:space="preserve"> </w:t>
      </w:r>
      <w:r>
        <w:rPr>
          <w:color w:val="000000" w:themeColor="text1"/>
        </w:rPr>
        <w:fldChar w:fldCharType="begin" w:fldLock="1"/>
      </w:r>
      <w:r>
        <w:rPr>
          <w:color w:val="000000" w:themeColor="text1"/>
        </w:rPr>
        <w:instrText>ADDIN CSL_CITATION { "citationItems" : [ { "id" : "ITEM-1", "itemData" : { "DOI" : "10.1007/s10439-012-0668-3", "ISSN" : "0090-6964", "PMID" : "23064819", "abstract" : "Approximate entropy (ApEn) and sample entropy (SampEn) are mathematical algorithms created to measure the repeatability or predictability within a time series. Both algorithms are extremely sensitive to their input parameters: m (length of the data segment being compared), r (similarity criterion), and N (length of data). There is no established consensus on parameter selection in short data sets, especially for biological data. Therefore, the purpose of this research was to examine the robustness of these two entropy algorithms by exploring the effect of changing parameter values on short data sets. Data with known theoretical entropy qualities as well as experimental data from both healthy young and older adults was utilized. Our results demonstrate that both ApEn and SampEn are extremely sensitive to parameter choices, especially for very short data sets, N\u00a0\u2264\u00a0200. We suggest using N larger than 200, an m of 2 and examine several r values before selecting your parameters. Extreme caution should be used when choosing parameters for experimental studies with both algorithms. Based on our current findings, it appears that SampEn is more reliable for short data sets. SampEn was less sensitive to changes in data length and demonstrated fewer problems with relative consistency.", "author" : [ { "dropping-particle" : "", "family" : "Yentes", "given" : "Jennifer M.", "non-dropping-particle" : "", "parse-names" : false, "suffix" : "" }, { "dropping-particle" : "", "family" : "Hunt", "given" : "Nathaniel", "non-dropping-particle" : "", "parse-names" : false, "suffix" : "" }, { "dropping-particle" : "", "family" : "Schmid", "given" : "Kendra K.", "non-dropping-particle" : "", "parse-names" : false, "suffix" : "" }, { "dropping-particle" : "", "family" : "Kaipust", "given" : "Jeffrey P.", "non-dropping-particle" : "", "parse-names" : false, "suffix" : "" }, { "dropping-particle" : "", "family" : "McGrath", "given" : "Denise", "non-dropping-particle" : "", "parse-names" : false, "suffix" : "" }, { "dropping-particle" : "", "family" : "Stergiou", "given" : "Nicholas", "non-dropping-particle" : "", "parse-names" : false, "suffix" : "" } ], "container-title" : "Annals of Biomedical Engineering", "id" : "ITEM-1", "issue" : "2", "issued" : { "date-parts" : [ [ "2013", "2", "12" ] ] }, "page" : "349-365", "title" : "The Appropriate Use of Approximate Entropy and Sample Entropy with Short Data Sets", "type" : "article-journal", "volume" : "41" }, "uris" : [ "http://www.mendeley.com/documents/?uuid=23858f41-0972-3a18-b945-81bf842d8794" ] }, { "id" : "ITEM-2", "itemData" : { "DOI" : "10.1371/journal.pone.0218594", "ISSN" : "1932-6203", "PMID" : "31226152", "abstract" : "Gait variability is a sensitive metric for assessing functional deficits in individuals with mobility impairments. To correctly represent the temporal evolution of gait kinematics, nonlinear measures require extended and uninterrupted time series. In this study, we present and validate a novel algorithm for concatenating multiple time-series in order to allow the nonlinear analysis of gait data from standard and unrestricted overground walking protocols. The full-body gait patterns of twenty healthy subjects were captured during five walking trials (at least 5 minutes) on a treadmill under different weight perturbation conditions. The collected time series were cut into multiple shorter time series of varying lengths and subsequently concatenated using a novel algorithm that identifies similar poses in successive time series in order to determine an optimal concatenation time point. After alignment of the datasets, the approach then concatenated the data to provide a smooth transition. Nonlinear measures to assess stability (Largest Lyapunov Exponent, LyE) and regularity (Sample Entropy, SE) were calculated in order to quantify the efficacy of the concatenation approach using intra-class correlation coefficients, standard error of measurement and paired effect sizes. Our results indicate overall good agreement between the full uninterrupted and the concatenated time series for LyE. However, SE was more sensitive to the proposed concatenation algorithm and might lead to false interpretation of physiological gait signals. This approach opens perspectives for analysis of dynamic stability of gait data from physiological overground walking protocols, but also the re-processing and estimation of nonlinear metrics from previously collected datasets.", "author" : [ { "dropping-particle" : "", "family" : "Orter", "given" : "Stefan", "non-dropping-particle" : "", "parse-names" : false, "suffix" : "" }, { "dropping-particle" : "", "family" : "Ravi", "given" : "Deepak K", "non-dropping-particle" : "", "parse-names" : false, "suffix" : "" }, { "dropping-particle" : "", "family" : "Singh", "given" : "Navrag B", "non-dropping-particle" : "", "parse-names" : false, "suffix" : "" }, { "dropping-particle" : "", "family" : "Vogl", "given" : "Florian", "non-dropping-particle" : "", "parse-names" : false, "suffix" : "" }, { "dropping-particle" : "", "family" : "Taylor", "given" : "William R", "non-dropping-particle" : "", "parse-names" : false, "suffix" : "" }, { "dropping-particle" : "", "family" : "K\u00f6nig Ignasiak", "given" : "Niklas", "non-dropping-particle" : "", "parse-names" : false, "suffix" : "" } ], "container-title" : "PloS one", "id" : "ITEM-2", "issue" : "6", "issued" : { "date-parts" : [ [ "2019" ] ] }, "page" : "e0218594", "publisher" : "Public Library of Science", "title" : "A method to concatenate multiple short time series for evaluating dynamic behaviour during walking.", "type" : "article-journal", "volume" : "14" }, "uris" : [ "http://www.mendeley.com/documents/?uuid=251506ab-7c2d-3821-9f3f-3fb9655df96d" ] }, { "id" : "ITEM-3", "itemData" : { "DOI" : "10.3390/e20100764", "ISSN" : "1099-4300", "PMID" : "30853788", "abstract" : "Sample entropy (SE) has relative consistency using biologically-derived, discrete data &gt;500 data points. For certain populations, collecting this quantity is not feasible and continuous data has been used. The effect of using continuous versus discrete data on SE is unknown, nor are the relative effects of sampling rate and input parameters m (comparison vector length) and r (tolerance). Eleven subjects walked for 10-minutes and continuous joint angles (480Hz) were calculated for each lower-extremity joint. Data were downsampled (240, 120, 60Hz) and discrete range-of-motion was calculated. SE was quantified for angles and range-of-motion at all sampling rates and multiple combinations of parameters. A differential relationship between joints was observed between range-of-motion and joint angles. Range-of-motion SE showed no difference; whereas, joint angle SE significantly decreased from ankle to knee to hip. To confirm findings from biological data, continuous signals with manipulations to frequency, amplitude, and both were generated and underwent similar analysis to the biological data. In general, changes to m, r, and sampling rate had a greater effect on continuous compared to discrete data. Discrete data was robust to sampling rate and m. It is recommended that different data types not be compared and discrete data be used for SE.", "author" : [ { "dropping-particle" : "", "family" : "McCamley", "given" : "John D", "non-dropping-particle" : "", "parse-names" : false, "suffix" : "" }, { "dropping-particle" : "", "family" : "Denton", "given" : "William", "non-dropping-particle" : "", "parse-names" : false, "suffix" : "" }, { "dropping-particle" : "", "family" : "Arnold", "given" : "Andrew", "non-dropping-particle" : "", "parse-names" : false, "suffix" : "" }, { "dropping-particle" : "", "family" : "Raffalt", "given" : "Peter C", "non-dropping-particle" : "", "parse-names" : false, "suffix" : "" }, { "dropping-particle" : "", "family" : "Yentes", "given" : "Jennifer M", "non-dropping-particle" : "", "parse-names" : false, "suffix" : "" } ], "container-title" : "Entropy (Basel, Switzerland)", "id" : "ITEM-3", "issue" : "10", "issued" : { "date-parts" : [ [ "2018", "10" ] ] }, "publisher" : "NIH Public Access", "title" : "On the calculation of sample entropy using continuous and discrete human gait data.", "type" : "article-journal", "volume" : "20" }, "uris" : [ "http://www.mendeley.com/documents/?uuid=a887155c-41c0-335d-9b88-9a30258b7919" ] }, { "id" : "ITEM-4", "itemData" : { "DOI" : "10.1007/s11517-018-1920-2", "ISSN" : "0140-0118", "author" : [ { "dropping-particle" : "", "family" : "Raffalt", "given" : "Peter C.", "non-dropping-particle" : "", "parse-names" : false, "suffix" : "" }, { "dropping-particle" : "", "family" : "McCamley", "given" : "John", "non-dropping-particle" : "", "parse-names" : false, "suffix" : "" }, { "dropping-particle" : "", "family" : "Denton", "given" : "William", "non-dropping-particle" : "", "parse-names" : false, "suffix" : "" }, { "dropping-particle" : "", "family" : "Yentes", "given" : "Jennifer M.", "non-dropping-particle" : "", "parse-names" : false, "suffix" : "" } ], "container-title" : "Medical &amp; Biological Engineering &amp; Computing", "id" : "ITEM-4", "issue" : "4", "issued" : { "date-parts" : [ [ "2019", "4", "3" ] ] }, "page" : "759-764", "publisher" : "Springer Berlin Heidelberg", "title" : "Sampling frequency influences sample entropy of kinematics during walking", "type" : "article-journal", "volume" : "57" }, "uris" : [ "http://www.mendeley.com/documents/?uuid=06fa8ae8-001e-3d52-85fa-7f69cf8fdd8e" ] }, { "id" : "ITEM-5", "itemData" : { "DOI" : "10.3390/s19092204", "ISSN" : "1424-8220", "PMID" : "31086054", "abstract" : "Treadmills are widely used to recover walking function in the rehabilitation field for those patients with gait disorders. Nevertheless, the ultimate goal of walking function recovery is to walk on the ground rather than on the treadmill. This study aims to determine the effect of treadmill walking on gait and upper trunk movement characteristics using wearable sensors. Eight healthy male subjects are recruited to perform 420-m straight overground walking (OW) and 5 min treadmill walking (TW), wearing 3 inertial measurement units and a pair of insole sensors. In addition to common linear features, nonlinear features, which contains sample entropy, maximal Lyapunov exponent and fractal dynamic of stride intervals (detrended fluctuation analysis), are used to compare the difference between TW and OW condition. Canonical correlation analysis is also used to indicate the correlation between upper trunk movement characteristics and gait features in the aspects of spatiotemporal parameters and gait dynamic features. The experimental results show that the treadmill can cause a shorter stride length, less stride time and worsen long-range correlation of stride intervals. And the treadmill can significantly increase the stability for both gait and upper trunk, while it can significantly reduce gait regularity during swing phase. Canonical correlation analysis results show that treadmill can reduce the correlation between gait and upper trunk features. One possible interpretation of these results is that people tend to walk more cautiously to prevent the risk of falling and neglect the coordination between gait and upper trunk when walking on the treadmill. This study can provide fundamental insightful information about the effect of treadmill walking on gait and upper trunk to support future similar studies.", "author" : [ { "dropping-particle" : "", "family" : "Shi", "given" : "Liang", "non-dropping-particle" : "", "parse-names" : false, "suffix" : "" }, { "dropping-particle" : "", "family" : "Duan", "given" : "Feng", "non-dropping-particle" : "", "parse-names" : false, "suffix" : "" }, { "dropping-particle" : "", "family" : "Yang", "given" : "Yikang", "non-dropping-particle" : "", "parse-names" : false, "suffix" : "" }, { "dropping-particle" : "", "family" : "Sun", "given" : "Zhe", "non-dropping-particle" : "", "parse-names" : false, "suffix" : "" } ], "container-title" : "Sensors (Basel, Switzerland)", "id" : "ITEM-5", "issue" : "9", "issued" : { "date-parts" : [ [ "2019", "5", "13" ] ] }, "publisher" : "Multidisciplinary Digital Publishing Institute  (MDPI)", "title" : "The Effect of Treadmill Walking on Gait and Upper Trunk through Linear and Nonlinear Analysis Methods.", "type" : "article-journal", "volume" : "19" }, "uris" : [ "http://www.mendeley.com/documents/?uuid=c827d96c-4ecf-3471-8ef7-523b89396f52" ] } ], "mendeley" : { "formattedCitation" : "(50\u201354)", "plainTextFormattedCitation" : "(50\u201354)", "previouslyFormattedCitation" : "(49\u201353)" }, "properties" : { "noteIndex" : 0 }, "schema" : "https://github.com/citation-style-language/schema/raw/master/csl-citation.json" }</w:instrText>
      </w:r>
      <w:r>
        <w:rPr>
          <w:color w:val="000000" w:themeColor="text1"/>
        </w:rPr>
        <w:fldChar w:fldCharType="separate"/>
      </w:r>
      <w:r w:rsidRPr="002A3619">
        <w:rPr>
          <w:noProof/>
          <w:color w:val="000000" w:themeColor="text1"/>
        </w:rPr>
        <w:t>(50–54)</w:t>
      </w:r>
      <w:r>
        <w:rPr>
          <w:color w:val="000000" w:themeColor="text1"/>
        </w:rPr>
        <w:fldChar w:fldCharType="end"/>
      </w:r>
      <w:r>
        <w:rPr>
          <w:rFonts w:ascii="Arial" w:eastAsiaTheme="minorEastAsia" w:hAnsi="Arial" w:cs="Arial"/>
          <w:color w:val="000000" w:themeColor="text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4680"/>
        <w:gridCol w:w="2425"/>
      </w:tblGrid>
      <w:tr w:rsidR="00B63AD3" w14:paraId="1EBBC737" w14:textId="77777777" w:rsidTr="0039347F">
        <w:tc>
          <w:tcPr>
            <w:tcW w:w="2245" w:type="dxa"/>
            <w:vAlign w:val="center"/>
          </w:tcPr>
          <w:p w14:paraId="21C894E7" w14:textId="77777777" w:rsidR="00B63AD3" w:rsidRDefault="00B63AD3" w:rsidP="0039347F">
            <w:pPr>
              <w:pStyle w:val="ListParagraph"/>
              <w:spacing w:line="480" w:lineRule="auto"/>
              <w:ind w:left="0"/>
              <w:jc w:val="right"/>
              <w:rPr>
                <w:rFonts w:ascii="Times New Roman" w:hAnsi="Times New Roman" w:cs="Times New Roman"/>
                <w:color w:val="000000" w:themeColor="text1"/>
              </w:rPr>
            </w:pPr>
          </w:p>
        </w:tc>
        <w:tc>
          <w:tcPr>
            <w:tcW w:w="4680" w:type="dxa"/>
            <w:vAlign w:val="center"/>
          </w:tcPr>
          <w:p w14:paraId="27052521" w14:textId="77777777" w:rsidR="00B63AD3" w:rsidRDefault="00B63AD3" w:rsidP="0039347F">
            <w:pPr>
              <w:pStyle w:val="ListParagraph"/>
              <w:spacing w:line="480" w:lineRule="auto"/>
              <w:ind w:left="0"/>
              <w:jc w:val="both"/>
              <w:rPr>
                <w:rFonts w:ascii="Times New Roman" w:hAnsi="Times New Roman" w:cs="Times New Roman"/>
                <w:color w:val="000000" w:themeColor="text1"/>
              </w:rPr>
            </w:pPr>
            <m:oMathPara>
              <m:oMath>
                <m:r>
                  <w:rPr>
                    <w:rFonts w:ascii="Cambria Math" w:hAnsi="Cambria Math" w:cs="Arial"/>
                    <w:sz w:val="20"/>
                  </w:rPr>
                  <m:t>SampEn=-</m:t>
                </m:r>
                <m:func>
                  <m:funcPr>
                    <m:ctrlPr>
                      <w:rPr>
                        <w:rFonts w:ascii="Cambria Math" w:hAnsi="Cambria Math" w:cs="Arial"/>
                        <w:sz w:val="20"/>
                      </w:rPr>
                    </m:ctrlPr>
                  </m:funcPr>
                  <m:fName>
                    <m:r>
                      <m:rPr>
                        <m:sty m:val="p"/>
                      </m:rPr>
                      <w:rPr>
                        <w:rFonts w:ascii="Cambria Math" w:hAnsi="Cambria Math" w:cs="Arial"/>
                        <w:sz w:val="20"/>
                      </w:rPr>
                      <m:t>log</m:t>
                    </m:r>
                    <m:ctrlPr>
                      <w:rPr>
                        <w:rFonts w:ascii="Cambria Math" w:hAnsi="Cambria Math" w:cs="Arial"/>
                        <w:i/>
                        <w:sz w:val="20"/>
                      </w:rPr>
                    </m:ctrlPr>
                  </m:fName>
                  <m:e>
                    <m:d>
                      <m:dPr>
                        <m:ctrlPr>
                          <w:rPr>
                            <w:rFonts w:ascii="Cambria Math" w:hAnsi="Cambria Math" w:cs="Arial"/>
                            <w:i/>
                            <w:sz w:val="20"/>
                          </w:rPr>
                        </m:ctrlPr>
                      </m:dPr>
                      <m:e>
                        <m:f>
                          <m:fPr>
                            <m:ctrlPr>
                              <w:rPr>
                                <w:rFonts w:ascii="Cambria Math" w:hAnsi="Cambria Math" w:cs="Arial"/>
                                <w:i/>
                                <w:sz w:val="20"/>
                              </w:rPr>
                            </m:ctrlPr>
                          </m:fPr>
                          <m:num>
                            <m:d>
                              <m:dPr>
                                <m:ctrlPr>
                                  <w:rPr>
                                    <w:rFonts w:ascii="Cambria Math" w:hAnsi="Cambria Math" w:cs="Arial"/>
                                    <w:i/>
                                    <w:sz w:val="20"/>
                                  </w:rPr>
                                </m:ctrlPr>
                              </m:dPr>
                              <m:e>
                                <m:nary>
                                  <m:naryPr>
                                    <m:chr m:val="∑"/>
                                    <m:limLoc m:val="subSup"/>
                                    <m:ctrlPr>
                                      <w:rPr>
                                        <w:rFonts w:ascii="Cambria Math" w:hAnsi="Cambria Math" w:cs="Arial"/>
                                        <w:i/>
                                        <w:sz w:val="20"/>
                                      </w:rPr>
                                    </m:ctrlPr>
                                  </m:naryPr>
                                  <m:sub>
                                    <m:r>
                                      <w:rPr>
                                        <w:rFonts w:ascii="Cambria Math" w:hAnsi="Cambria Math" w:cs="Arial"/>
                                        <w:sz w:val="20"/>
                                      </w:rPr>
                                      <m:t>i=1</m:t>
                                    </m:r>
                                  </m:sub>
                                  <m:sup>
                                    <m:r>
                                      <w:rPr>
                                        <w:rFonts w:ascii="Cambria Math" w:hAnsi="Cambria Math" w:cs="Arial"/>
                                        <w:sz w:val="20"/>
                                      </w:rPr>
                                      <m:t>N-m</m:t>
                                    </m:r>
                                  </m:sup>
                                  <m:e>
                                    <m:sSub>
                                      <m:sSubPr>
                                        <m:ctrlPr>
                                          <w:rPr>
                                            <w:rFonts w:ascii="Cambria Math" w:hAnsi="Cambria Math" w:cs="Arial"/>
                                            <w:i/>
                                            <w:sz w:val="20"/>
                                          </w:rPr>
                                        </m:ctrlPr>
                                      </m:sSubPr>
                                      <m:e>
                                        <m:r>
                                          <w:rPr>
                                            <w:rFonts w:ascii="Cambria Math" w:hAnsi="Cambria Math" w:cs="Arial"/>
                                            <w:sz w:val="20"/>
                                          </w:rPr>
                                          <m:t>A</m:t>
                                        </m:r>
                                      </m:e>
                                      <m:sub>
                                        <m:r>
                                          <w:rPr>
                                            <w:rFonts w:ascii="Cambria Math" w:hAnsi="Cambria Math" w:cs="Arial"/>
                                            <w:sz w:val="20"/>
                                          </w:rPr>
                                          <m:t>i</m:t>
                                        </m:r>
                                      </m:sub>
                                    </m:sSub>
                                  </m:e>
                                </m:nary>
                              </m:e>
                            </m:d>
                          </m:num>
                          <m:den>
                            <m:d>
                              <m:dPr>
                                <m:ctrlPr>
                                  <w:rPr>
                                    <w:rFonts w:ascii="Cambria Math" w:hAnsi="Cambria Math" w:cs="Arial"/>
                                    <w:i/>
                                    <w:sz w:val="20"/>
                                  </w:rPr>
                                </m:ctrlPr>
                              </m:dPr>
                              <m:e>
                                <m:nary>
                                  <m:naryPr>
                                    <m:chr m:val="∑"/>
                                    <m:limLoc m:val="subSup"/>
                                    <m:ctrlPr>
                                      <w:rPr>
                                        <w:rFonts w:ascii="Cambria Math" w:hAnsi="Cambria Math" w:cs="Arial"/>
                                        <w:i/>
                                        <w:sz w:val="20"/>
                                      </w:rPr>
                                    </m:ctrlPr>
                                  </m:naryPr>
                                  <m:sub>
                                    <m:r>
                                      <w:rPr>
                                        <w:rFonts w:ascii="Cambria Math" w:hAnsi="Cambria Math" w:cs="Arial"/>
                                        <w:sz w:val="20"/>
                                      </w:rPr>
                                      <m:t>i=1</m:t>
                                    </m:r>
                                  </m:sub>
                                  <m:sup>
                                    <m:r>
                                      <w:rPr>
                                        <w:rFonts w:ascii="Cambria Math" w:hAnsi="Cambria Math" w:cs="Arial"/>
                                        <w:sz w:val="20"/>
                                      </w:rPr>
                                      <m:t>N-m</m:t>
                                    </m:r>
                                  </m:sup>
                                  <m:e>
                                    <m:sSub>
                                      <m:sSubPr>
                                        <m:ctrlPr>
                                          <w:rPr>
                                            <w:rFonts w:ascii="Cambria Math" w:hAnsi="Cambria Math" w:cs="Arial"/>
                                            <w:i/>
                                            <w:sz w:val="20"/>
                                          </w:rPr>
                                        </m:ctrlPr>
                                      </m:sSubPr>
                                      <m:e>
                                        <m:r>
                                          <w:rPr>
                                            <w:rFonts w:ascii="Cambria Math" w:hAnsi="Cambria Math" w:cs="Arial"/>
                                            <w:sz w:val="20"/>
                                          </w:rPr>
                                          <m:t>B</m:t>
                                        </m:r>
                                      </m:e>
                                      <m:sub>
                                        <m:r>
                                          <w:rPr>
                                            <w:rFonts w:ascii="Cambria Math" w:hAnsi="Cambria Math" w:cs="Arial"/>
                                            <w:sz w:val="20"/>
                                          </w:rPr>
                                          <m:t>i</m:t>
                                        </m:r>
                                      </m:sub>
                                    </m:sSub>
                                  </m:e>
                                </m:nary>
                              </m:e>
                            </m:d>
                          </m:den>
                        </m:f>
                      </m:e>
                    </m:d>
                  </m:e>
                </m:func>
                <m:r>
                  <w:rPr>
                    <w:rFonts w:ascii="Cambria Math" w:eastAsiaTheme="minorEastAsia" w:hAnsi="Cambria Math" w:cs="Arial"/>
                    <w:sz w:val="20"/>
                  </w:rPr>
                  <m:t>=-logA/B</m:t>
                </m:r>
              </m:oMath>
            </m:oMathPara>
          </w:p>
        </w:tc>
        <w:tc>
          <w:tcPr>
            <w:tcW w:w="2425" w:type="dxa"/>
            <w:vAlign w:val="center"/>
          </w:tcPr>
          <w:p w14:paraId="0B6E3A35" w14:textId="77777777" w:rsidR="00B63AD3" w:rsidRDefault="00B63AD3" w:rsidP="0039347F">
            <w:pPr>
              <w:pStyle w:val="ListParagraph"/>
              <w:spacing w:line="480" w:lineRule="auto"/>
              <w:ind w:left="0"/>
              <w:jc w:val="right"/>
              <w:rPr>
                <w:rFonts w:ascii="Times New Roman" w:hAnsi="Times New Roman" w:cs="Times New Roman"/>
                <w:color w:val="000000" w:themeColor="text1"/>
              </w:rPr>
            </w:pPr>
            <w:r>
              <w:rPr>
                <w:rFonts w:ascii="Times New Roman" w:hAnsi="Times New Roman" w:cs="Times New Roman"/>
                <w:color w:val="000000" w:themeColor="text1"/>
              </w:rPr>
              <w:t>(2)</w:t>
            </w:r>
          </w:p>
        </w:tc>
      </w:tr>
    </w:tbl>
    <w:p w14:paraId="24D65928" w14:textId="77777777" w:rsidR="00B63AD3" w:rsidRPr="00F10255" w:rsidRDefault="00B63AD3" w:rsidP="00B63AD3">
      <w:pPr>
        <w:pStyle w:val="NormalWeb"/>
        <w:shd w:val="clear" w:color="auto" w:fill="FFFFFF"/>
        <w:spacing w:before="0" w:beforeAutospacing="0" w:after="0" w:afterAutospacing="0" w:line="480" w:lineRule="auto"/>
        <w:jc w:val="both"/>
        <w:textAlignment w:val="baseline"/>
        <w:rPr>
          <w:color w:val="000000" w:themeColor="text1"/>
        </w:rPr>
      </w:pPr>
      <w:r>
        <w:rPr>
          <w:color w:val="000000" w:themeColor="text1"/>
        </w:rPr>
        <w:t xml:space="preserve">The time-delay of the signal was calculated using mutual information method for all the </w:t>
      </w:r>
      <w:r w:rsidRPr="007B2ADF">
        <w:rPr>
          <w:color w:val="000000" w:themeColor="text1"/>
        </w:rPr>
        <w:t xml:space="preserve">continuous </w:t>
      </w:r>
      <w:r>
        <w:rPr>
          <w:color w:val="000000" w:themeColor="text1"/>
        </w:rPr>
        <w:t xml:space="preserve">walks </w:t>
      </w:r>
      <w:r>
        <w:rPr>
          <w:color w:val="000000" w:themeColor="text1"/>
        </w:rPr>
        <w:fldChar w:fldCharType="begin" w:fldLock="1"/>
      </w:r>
      <w:r>
        <w:rPr>
          <w:color w:val="000000" w:themeColor="text1"/>
        </w:rPr>
        <w:instrText>ADDIN CSL_CITATION { "citationItems" : [ { "id" : "ITEM-1", "itemData" : { "DOI" : "10.1016/j.chaos.2012.03.003", "ISSN" : "0960-0779", "PMID" : "22536009", "abstract" : "A method to estimate the time-dependent correlation via an empirical bias estimate of the time-delayed mutual information for a time-series is proposed. In particular, the bias of the time-delayed mutual information is shown to often be equivalent to the mutual information between two distributions of points from the same system separated by infinite time. Thus intuitively, estimation of the bias is reduced to estimation of the mutual information between distributions of data points separated by large time intervals. The proposed bias estimation techniques are shown to work for Lorenz equations data and glucose time series data of three patients from the Columbia University Medical Center database.", "author" : [ { "dropping-particle" : "", "family" : "Albers", "given" : "D J", "non-dropping-particle" : "", "parse-names" : false, "suffix" : "" }, { "dropping-particle" : "", "family" : "Hripcsak", "given" : "George", "non-dropping-particle" : "", "parse-names" : false, "suffix" : "" } ], "container-title" : "Chaos, solitons, and fractals", "id" : "ITEM-1", "issue" : "6", "issued" : { "date-parts" : [ [ "2012", "6", "1" ] ] }, "page" : "853-860", "publisher" : "NIH Public Access", "title" : "Estimation of time-delayed mutual information and bias for irregularly and sparsely sampled time-series.", "type" : "article-journal", "volume" : "45" }, "uris" : [ "http://www.mendeley.com/documents/?uuid=0e76a0dc-4e9d-3f51-ab84-17c049463d2e" ] } ], "mendeley" : { "formattedCitation" : "(55)", "plainTextFormattedCitation" : "(55)", "previouslyFormattedCitation" : "(54)" }, "properties" : { "noteIndex" : 0 }, "schema" : "https://github.com/citation-style-language/schema/raw/master/csl-citation.json" }</w:instrText>
      </w:r>
      <w:r>
        <w:rPr>
          <w:color w:val="000000" w:themeColor="text1"/>
        </w:rPr>
        <w:fldChar w:fldCharType="separate"/>
      </w:r>
      <w:r w:rsidRPr="002A3619">
        <w:rPr>
          <w:noProof/>
          <w:color w:val="000000" w:themeColor="text1"/>
        </w:rPr>
        <w:t>(55)</w:t>
      </w:r>
      <w:r>
        <w:rPr>
          <w:color w:val="000000" w:themeColor="text1"/>
        </w:rPr>
        <w:fldChar w:fldCharType="end"/>
      </w:r>
      <w:r>
        <w:rPr>
          <w:color w:val="000000" w:themeColor="text1"/>
        </w:rPr>
        <w:t xml:space="preserve">, and the average time-delay of all the continuous walks was used to calculate the </w:t>
      </w:r>
      <w:proofErr w:type="spellStart"/>
      <w:r>
        <w:rPr>
          <w:color w:val="000000" w:themeColor="text1"/>
        </w:rPr>
        <w:t>SamplEn</w:t>
      </w:r>
      <w:proofErr w:type="spellEnd"/>
      <w:r w:rsidRPr="00640A5B">
        <w:rPr>
          <w:color w:val="000000" w:themeColor="text1"/>
        </w:rPr>
        <w:t xml:space="preserve"> </w:t>
      </w:r>
      <w:r>
        <w:rPr>
          <w:color w:val="000000" w:themeColor="text1"/>
        </w:rPr>
        <w:t xml:space="preserve">for each volunteer. We used embedding dimension m=3, and tolerance r=0.2 times the </w:t>
      </w:r>
      <w:r>
        <w:rPr>
          <w:color w:val="000000" w:themeColor="text1"/>
        </w:rPr>
        <w:lastRenderedPageBreak/>
        <w:t xml:space="preserve">standard deviation of the signal, which are commonly used to compute sample entropy of gait signal </w:t>
      </w:r>
      <w:r>
        <w:rPr>
          <w:color w:val="000000" w:themeColor="text1"/>
        </w:rPr>
        <w:fldChar w:fldCharType="begin" w:fldLock="1"/>
      </w:r>
      <w:r>
        <w:rPr>
          <w:color w:val="000000" w:themeColor="text1"/>
        </w:rPr>
        <w:instrText>ADDIN CSL_CITATION { "citationItems" : [ { "id" : "ITEM-1", "itemData" : { "DOI" : "10.1007/s10439-012-0668-3", "ISSN" : "0090-6964", "PMID" : "23064819", "abstract" : "Approximate entropy (ApEn) and sample entropy (SampEn) are mathematical algorithms created to measure the repeatability or predictability within a time series. Both algorithms are extremely sensitive to their input parameters: m (length of the data segment being compared), r (similarity criterion), and N (length of data). There is no established consensus on parameter selection in short data sets, especially for biological data. Therefore, the purpose of this research was to examine the robustness of these two entropy algorithms by exploring the effect of changing parameter values on short data sets. Data with known theoretical entropy qualities as well as experimental data from both healthy young and older adults was utilized. Our results demonstrate that both ApEn and SampEn are extremely sensitive to parameter choices, especially for very short data sets, N\u00a0\u2264\u00a0200. We suggest using N larger than 200, an m of 2 and examine several r values before selecting your parameters. Extreme caution should be used when choosing parameters for experimental studies with both algorithms. Based on our current findings, it appears that SampEn is more reliable for short data sets. SampEn was less sensitive to changes in data length and demonstrated fewer problems with relative consistency.", "author" : [ { "dropping-particle" : "", "family" : "Yentes", "given" : "Jennifer M.", "non-dropping-particle" : "", "parse-names" : false, "suffix" : "" }, { "dropping-particle" : "", "family" : "Hunt", "given" : "Nathaniel", "non-dropping-particle" : "", "parse-names" : false, "suffix" : "" }, { "dropping-particle" : "", "family" : "Schmid", "given" : "Kendra K.", "non-dropping-particle" : "", "parse-names" : false, "suffix" : "" }, { "dropping-particle" : "", "family" : "Kaipust", "given" : "Jeffrey P.", "non-dropping-particle" : "", "parse-names" : false, "suffix" : "" }, { "dropping-particle" : "", "family" : "McGrath", "given" : "Denise", "non-dropping-particle" : "", "parse-names" : false, "suffix" : "" }, { "dropping-particle" : "", "family" : "Stergiou", "given" : "Nicholas", "non-dropping-particle" : "", "parse-names" : false, "suffix" : "" } ], "container-title" : "Annals of Biomedical Engineering", "id" : "ITEM-1", "issue" : "2", "issued" : { "date-parts" : [ [ "2013", "2", "12" ] ] }, "page" : "349-365", "title" : "The Appropriate Use of Approximate Entropy and Sample Entropy with Short Data Sets", "type" : "article-journal", "volume" : "41" }, "uris" : [ "http://www.mendeley.com/documents/?uuid=23858f41-0972-3a18-b945-81bf842d8794" ] }, { "id" : "ITEM-2", "itemData" : { "DOI" : "10.1371/journal.pone.0218594", "ISSN" : "1932-6203", "PMID" : "31226152", "abstract" : "Gait variability is a sensitive metric for assessing functional deficits in individuals with mobility impairments. To correctly represent the temporal evolution of gait kinematics, nonlinear measures require extended and uninterrupted time series. In this study, we present and validate a novel algorithm for concatenating multiple time-series in order to allow the nonlinear analysis of gait data from standard and unrestricted overground walking protocols. The full-body gait patterns of twenty healthy subjects were captured during five walking trials (at least 5 minutes) on a treadmill under different weight perturbation conditions. The collected time series were cut into multiple shorter time series of varying lengths and subsequently concatenated using a novel algorithm that identifies similar poses in successive time series in order to determine an optimal concatenation time point. After alignment of the datasets, the approach then concatenated the data to provide a smooth transition. Nonlinear measures to assess stability (Largest Lyapunov Exponent, LyE) and regularity (Sample Entropy, SE) were calculated in order to quantify the efficacy of the concatenation approach using intra-class correlation coefficients, standard error of measurement and paired effect sizes. Our results indicate overall good agreement between the full uninterrupted and the concatenated time series for LyE. However, SE was more sensitive to the proposed concatenation algorithm and might lead to false interpretation of physiological gait signals. This approach opens perspectives for analysis of dynamic stability of gait data from physiological overground walking protocols, but also the re-processing and estimation of nonlinear metrics from previously collected datasets.", "author" : [ { "dropping-particle" : "", "family" : "Orter", "given" : "Stefan", "non-dropping-particle" : "", "parse-names" : false, "suffix" : "" }, { "dropping-particle" : "", "family" : "Ravi", "given" : "Deepak K", "non-dropping-particle" : "", "parse-names" : false, "suffix" : "" }, { "dropping-particle" : "", "family" : "Singh", "given" : "Navrag B", "non-dropping-particle" : "", "parse-names" : false, "suffix" : "" }, { "dropping-particle" : "", "family" : "Vogl", "given" : "Florian", "non-dropping-particle" : "", "parse-names" : false, "suffix" : "" }, { "dropping-particle" : "", "family" : "Taylor", "given" : "William R", "non-dropping-particle" : "", "parse-names" : false, "suffix" : "" }, { "dropping-particle" : "", "family" : "K\u00f6nig Ignasiak", "given" : "Niklas", "non-dropping-particle" : "", "parse-names" : false, "suffix" : "" } ], "container-title" : "PloS one", "id" : "ITEM-2", "issue" : "6", "issued" : { "date-parts" : [ [ "2019" ] ] }, "page" : "e0218594", "publisher" : "Public Library of Science", "title" : "A method to concatenate multiple short time series for evaluating dynamic behaviour during walking.", "type" : "article-journal", "volume" : "14" }, "uris" : [ "http://www.mendeley.com/documents/?uuid=251506ab-7c2d-3821-9f3f-3fb9655df96d" ] }, { "id" : "ITEM-3", "itemData" : { "DOI" : "10.3390/e20100764", "ISSN" : "1099-4300", "PMID" : "30853788", "abstract" : "Sample entropy (SE) has relative consistency using biologically-derived, discrete data &gt;500 data points. For certain populations, collecting this quantity is not feasible and continuous data has been used. The effect of using continuous versus discrete data on SE is unknown, nor are the relative effects of sampling rate and input parameters m (comparison vector length) and r (tolerance). Eleven subjects walked for 10-minutes and continuous joint angles (480Hz) were calculated for each lower-extremity joint. Data were downsampled (240, 120, 60Hz) and discrete range-of-motion was calculated. SE was quantified for angles and range-of-motion at all sampling rates and multiple combinations of parameters. A differential relationship between joints was observed between range-of-motion and joint angles. Range-of-motion SE showed no difference; whereas, joint angle SE significantly decreased from ankle to knee to hip. To confirm findings from biological data, continuous signals with manipulations to frequency, amplitude, and both were generated and underwent similar analysis to the biological data. In general, changes to m, r, and sampling rate had a greater effect on continuous compared to discrete data. Discrete data was robust to sampling rate and m. It is recommended that different data types not be compared and discrete data be used for SE.", "author" : [ { "dropping-particle" : "", "family" : "McCamley", "given" : "John D", "non-dropping-particle" : "", "parse-names" : false, "suffix" : "" }, { "dropping-particle" : "", "family" : "Denton", "given" : "William", "non-dropping-particle" : "", "parse-names" : false, "suffix" : "" }, { "dropping-particle" : "", "family" : "Arnold", "given" : "Andrew", "non-dropping-particle" : "", "parse-names" : false, "suffix" : "" }, { "dropping-particle" : "", "family" : "Raffalt", "given" : "Peter C", "non-dropping-particle" : "", "parse-names" : false, "suffix" : "" }, { "dropping-particle" : "", "family" : "Yentes", "given" : "Jennifer M", "non-dropping-particle" : "", "parse-names" : false, "suffix" : "" } ], "container-title" : "Entropy (Basel, Switzerland)", "id" : "ITEM-3", "issue" : "10", "issued" : { "date-parts" : [ [ "2018", "10" ] ] }, "publisher" : "NIH Public Access", "title" : "On the calculation of sample entropy using continuous and discrete human gait data.", "type" : "article-journal", "volume" : "20" }, "uris" : [ "http://www.mendeley.com/documents/?uuid=a887155c-41c0-335d-9b88-9a30258b7919" ] }, { "id" : "ITEM-4", "itemData" : { "DOI" : "10.1007/s11517-018-1920-2", "ISSN" : "0140-0118", "author" : [ { "dropping-particle" : "", "family" : "Raffalt", "given" : "Peter C.", "non-dropping-particle" : "", "parse-names" : false, "suffix" : "" }, { "dropping-particle" : "", "family" : "McCamley", "given" : "John", "non-dropping-particle" : "", "parse-names" : false, "suffix" : "" }, { "dropping-particle" : "", "family" : "Denton", "given" : "William", "non-dropping-particle" : "", "parse-names" : false, "suffix" : "" }, { "dropping-particle" : "", "family" : "Yentes", "given" : "Jennifer M.", "non-dropping-particle" : "", "parse-names" : false, "suffix" : "" } ], "container-title" : "Medical &amp; Biological Engineering &amp; Computing", "id" : "ITEM-4", "issue" : "4", "issued" : { "date-parts" : [ [ "2019", "4", "3" ] ] }, "page" : "759-764", "publisher" : "Springer Berlin Heidelberg", "title" : "Sampling frequency influences sample entropy of kinematics during walking", "type" : "article-journal", "volume" : "57" }, "uris" : [ "http://www.mendeley.com/documents/?uuid=06fa8ae8-001e-3d52-85fa-7f69cf8fdd8e" ] }, { "id" : "ITEM-5", "itemData" : { "DOI" : "10.3390/s19092204", "ISSN" : "1424-8220", "PMID" : "31086054", "abstract" : "Treadmills are widely used to recover walking function in the rehabilitation field for those patients with gait disorders. Nevertheless, the ultimate goal of walking function recovery is to walk on the ground rather than on the treadmill. This study aims to determine the effect of treadmill walking on gait and upper trunk movement characteristics using wearable sensors. Eight healthy male subjects are recruited to perform 420-m straight overground walking (OW) and 5 min treadmill walking (TW), wearing 3 inertial measurement units and a pair of insole sensors. In addition to common linear features, nonlinear features, which contains sample entropy, maximal Lyapunov exponent and fractal dynamic of stride intervals (detrended fluctuation analysis), are used to compare the difference between TW and OW condition. Canonical correlation analysis is also used to indicate the correlation between upper trunk movement characteristics and gait features in the aspects of spatiotemporal parameters and gait dynamic features. The experimental results show that the treadmill can cause a shorter stride length, less stride time and worsen long-range correlation of stride intervals. And the treadmill can significantly increase the stability for both gait and upper trunk, while it can significantly reduce gait regularity during swing phase. Canonical correlation analysis results show that treadmill can reduce the correlation between gait and upper trunk features. One possible interpretation of these results is that people tend to walk more cautiously to prevent the risk of falling and neglect the coordination between gait and upper trunk when walking on the treadmill. This study can provide fundamental insightful information about the effect of treadmill walking on gait and upper trunk to support future similar studies.", "author" : [ { "dropping-particle" : "", "family" : "Shi", "given" : "Liang", "non-dropping-particle" : "", "parse-names" : false, "suffix" : "" }, { "dropping-particle" : "", "family" : "Duan", "given" : "Feng", "non-dropping-particle" : "", "parse-names" : false, "suffix" : "" }, { "dropping-particle" : "", "family" : "Yang", "given" : "Yikang", "non-dropping-particle" : "", "parse-names" : false, "suffix" : "" }, { "dropping-particle" : "", "family" : "Sun", "given" : "Zhe", "non-dropping-particle" : "", "parse-names" : false, "suffix" : "" } ], "container-title" : "Sensors (Basel, Switzerland)", "id" : "ITEM-5", "issue" : "9", "issued" : { "date-parts" : [ [ "2019", "5", "13" ] ] }, "publisher" : "Multidisciplinary Digital Publishing Institute  (MDPI)", "title" : "The Effect of Treadmill Walking on Gait and Upper Trunk through Linear and Nonlinear Analysis Methods.", "type" : "article-journal", "volume" : "19" }, "uris" : [ "http://www.mendeley.com/documents/?uuid=c827d96c-4ecf-3471-8ef7-523b89396f52" ] } ], "mendeley" : { "formattedCitation" : "(50\u201354)", "plainTextFormattedCitation" : "(50\u201354)", "previouslyFormattedCitation" : "(49\u201353)" }, "properties" : { "noteIndex" : 0 }, "schema" : "https://github.com/citation-style-language/schema/raw/master/csl-citation.json" }</w:instrText>
      </w:r>
      <w:r>
        <w:rPr>
          <w:color w:val="000000" w:themeColor="text1"/>
        </w:rPr>
        <w:fldChar w:fldCharType="separate"/>
      </w:r>
      <w:r w:rsidRPr="002A3619">
        <w:rPr>
          <w:noProof/>
          <w:color w:val="000000" w:themeColor="text1"/>
        </w:rPr>
        <w:t>(50–54)</w:t>
      </w:r>
      <w:r>
        <w:rPr>
          <w:color w:val="000000" w:themeColor="text1"/>
        </w:rPr>
        <w:fldChar w:fldCharType="end"/>
      </w:r>
      <w:r>
        <w:rPr>
          <w:color w:val="000000" w:themeColor="text1"/>
        </w:rPr>
        <w:t xml:space="preserve">. </w:t>
      </w:r>
    </w:p>
    <w:p w14:paraId="68F9ADF9" w14:textId="77777777" w:rsidR="00B63AD3" w:rsidRDefault="00B63AD3">
      <w:bookmarkStart w:id="0" w:name="_GoBack"/>
      <w:bookmarkEnd w:id="0"/>
    </w:p>
    <w:sectPr w:rsidR="00B63A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D3"/>
    <w:rsid w:val="00B63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DEBF3"/>
  <w15:chartTrackingRefBased/>
  <w15:docId w15:val="{AA2E31E9-B1A4-4D91-9AF4-583413C90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A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AD3"/>
    <w:pPr>
      <w:ind w:left="720"/>
      <w:contextualSpacing/>
    </w:pPr>
  </w:style>
  <w:style w:type="paragraph" w:styleId="NormalWeb">
    <w:name w:val="Normal (Web)"/>
    <w:basedOn w:val="Normal"/>
    <w:uiPriority w:val="99"/>
    <w:unhideWhenUsed/>
    <w:rsid w:val="00B63AD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B63AD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10335</Words>
  <Characters>58915</Characters>
  <Application>Microsoft Office Word</Application>
  <DocSecurity>0</DocSecurity>
  <Lines>490</Lines>
  <Paragraphs>138</Paragraphs>
  <ScaleCrop>false</ScaleCrop>
  <Company/>
  <LinksUpToDate>false</LinksUpToDate>
  <CharactersWithSpaces>69112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2020-02-18T18:16:00Z</dcterms:created>
  <dcterms:modified xsi:type="dcterms:W3CDTF">2020-02-18T18:16:00Z</dcterms:modified>
</cp:coreProperties>
</file>