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7552B5" w14:textId="77777777" w:rsidR="00F31308" w:rsidRDefault="00F31308" w:rsidP="00F31308">
      <w:pPr>
        <w:pStyle w:val="berschrift1"/>
        <w:suppressAutoHyphens/>
        <w:spacing w:line="480" w:lineRule="auto"/>
        <w:jc w:val="both"/>
        <w:rPr>
          <w:lang w:val="en-US"/>
        </w:rPr>
      </w:pPr>
      <w:r>
        <w:rPr>
          <w:lang w:val="en-US"/>
        </w:rPr>
        <w:t>Supplementary Figures</w:t>
      </w:r>
    </w:p>
    <w:p w14:paraId="35F2B06A" w14:textId="77777777" w:rsidR="00F31308" w:rsidRDefault="00F31308" w:rsidP="00F31308">
      <w:pPr>
        <w:keepNext/>
        <w:suppressAutoHyphens/>
        <w:spacing w:line="480" w:lineRule="auto"/>
        <w:jc w:val="both"/>
      </w:pPr>
      <w:r>
        <w:rPr>
          <w:noProof/>
          <w:lang w:val="en-US" w:bidi="he-IL"/>
        </w:rPr>
        <w:drawing>
          <wp:inline distT="0" distB="0" distL="0" distR="0" wp14:anchorId="02C74A2B" wp14:editId="32750872">
            <wp:extent cx="5734050" cy="3486150"/>
            <wp:effectExtent l="0" t="0" r="0" b="0"/>
            <wp:docPr id="2" name="Grafik 2" descr="R:\AG\Striedner\Proj\CD_Labor\Publications\WP2\Paper Host RNAP promoters\New Journal incl reviewer comments\Figures\emf\SupFig1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:\AG\Striedner\Proj\CD_Labor\Publications\WP2\Paper Host RNAP promoters\New Journal incl reviewer comments\Figures\emf\SupFig1.em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48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669100" w14:textId="77777777" w:rsidR="00F31308" w:rsidRDefault="00F31308" w:rsidP="00F31308">
      <w:pPr>
        <w:pStyle w:val="Beschriftung"/>
        <w:suppressAutoHyphens/>
        <w:jc w:val="both"/>
        <w:rPr>
          <w:i w:val="0"/>
          <w:color w:val="auto"/>
          <w:lang w:val="en-US"/>
        </w:rPr>
      </w:pPr>
      <w:r w:rsidRPr="00834AD8">
        <w:rPr>
          <w:b/>
          <w:i w:val="0"/>
          <w:color w:val="auto"/>
          <w:lang w:val="en-US"/>
        </w:rPr>
        <w:t xml:space="preserve">Figure </w:t>
      </w:r>
      <w:r>
        <w:rPr>
          <w:b/>
          <w:i w:val="0"/>
          <w:color w:val="auto"/>
          <w:lang w:val="en-US"/>
        </w:rPr>
        <w:t>S</w:t>
      </w:r>
      <w:r w:rsidRPr="00834AD8">
        <w:rPr>
          <w:b/>
          <w:i w:val="0"/>
          <w:color w:val="auto"/>
          <w:lang w:val="en-US"/>
        </w:rPr>
        <w:fldChar w:fldCharType="begin"/>
      </w:r>
      <w:r w:rsidRPr="00834AD8">
        <w:rPr>
          <w:b/>
          <w:i w:val="0"/>
          <w:color w:val="auto"/>
          <w:lang w:val="en-US"/>
        </w:rPr>
        <w:instrText xml:space="preserve"> SEQ Figure \* ARABIC </w:instrText>
      </w:r>
      <w:r w:rsidRPr="00834AD8">
        <w:rPr>
          <w:b/>
          <w:i w:val="0"/>
          <w:color w:val="auto"/>
          <w:lang w:val="en-US"/>
        </w:rPr>
        <w:fldChar w:fldCharType="separate"/>
      </w:r>
      <w:r>
        <w:rPr>
          <w:b/>
          <w:i w:val="0"/>
          <w:noProof/>
          <w:color w:val="auto"/>
          <w:lang w:val="en-US"/>
        </w:rPr>
        <w:t>1</w:t>
      </w:r>
      <w:r w:rsidRPr="00834AD8">
        <w:rPr>
          <w:b/>
          <w:i w:val="0"/>
          <w:color w:val="auto"/>
          <w:lang w:val="en-US"/>
        </w:rPr>
        <w:fldChar w:fldCharType="end"/>
      </w:r>
      <w:r w:rsidRPr="00834AD8">
        <w:rPr>
          <w:b/>
          <w:i w:val="0"/>
          <w:color w:val="auto"/>
          <w:lang w:val="en-US"/>
        </w:rPr>
        <w:t xml:space="preserve"> </w:t>
      </w:r>
      <w:r>
        <w:rPr>
          <w:b/>
          <w:i w:val="0"/>
          <w:color w:val="auto"/>
          <w:lang w:val="en-US"/>
        </w:rPr>
        <w:t xml:space="preserve">Growth characteristics of cells with different promoter/operator combinations. </w:t>
      </w:r>
      <w:r>
        <w:rPr>
          <w:i w:val="0"/>
          <w:color w:val="auto"/>
          <w:lang w:val="en-US"/>
        </w:rPr>
        <w:t xml:space="preserve">Cells </w:t>
      </w:r>
      <w:r w:rsidRPr="008F1445">
        <w:rPr>
          <w:i w:val="0"/>
          <w:color w:val="auto"/>
          <w:lang w:val="en-US"/>
        </w:rPr>
        <w:t xml:space="preserve">were </w:t>
      </w:r>
      <w:r>
        <w:rPr>
          <w:i w:val="0"/>
          <w:color w:val="auto"/>
          <w:lang w:val="en-US"/>
        </w:rPr>
        <w:t>grown in enzymatic glucose release media in micro-titer fermentations over a period of 22 h. The dashed vertical lines indicate the time of induction with 0.5 mM IPTG.</w:t>
      </w:r>
      <w:r w:rsidRPr="00B90836">
        <w:rPr>
          <w:i w:val="0"/>
          <w:color w:val="auto"/>
          <w:lang w:val="en-US"/>
        </w:rPr>
        <w:t xml:space="preserve"> (A, </w:t>
      </w:r>
      <w:r>
        <w:rPr>
          <w:i w:val="0"/>
          <w:color w:val="auto"/>
          <w:lang w:val="en-US"/>
        </w:rPr>
        <w:t>B</w:t>
      </w:r>
      <w:r w:rsidRPr="00B90836">
        <w:rPr>
          <w:i w:val="0"/>
          <w:color w:val="auto"/>
          <w:lang w:val="en-US"/>
        </w:rPr>
        <w:t>)</w:t>
      </w:r>
      <w:r>
        <w:rPr>
          <w:i w:val="0"/>
          <w:color w:val="auto"/>
          <w:lang w:val="en-US"/>
        </w:rPr>
        <w:t xml:space="preserve"> </w:t>
      </w:r>
      <w:r w:rsidRPr="00B90836">
        <w:rPr>
          <w:i w:val="0"/>
          <w:color w:val="auto"/>
          <w:lang w:val="en-US"/>
        </w:rPr>
        <w:t>Biomass trend</w:t>
      </w:r>
      <w:r>
        <w:rPr>
          <w:i w:val="0"/>
          <w:color w:val="auto"/>
          <w:lang w:val="en-US"/>
        </w:rPr>
        <w:t>s (CDM)</w:t>
      </w:r>
      <w:r w:rsidRPr="00B90836">
        <w:rPr>
          <w:i w:val="0"/>
          <w:color w:val="auto"/>
          <w:lang w:val="en-US"/>
        </w:rPr>
        <w:t xml:space="preserve"> and (</w:t>
      </w:r>
      <w:r>
        <w:rPr>
          <w:i w:val="0"/>
          <w:color w:val="auto"/>
          <w:lang w:val="en-US"/>
        </w:rPr>
        <w:t>C</w:t>
      </w:r>
      <w:r w:rsidRPr="00B90836">
        <w:rPr>
          <w:i w:val="0"/>
          <w:color w:val="auto"/>
          <w:lang w:val="en-US"/>
        </w:rPr>
        <w:t xml:space="preserve">, </w:t>
      </w:r>
      <w:r>
        <w:rPr>
          <w:i w:val="0"/>
          <w:color w:val="auto"/>
          <w:lang w:val="en-US"/>
        </w:rPr>
        <w:t>D</w:t>
      </w:r>
      <w:r w:rsidRPr="00B90836">
        <w:rPr>
          <w:i w:val="0"/>
          <w:color w:val="auto"/>
          <w:lang w:val="en-US"/>
        </w:rPr>
        <w:t>)</w:t>
      </w:r>
      <w:r>
        <w:rPr>
          <w:i w:val="0"/>
          <w:color w:val="auto"/>
          <w:lang w:val="en-US"/>
        </w:rPr>
        <w:t xml:space="preserve"> growth rates</w:t>
      </w:r>
      <w:r w:rsidRPr="00B90836">
        <w:rPr>
          <w:i w:val="0"/>
          <w:color w:val="auto"/>
          <w:lang w:val="en-US"/>
        </w:rPr>
        <w:t xml:space="preserve"> </w:t>
      </w:r>
      <w:r>
        <w:rPr>
          <w:i w:val="0"/>
          <w:color w:val="auto"/>
          <w:lang w:val="en-US"/>
        </w:rPr>
        <w:t>(µ) are shown</w:t>
      </w:r>
      <w:r w:rsidRPr="00B90836">
        <w:rPr>
          <w:i w:val="0"/>
          <w:color w:val="auto"/>
          <w:lang w:val="en-US"/>
        </w:rPr>
        <w:t xml:space="preserve"> </w:t>
      </w:r>
      <w:r>
        <w:rPr>
          <w:i w:val="0"/>
          <w:color w:val="auto"/>
          <w:lang w:val="en-US"/>
        </w:rPr>
        <w:t>for (A, C) induced and (B, D) non-induced cells. The mean values of triplicates are shown. The promoter/operators are defined in Figure 1.</w:t>
      </w:r>
    </w:p>
    <w:p w14:paraId="0BD57336" w14:textId="77777777" w:rsidR="00F31308" w:rsidRDefault="00F31308" w:rsidP="00F31308">
      <w:pPr>
        <w:suppressAutoHyphens/>
        <w:rPr>
          <w:lang w:val="en-US"/>
        </w:rPr>
      </w:pPr>
    </w:p>
    <w:p w14:paraId="16B199AA" w14:textId="1A623F5C" w:rsidR="00F31308" w:rsidRDefault="00C32864" w:rsidP="00F31308">
      <w:pPr>
        <w:keepNext/>
        <w:suppressAutoHyphens/>
      </w:pPr>
      <w:r>
        <w:rPr>
          <w:noProof/>
        </w:rPr>
        <w:drawing>
          <wp:inline distT="0" distB="0" distL="0" distR="0" wp14:anchorId="46257B3F" wp14:editId="61803527">
            <wp:extent cx="5731510" cy="1350010"/>
            <wp:effectExtent l="0" t="0" r="2540" b="254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upFig2.em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50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60C754" w14:textId="34EB3909" w:rsidR="00F31308" w:rsidRPr="00C32C1C" w:rsidRDefault="00F31308" w:rsidP="00F31308">
      <w:pPr>
        <w:pStyle w:val="Beschriftung"/>
        <w:suppressAutoHyphens/>
        <w:rPr>
          <w:i w:val="0"/>
          <w:color w:val="auto"/>
          <w:lang w:val="en-US"/>
        </w:rPr>
      </w:pPr>
      <w:r w:rsidRPr="006068F5">
        <w:rPr>
          <w:b/>
          <w:i w:val="0"/>
          <w:color w:val="auto"/>
          <w:lang w:val="en-US"/>
        </w:rPr>
        <w:t xml:space="preserve">Figure </w:t>
      </w:r>
      <w:r>
        <w:rPr>
          <w:b/>
          <w:i w:val="0"/>
          <w:color w:val="auto"/>
          <w:lang w:val="en-US"/>
        </w:rPr>
        <w:t>S</w:t>
      </w:r>
      <w:r w:rsidRPr="006068F5">
        <w:rPr>
          <w:b/>
          <w:i w:val="0"/>
          <w:color w:val="auto"/>
          <w:lang w:val="en-US"/>
        </w:rPr>
        <w:fldChar w:fldCharType="begin"/>
      </w:r>
      <w:r w:rsidRPr="006068F5">
        <w:rPr>
          <w:b/>
          <w:i w:val="0"/>
          <w:color w:val="auto"/>
          <w:lang w:val="en-US"/>
        </w:rPr>
        <w:instrText xml:space="preserve"> SEQ Figure \* ARABIC </w:instrText>
      </w:r>
      <w:r w:rsidRPr="006068F5">
        <w:rPr>
          <w:b/>
          <w:i w:val="0"/>
          <w:color w:val="auto"/>
          <w:lang w:val="en-US"/>
        </w:rPr>
        <w:fldChar w:fldCharType="separate"/>
      </w:r>
      <w:r w:rsidRPr="006068F5">
        <w:rPr>
          <w:b/>
          <w:i w:val="0"/>
          <w:color w:val="auto"/>
          <w:lang w:val="en-US"/>
        </w:rPr>
        <w:t>2</w:t>
      </w:r>
      <w:r w:rsidRPr="006068F5">
        <w:rPr>
          <w:b/>
          <w:i w:val="0"/>
          <w:color w:val="auto"/>
          <w:lang w:val="en-US"/>
        </w:rPr>
        <w:fldChar w:fldCharType="end"/>
      </w:r>
      <w:r>
        <w:rPr>
          <w:b/>
          <w:i w:val="0"/>
          <w:color w:val="auto"/>
          <w:lang w:val="en-US"/>
        </w:rPr>
        <w:t xml:space="preserve"> Solubility analysis of GFPmut3.1. </w:t>
      </w:r>
      <w:r>
        <w:rPr>
          <w:i w:val="0"/>
          <w:color w:val="auto"/>
          <w:lang w:val="en-US"/>
        </w:rPr>
        <w:t xml:space="preserve">SDS-PAGE images show soluble (S) and insoluble (I) fractions of proteins produced under the indicated </w:t>
      </w:r>
      <w:proofErr w:type="spellStart"/>
      <w:r w:rsidRPr="009E42F8">
        <w:rPr>
          <w:iCs w:val="0"/>
          <w:color w:val="auto"/>
          <w:lang w:val="en-US"/>
        </w:rPr>
        <w:t>lacO</w:t>
      </w:r>
      <w:proofErr w:type="spellEnd"/>
      <w:r>
        <w:rPr>
          <w:i w:val="0"/>
          <w:color w:val="auto"/>
          <w:lang w:val="en-US"/>
        </w:rPr>
        <w:t>-promoter combinations in genome-integrated (indicated with pointed brackets &lt;&gt;) and plasmid-based (indicated with round brackets ()) expression systems</w:t>
      </w:r>
      <w:r w:rsidR="00C32864">
        <w:rPr>
          <w:i w:val="0"/>
          <w:color w:val="auto"/>
          <w:lang w:val="en-US"/>
        </w:rPr>
        <w:t>. (M) Mark 12 molecular weight marker.</w:t>
      </w:r>
      <w:bookmarkStart w:id="0" w:name="_GoBack"/>
      <w:bookmarkEnd w:id="0"/>
    </w:p>
    <w:sectPr w:rsidR="00F31308" w:rsidRPr="00C32C1C" w:rsidSect="006223F7">
      <w:footerReference w:type="default" r:id="rId8"/>
      <w:pgSz w:w="11906" w:h="16838"/>
      <w:pgMar w:top="1440" w:right="1440" w:bottom="1440" w:left="1440" w:header="708" w:footer="708" w:gutter="0"/>
      <w:lnNumType w:countBy="1" w:restart="continuous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39290A9" w14:textId="77777777" w:rsidR="001B6CB6" w:rsidRDefault="00145174">
      <w:pPr>
        <w:spacing w:after="0" w:line="240" w:lineRule="auto"/>
      </w:pPr>
      <w:r>
        <w:separator/>
      </w:r>
    </w:p>
  </w:endnote>
  <w:endnote w:type="continuationSeparator" w:id="0">
    <w:p w14:paraId="1BBB606E" w14:textId="77777777" w:rsidR="001B6CB6" w:rsidRDefault="001451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13344129"/>
      <w:docPartObj>
        <w:docPartGallery w:val="Page Numbers (Bottom of Page)"/>
        <w:docPartUnique/>
      </w:docPartObj>
    </w:sdtPr>
    <w:sdtEndPr/>
    <w:sdtContent>
      <w:p w14:paraId="3C9CC5B7" w14:textId="77777777" w:rsidR="00401A5C" w:rsidRDefault="00F31308" w:rsidP="006223F7">
        <w:pPr>
          <w:pStyle w:val="Fuzeil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75D028" w14:textId="77777777" w:rsidR="001B6CB6" w:rsidRDefault="00145174">
      <w:pPr>
        <w:spacing w:after="0" w:line="240" w:lineRule="auto"/>
      </w:pPr>
      <w:r>
        <w:separator/>
      </w:r>
    </w:p>
  </w:footnote>
  <w:footnote w:type="continuationSeparator" w:id="0">
    <w:p w14:paraId="14B7C184" w14:textId="77777777" w:rsidR="001B6CB6" w:rsidRDefault="0014517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308"/>
    <w:rsid w:val="00145174"/>
    <w:rsid w:val="001B6CB6"/>
    <w:rsid w:val="002F7536"/>
    <w:rsid w:val="00523DB2"/>
    <w:rsid w:val="00C32864"/>
    <w:rsid w:val="00DB18F5"/>
    <w:rsid w:val="00F31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0692A1"/>
  <w15:chartTrackingRefBased/>
  <w15:docId w15:val="{12432D3E-8FE5-4BFE-B45D-F8B965838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F31308"/>
    <w:rPr>
      <w:lang w:val="en-GB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F3130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F31308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paragraph" w:styleId="Beschriftung">
    <w:name w:val="caption"/>
    <w:basedOn w:val="Standard"/>
    <w:next w:val="Standard"/>
    <w:uiPriority w:val="35"/>
    <w:unhideWhenUsed/>
    <w:qFormat/>
    <w:rsid w:val="00F31308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F3130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F31308"/>
    <w:pPr>
      <w:spacing w:line="240" w:lineRule="auto"/>
    </w:pPr>
    <w:rPr>
      <w:sz w:val="20"/>
      <w:szCs w:val="20"/>
      <w:lang w:val="en-US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F31308"/>
    <w:rPr>
      <w:sz w:val="20"/>
      <w:szCs w:val="20"/>
      <w:lang w:val="en-US"/>
    </w:rPr>
  </w:style>
  <w:style w:type="paragraph" w:styleId="Fuzeile">
    <w:name w:val="footer"/>
    <w:basedOn w:val="Standard"/>
    <w:link w:val="FuzeileZchn"/>
    <w:uiPriority w:val="99"/>
    <w:unhideWhenUsed/>
    <w:rsid w:val="00F313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31308"/>
    <w:rPr>
      <w:lang w:val="en-GB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313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31308"/>
    <w:rPr>
      <w:rFonts w:ascii="Segoe UI" w:hAnsi="Segoe UI" w:cs="Segoe UI"/>
      <w:sz w:val="18"/>
      <w:szCs w:val="18"/>
      <w:lang w:val="en-GB"/>
    </w:rPr>
  </w:style>
  <w:style w:type="character" w:styleId="Zeilennummer">
    <w:name w:val="line number"/>
    <w:basedOn w:val="Absatz-Standardschriftart"/>
    <w:uiPriority w:val="99"/>
    <w:semiHidden/>
    <w:unhideWhenUsed/>
    <w:rsid w:val="00F313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BOKU</Company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iam</dc:creator>
  <cp:keywords/>
  <dc:description/>
  <cp:lastModifiedBy>iam</cp:lastModifiedBy>
  <cp:revision>3</cp:revision>
  <dcterms:created xsi:type="dcterms:W3CDTF">2019-12-09T09:10:00Z</dcterms:created>
  <dcterms:modified xsi:type="dcterms:W3CDTF">2019-12-09T12:11:00Z</dcterms:modified>
</cp:coreProperties>
</file>