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2EC9" w:rsidRDefault="00E22EC9" w:rsidP="00E22EC9">
      <w:pPr>
        <w:spacing w:line="480" w:lineRule="auto"/>
        <w:jc w:val="left"/>
        <w:rPr>
          <w:rFonts w:ascii="Times New Roman" w:hAnsi="Times New Roman"/>
          <w:b/>
          <w:bCs/>
          <w:sz w:val="24"/>
        </w:rPr>
      </w:pPr>
      <w:r>
        <w:rPr>
          <w:rFonts w:ascii="Times New Roman" w:hAnsi="Times New Roman"/>
          <w:b/>
          <w:bCs/>
          <w:sz w:val="24"/>
        </w:rPr>
        <w:t>Supplementary file</w:t>
      </w:r>
    </w:p>
    <w:p w:rsidR="00E22EC9" w:rsidRDefault="00E22EC9" w:rsidP="00E22EC9">
      <w:pPr>
        <w:spacing w:line="480" w:lineRule="auto"/>
        <w:jc w:val="left"/>
        <w:rPr>
          <w:rFonts w:ascii="Times New Roman" w:hAnsi="Times New Roman"/>
          <w:b/>
          <w:bCs/>
          <w:sz w:val="24"/>
        </w:rPr>
      </w:pPr>
      <w:r>
        <w:rPr>
          <w:rFonts w:ascii="Times New Roman" w:hAnsi="Times New Roman"/>
          <w:b/>
          <w:bCs/>
          <w:sz w:val="24"/>
        </w:rPr>
        <w:t xml:space="preserve">Immunochemistry </w:t>
      </w:r>
    </w:p>
    <w:p w:rsidR="00E22EC9" w:rsidRDefault="00E22EC9" w:rsidP="00E22EC9">
      <w:pPr>
        <w:spacing w:line="480" w:lineRule="auto"/>
        <w:rPr>
          <w:rFonts w:ascii="Times New Roman" w:hAnsi="Times New Roman"/>
          <w:color w:val="000000"/>
          <w:sz w:val="24"/>
          <w:shd w:val="clear" w:color="auto" w:fill="FFFFFF"/>
        </w:rPr>
      </w:pPr>
      <w:r>
        <w:rPr>
          <w:rFonts w:ascii="Times New Roman" w:hAnsi="Times New Roman"/>
          <w:color w:val="000000"/>
          <w:sz w:val="24"/>
        </w:rPr>
        <w:t xml:space="preserve">The paraffin-embedded tumor samples were sectioned to 5 </w:t>
      </w:r>
      <w:r>
        <w:rPr>
          <w:rFonts w:ascii="Times New Roman" w:hAnsi="Times New Roman"/>
          <w:color w:val="000000"/>
          <w:sz w:val="24"/>
          <w:shd w:val="clear" w:color="auto" w:fill="FFFFFF"/>
        </w:rPr>
        <w:t>μm slices. The tissue section slides were deparaffinized and then rehydrated. For PD-L1 and IL-10 immunochemical staining, antigen retrieval was achieved in boiled EDTA for 30 min. The</w:t>
      </w:r>
      <w:r>
        <w:rPr>
          <w:rFonts w:ascii="Times New Roman" w:hAnsi="Times New Roman"/>
          <w:color w:val="333333"/>
          <w:sz w:val="24"/>
          <w:shd w:val="clear" w:color="auto" w:fill="FFFFFF"/>
        </w:rPr>
        <w:t xml:space="preserve"> t</w:t>
      </w:r>
      <w:r>
        <w:rPr>
          <w:rFonts w:ascii="Times New Roman" w:hAnsi="Times New Roman"/>
          <w:color w:val="000000"/>
          <w:sz w:val="24"/>
          <w:shd w:val="clear" w:color="auto" w:fill="FFFFFF"/>
        </w:rPr>
        <w:t>issue section slices were incubated with peroxidase blocking reagent (3% H</w:t>
      </w:r>
      <w:r>
        <w:rPr>
          <w:rFonts w:ascii="Times New Roman" w:hAnsi="Times New Roman"/>
          <w:color w:val="000000"/>
          <w:sz w:val="24"/>
          <w:shd w:val="clear" w:color="auto" w:fill="FFFFFF"/>
          <w:vertAlign w:val="subscript"/>
        </w:rPr>
        <w:t>2</w:t>
      </w:r>
      <w:r>
        <w:rPr>
          <w:rFonts w:ascii="Times New Roman" w:hAnsi="Times New Roman"/>
          <w:color w:val="000000"/>
          <w:sz w:val="24"/>
          <w:shd w:val="clear" w:color="auto" w:fill="FFFFFF"/>
        </w:rPr>
        <w:t>O</w:t>
      </w:r>
      <w:r>
        <w:rPr>
          <w:rFonts w:ascii="Times New Roman" w:hAnsi="Times New Roman"/>
          <w:color w:val="000000"/>
          <w:sz w:val="24"/>
          <w:shd w:val="clear" w:color="auto" w:fill="FFFFFF"/>
          <w:vertAlign w:val="subscript"/>
        </w:rPr>
        <w:t>2</w:t>
      </w:r>
      <w:r>
        <w:rPr>
          <w:rFonts w:ascii="Times New Roman" w:hAnsi="Times New Roman"/>
          <w:color w:val="000000"/>
          <w:sz w:val="24"/>
          <w:shd w:val="clear" w:color="auto" w:fill="FFFFFF"/>
        </w:rPr>
        <w:t xml:space="preserve"> solution) for 30 min </w:t>
      </w:r>
      <w:r>
        <w:rPr>
          <w:rFonts w:ascii="Times New Roman" w:hAnsi="Times New Roman" w:hint="eastAsia"/>
          <w:color w:val="000000"/>
          <w:sz w:val="24"/>
          <w:shd w:val="clear" w:color="auto" w:fill="FFFFFF"/>
        </w:rPr>
        <w:t>.</w:t>
      </w:r>
      <w:r>
        <w:rPr>
          <w:rFonts w:ascii="Times New Roman" w:hAnsi="Times New Roman"/>
          <w:color w:val="000000"/>
          <w:sz w:val="24"/>
          <w:shd w:val="clear" w:color="auto" w:fill="FFFFFF"/>
        </w:rPr>
        <w:t>The slices were incubated with the primary PD-L1 antibody (Novus</w:t>
      </w:r>
      <w:r>
        <w:rPr>
          <w:rFonts w:ascii="Times New Roman" w:eastAsia="Microsoft YaHei" w:hAnsi="Times New Roman"/>
          <w:color w:val="000000"/>
          <w:sz w:val="24"/>
          <w:shd w:val="clear" w:color="auto" w:fill="FFFFFF"/>
        </w:rPr>
        <w:t> Littleton, Colorado, USA</w:t>
      </w:r>
      <w:r>
        <w:rPr>
          <w:rFonts w:ascii="Times New Roman" w:hAnsi="Times New Roman"/>
          <w:color w:val="000000"/>
          <w:sz w:val="24"/>
          <w:shd w:val="clear" w:color="auto" w:fill="FFFFFF"/>
        </w:rPr>
        <w:t xml:space="preserve">) and IL-10 antibody (Novus, </w:t>
      </w:r>
      <w:r>
        <w:rPr>
          <w:rFonts w:ascii="Times New Roman" w:eastAsia="Microsoft YaHei" w:hAnsi="Times New Roman"/>
          <w:color w:val="000000"/>
          <w:sz w:val="24"/>
          <w:shd w:val="clear" w:color="auto" w:fill="FFFFFF"/>
        </w:rPr>
        <w:t>Littleton, Colorado, USA</w:t>
      </w:r>
      <w:r>
        <w:rPr>
          <w:rFonts w:ascii="Times New Roman" w:hAnsi="Times New Roman"/>
          <w:color w:val="000000"/>
          <w:sz w:val="24"/>
          <w:shd w:val="clear" w:color="auto" w:fill="FFFFFF"/>
        </w:rPr>
        <w:t>) in a humidified chamber overnight at 4</w:t>
      </w:r>
      <w:r>
        <w:rPr>
          <w:rFonts w:ascii="Cambria Math" w:hAnsi="Cambria Math" w:cs="Cambria Math"/>
          <w:color w:val="000000"/>
          <w:sz w:val="24"/>
          <w:shd w:val="clear" w:color="auto" w:fill="FFFFFF"/>
        </w:rPr>
        <w:t>℃</w:t>
      </w:r>
      <w:r>
        <w:rPr>
          <w:rFonts w:ascii="Times New Roman" w:hAnsi="Times New Roman"/>
          <w:color w:val="000000"/>
          <w:sz w:val="24"/>
          <w:shd w:val="clear" w:color="auto" w:fill="FFFFFF"/>
        </w:rPr>
        <w:t>. After being washed three times in PBS, the slices were then incubated with anti-mouse/rabbit secondary antibody (Maixin, Fuzhou, Fujian, China) in a dedicated chamber for 30 min. We than stained the slices with hematoxylin solution.</w:t>
      </w:r>
    </w:p>
    <w:p w:rsidR="00E22EC9" w:rsidRDefault="00E22EC9" w:rsidP="00E22EC9">
      <w:pPr>
        <w:spacing w:line="480" w:lineRule="auto"/>
        <w:rPr>
          <w:rFonts w:ascii="Times New Roman" w:hAnsi="Times New Roman"/>
          <w:color w:val="000000"/>
          <w:sz w:val="24"/>
          <w:shd w:val="clear" w:color="auto" w:fill="FFFFFF"/>
        </w:rPr>
      </w:pPr>
      <w:r>
        <w:rPr>
          <w:rFonts w:ascii="Times New Roman" w:hAnsi="Times New Roman"/>
          <w:color w:val="000000"/>
          <w:sz w:val="24"/>
          <w:shd w:val="clear" w:color="auto" w:fill="FFFFFF"/>
        </w:rPr>
        <w:t>The results were evaluated by two independent pathologists at the Third Affiliated Hospital of Suzhou University. The intensity was classified as follows: 0, negative staining; 1, weak staining; 2, moderate staining; 3, strong staining. The rate of positive cells was recorded: 1: 0% - 25%; 2: 26% - 50%; 3: 51% - 75%; and 4: greater than 75%. A final score was achieved by multiplying the staining intensity (0, 1, 2, and 3) and the rate of positive cells observed (1, 2, 3 and 4). For data analysis, scores of less than 8 were defined as low expression and scores of 8 or more, as high expression.</w:t>
      </w:r>
    </w:p>
    <w:p w:rsidR="00E22EC9" w:rsidRDefault="00E22EC9" w:rsidP="00E22EC9">
      <w:pPr>
        <w:ind w:firstLineChars="500" w:firstLine="1205"/>
        <w:jc w:val="left"/>
        <w:rPr>
          <w:rFonts w:ascii="Times New Roman" w:hAnsi="Times New Roman"/>
          <w:b/>
          <w:sz w:val="24"/>
        </w:rPr>
      </w:pPr>
      <w:r>
        <w:rPr>
          <w:rFonts w:ascii="Times New Roman" w:hAnsi="Times New Roman"/>
          <w:b/>
          <w:sz w:val="24"/>
        </w:rPr>
        <w:t>Table S1. Score for cell intensity or the rate of positive cells</w:t>
      </w:r>
    </w:p>
    <w:tbl>
      <w:tblPr>
        <w:tblpPr w:leftFromText="180" w:rightFromText="180" w:vertAnchor="text" w:horzAnchor="page" w:tblpX="1795" w:tblpY="720"/>
        <w:tblOverlap w:val="never"/>
        <w:tblW w:w="7914" w:type="dxa"/>
        <w:tblLayout w:type="fixed"/>
        <w:tblLook w:val="0000" w:firstRow="0" w:lastRow="0" w:firstColumn="0" w:lastColumn="0" w:noHBand="0" w:noVBand="0"/>
      </w:tblPr>
      <w:tblGrid>
        <w:gridCol w:w="1348"/>
        <w:gridCol w:w="2225"/>
        <w:gridCol w:w="236"/>
        <w:gridCol w:w="1596"/>
        <w:gridCol w:w="2509"/>
      </w:tblGrid>
      <w:tr w:rsidR="00E22EC9" w:rsidTr="00EF454D">
        <w:trPr>
          <w:trHeight w:val="300"/>
        </w:trPr>
        <w:tc>
          <w:tcPr>
            <w:tcW w:w="3579" w:type="dxa"/>
            <w:gridSpan w:val="2"/>
            <w:tcBorders>
              <w:top w:val="single" w:sz="4" w:space="0" w:color="auto"/>
              <w:left w:val="nil"/>
              <w:bottom w:val="single" w:sz="4" w:space="0" w:color="auto"/>
              <w:right w:val="nil"/>
            </w:tcBorders>
            <w:vAlign w:val="bottom"/>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Cell intensity</w:t>
            </w:r>
          </w:p>
        </w:tc>
        <w:tc>
          <w:tcPr>
            <w:tcW w:w="222" w:type="dxa"/>
            <w:tcBorders>
              <w:top w:val="nil"/>
              <w:left w:val="nil"/>
              <w:bottom w:val="nil"/>
              <w:right w:val="nil"/>
            </w:tcBorders>
            <w:vAlign w:val="bottom"/>
          </w:tcPr>
          <w:p w:rsidR="00E22EC9" w:rsidRDefault="00E22EC9" w:rsidP="00EF454D">
            <w:pPr>
              <w:widowControl/>
              <w:jc w:val="left"/>
              <w:rPr>
                <w:rFonts w:ascii="Times New Roman" w:eastAsia="Times New Roman" w:hAnsi="Times New Roman"/>
                <w:color w:val="000000"/>
                <w:kern w:val="0"/>
                <w:sz w:val="24"/>
              </w:rPr>
            </w:pPr>
          </w:p>
        </w:tc>
        <w:tc>
          <w:tcPr>
            <w:tcW w:w="4113" w:type="dxa"/>
            <w:gridSpan w:val="2"/>
            <w:tcBorders>
              <w:top w:val="single" w:sz="4" w:space="0" w:color="auto"/>
              <w:left w:val="nil"/>
              <w:bottom w:val="single" w:sz="4" w:space="0" w:color="auto"/>
              <w:right w:val="nil"/>
            </w:tcBorders>
            <w:vAlign w:val="bottom"/>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 xml:space="preserve">Positive cells </w:t>
            </w:r>
          </w:p>
        </w:tc>
      </w:tr>
      <w:tr w:rsidR="00E22EC9" w:rsidTr="00EF454D">
        <w:trPr>
          <w:trHeight w:val="300"/>
        </w:trPr>
        <w:tc>
          <w:tcPr>
            <w:tcW w:w="1350" w:type="dxa"/>
            <w:tcBorders>
              <w:top w:val="nil"/>
              <w:left w:val="nil"/>
              <w:bottom w:val="single" w:sz="4" w:space="0" w:color="auto"/>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Score</w:t>
            </w:r>
          </w:p>
        </w:tc>
        <w:tc>
          <w:tcPr>
            <w:tcW w:w="2229" w:type="dxa"/>
            <w:tcBorders>
              <w:top w:val="nil"/>
              <w:left w:val="nil"/>
              <w:bottom w:val="single" w:sz="4" w:space="0" w:color="auto"/>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Degree of staining</w:t>
            </w:r>
          </w:p>
        </w:tc>
        <w:tc>
          <w:tcPr>
            <w:tcW w:w="222" w:type="dxa"/>
            <w:tcBorders>
              <w:top w:val="nil"/>
              <w:left w:val="nil"/>
              <w:bottom w:val="nil"/>
              <w:right w:val="nil"/>
            </w:tcBorders>
            <w:vAlign w:val="bottom"/>
          </w:tcPr>
          <w:p w:rsidR="00E22EC9" w:rsidRDefault="00E22EC9" w:rsidP="00EF454D">
            <w:pPr>
              <w:widowControl/>
              <w:jc w:val="left"/>
              <w:rPr>
                <w:rFonts w:ascii="Times New Roman" w:eastAsia="Times New Roman" w:hAnsi="Times New Roman"/>
                <w:color w:val="000000"/>
                <w:kern w:val="0"/>
                <w:sz w:val="24"/>
              </w:rPr>
            </w:pPr>
          </w:p>
        </w:tc>
        <w:tc>
          <w:tcPr>
            <w:tcW w:w="1599" w:type="dxa"/>
            <w:tcBorders>
              <w:top w:val="nil"/>
              <w:left w:val="nil"/>
              <w:bottom w:val="single" w:sz="4" w:space="0" w:color="auto"/>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Score</w:t>
            </w:r>
          </w:p>
        </w:tc>
        <w:tc>
          <w:tcPr>
            <w:tcW w:w="2514" w:type="dxa"/>
            <w:tcBorders>
              <w:top w:val="nil"/>
              <w:left w:val="nil"/>
              <w:bottom w:val="single" w:sz="4" w:space="0" w:color="auto"/>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 xml:space="preserve">The rate of positive cells </w:t>
            </w:r>
          </w:p>
        </w:tc>
      </w:tr>
      <w:tr w:rsidR="00E22EC9" w:rsidTr="00EF454D">
        <w:trPr>
          <w:trHeight w:val="300"/>
        </w:trPr>
        <w:tc>
          <w:tcPr>
            <w:tcW w:w="1350" w:type="dxa"/>
            <w:tcBorders>
              <w:top w:val="nil"/>
              <w:left w:val="nil"/>
              <w:bottom w:val="nil"/>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lastRenderedPageBreak/>
              <w:t>1</w:t>
            </w:r>
          </w:p>
        </w:tc>
        <w:tc>
          <w:tcPr>
            <w:tcW w:w="2229" w:type="dxa"/>
            <w:tcBorders>
              <w:top w:val="nil"/>
              <w:left w:val="nil"/>
              <w:bottom w:val="nil"/>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Negative staining</w:t>
            </w:r>
          </w:p>
        </w:tc>
        <w:tc>
          <w:tcPr>
            <w:tcW w:w="222" w:type="dxa"/>
            <w:tcBorders>
              <w:top w:val="nil"/>
              <w:left w:val="nil"/>
              <w:bottom w:val="nil"/>
              <w:right w:val="nil"/>
            </w:tcBorders>
            <w:vAlign w:val="bottom"/>
          </w:tcPr>
          <w:p w:rsidR="00E22EC9" w:rsidRDefault="00E22EC9" w:rsidP="00EF454D">
            <w:pPr>
              <w:widowControl/>
              <w:jc w:val="left"/>
              <w:rPr>
                <w:rFonts w:ascii="Times New Roman" w:eastAsia="Times New Roman" w:hAnsi="Times New Roman"/>
                <w:color w:val="000000"/>
                <w:kern w:val="0"/>
                <w:sz w:val="24"/>
              </w:rPr>
            </w:pPr>
          </w:p>
        </w:tc>
        <w:tc>
          <w:tcPr>
            <w:tcW w:w="1599" w:type="dxa"/>
            <w:tcBorders>
              <w:top w:val="nil"/>
              <w:left w:val="nil"/>
              <w:bottom w:val="nil"/>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1</w:t>
            </w:r>
          </w:p>
        </w:tc>
        <w:tc>
          <w:tcPr>
            <w:tcW w:w="2514" w:type="dxa"/>
            <w:tcBorders>
              <w:top w:val="nil"/>
              <w:left w:val="nil"/>
              <w:bottom w:val="nil"/>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0-25%</w:t>
            </w:r>
          </w:p>
        </w:tc>
      </w:tr>
      <w:tr w:rsidR="00E22EC9" w:rsidTr="00EF454D">
        <w:trPr>
          <w:trHeight w:val="300"/>
        </w:trPr>
        <w:tc>
          <w:tcPr>
            <w:tcW w:w="1350" w:type="dxa"/>
            <w:tcBorders>
              <w:top w:val="nil"/>
              <w:left w:val="nil"/>
              <w:bottom w:val="nil"/>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2</w:t>
            </w:r>
          </w:p>
        </w:tc>
        <w:tc>
          <w:tcPr>
            <w:tcW w:w="2229" w:type="dxa"/>
            <w:tcBorders>
              <w:top w:val="nil"/>
              <w:left w:val="nil"/>
              <w:bottom w:val="nil"/>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Moderate staining</w:t>
            </w:r>
          </w:p>
        </w:tc>
        <w:tc>
          <w:tcPr>
            <w:tcW w:w="222" w:type="dxa"/>
            <w:tcBorders>
              <w:top w:val="nil"/>
              <w:left w:val="nil"/>
              <w:bottom w:val="nil"/>
              <w:right w:val="nil"/>
            </w:tcBorders>
            <w:vAlign w:val="bottom"/>
          </w:tcPr>
          <w:p w:rsidR="00E22EC9" w:rsidRDefault="00E22EC9" w:rsidP="00EF454D">
            <w:pPr>
              <w:widowControl/>
              <w:jc w:val="left"/>
              <w:rPr>
                <w:rFonts w:ascii="Times New Roman" w:eastAsia="Times New Roman" w:hAnsi="Times New Roman"/>
                <w:color w:val="000000"/>
                <w:kern w:val="0"/>
                <w:sz w:val="24"/>
              </w:rPr>
            </w:pPr>
          </w:p>
        </w:tc>
        <w:tc>
          <w:tcPr>
            <w:tcW w:w="1599" w:type="dxa"/>
            <w:tcBorders>
              <w:top w:val="nil"/>
              <w:left w:val="nil"/>
              <w:bottom w:val="nil"/>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2</w:t>
            </w:r>
          </w:p>
        </w:tc>
        <w:tc>
          <w:tcPr>
            <w:tcW w:w="2514" w:type="dxa"/>
            <w:tcBorders>
              <w:top w:val="nil"/>
              <w:left w:val="nil"/>
              <w:bottom w:val="nil"/>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26-50%</w:t>
            </w:r>
          </w:p>
        </w:tc>
      </w:tr>
      <w:tr w:rsidR="00E22EC9" w:rsidTr="00EF454D">
        <w:trPr>
          <w:trHeight w:val="60"/>
        </w:trPr>
        <w:tc>
          <w:tcPr>
            <w:tcW w:w="1350" w:type="dxa"/>
            <w:tcBorders>
              <w:top w:val="nil"/>
              <w:left w:val="nil"/>
              <w:bottom w:val="single" w:sz="4" w:space="0" w:color="auto"/>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3</w:t>
            </w:r>
          </w:p>
        </w:tc>
        <w:tc>
          <w:tcPr>
            <w:tcW w:w="2229" w:type="dxa"/>
            <w:tcBorders>
              <w:top w:val="nil"/>
              <w:left w:val="nil"/>
              <w:bottom w:val="single" w:sz="4" w:space="0" w:color="auto"/>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Strong staining</w:t>
            </w:r>
          </w:p>
        </w:tc>
        <w:tc>
          <w:tcPr>
            <w:tcW w:w="222" w:type="dxa"/>
            <w:tcBorders>
              <w:top w:val="nil"/>
              <w:left w:val="nil"/>
              <w:bottom w:val="nil"/>
              <w:right w:val="nil"/>
            </w:tcBorders>
            <w:vAlign w:val="bottom"/>
          </w:tcPr>
          <w:p w:rsidR="00E22EC9" w:rsidRDefault="00E22EC9" w:rsidP="00EF454D">
            <w:pPr>
              <w:widowControl/>
              <w:jc w:val="left"/>
              <w:rPr>
                <w:rFonts w:ascii="Times New Roman" w:eastAsia="Times New Roman" w:hAnsi="Times New Roman"/>
                <w:color w:val="000000"/>
                <w:kern w:val="0"/>
                <w:sz w:val="24"/>
              </w:rPr>
            </w:pPr>
          </w:p>
        </w:tc>
        <w:tc>
          <w:tcPr>
            <w:tcW w:w="1599" w:type="dxa"/>
            <w:tcBorders>
              <w:top w:val="nil"/>
              <w:left w:val="nil"/>
              <w:bottom w:val="nil"/>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3</w:t>
            </w:r>
          </w:p>
        </w:tc>
        <w:tc>
          <w:tcPr>
            <w:tcW w:w="2514" w:type="dxa"/>
            <w:tcBorders>
              <w:top w:val="nil"/>
              <w:left w:val="nil"/>
              <w:bottom w:val="nil"/>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51-75%</w:t>
            </w:r>
          </w:p>
        </w:tc>
      </w:tr>
      <w:tr w:rsidR="00E22EC9" w:rsidTr="00EF454D">
        <w:trPr>
          <w:trHeight w:val="300"/>
        </w:trPr>
        <w:tc>
          <w:tcPr>
            <w:tcW w:w="1350" w:type="dxa"/>
            <w:tcBorders>
              <w:top w:val="nil"/>
              <w:left w:val="nil"/>
              <w:bottom w:val="nil"/>
              <w:right w:val="nil"/>
            </w:tcBorders>
            <w:vAlign w:val="bottom"/>
          </w:tcPr>
          <w:p w:rsidR="00E22EC9" w:rsidRDefault="00E22EC9" w:rsidP="00EF454D">
            <w:pPr>
              <w:widowControl/>
              <w:jc w:val="left"/>
              <w:rPr>
                <w:rFonts w:ascii="Times New Roman" w:eastAsia="Times New Roman" w:hAnsi="Times New Roman"/>
                <w:color w:val="000000"/>
                <w:kern w:val="0"/>
                <w:sz w:val="24"/>
              </w:rPr>
            </w:pPr>
          </w:p>
        </w:tc>
        <w:tc>
          <w:tcPr>
            <w:tcW w:w="2229" w:type="dxa"/>
            <w:tcBorders>
              <w:top w:val="nil"/>
              <w:left w:val="nil"/>
              <w:bottom w:val="nil"/>
              <w:right w:val="nil"/>
            </w:tcBorders>
            <w:vAlign w:val="bottom"/>
          </w:tcPr>
          <w:p w:rsidR="00E22EC9" w:rsidRDefault="00E22EC9" w:rsidP="00EF454D">
            <w:pPr>
              <w:widowControl/>
              <w:jc w:val="left"/>
              <w:rPr>
                <w:rFonts w:ascii="Times New Roman" w:eastAsia="Times New Roman" w:hAnsi="Times New Roman"/>
                <w:kern w:val="0"/>
                <w:sz w:val="24"/>
              </w:rPr>
            </w:pPr>
          </w:p>
        </w:tc>
        <w:tc>
          <w:tcPr>
            <w:tcW w:w="222" w:type="dxa"/>
            <w:tcBorders>
              <w:top w:val="nil"/>
              <w:left w:val="nil"/>
              <w:bottom w:val="nil"/>
              <w:right w:val="nil"/>
            </w:tcBorders>
            <w:vAlign w:val="bottom"/>
          </w:tcPr>
          <w:p w:rsidR="00E22EC9" w:rsidRDefault="00E22EC9" w:rsidP="00EF454D">
            <w:pPr>
              <w:widowControl/>
              <w:jc w:val="left"/>
              <w:rPr>
                <w:rFonts w:ascii="Times New Roman" w:eastAsia="Times New Roman" w:hAnsi="Times New Roman"/>
                <w:kern w:val="0"/>
                <w:sz w:val="24"/>
              </w:rPr>
            </w:pPr>
          </w:p>
        </w:tc>
        <w:tc>
          <w:tcPr>
            <w:tcW w:w="1599" w:type="dxa"/>
            <w:tcBorders>
              <w:top w:val="nil"/>
              <w:left w:val="nil"/>
              <w:bottom w:val="single" w:sz="4" w:space="0" w:color="auto"/>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4</w:t>
            </w:r>
          </w:p>
        </w:tc>
        <w:tc>
          <w:tcPr>
            <w:tcW w:w="2514" w:type="dxa"/>
            <w:tcBorders>
              <w:top w:val="nil"/>
              <w:left w:val="nil"/>
              <w:bottom w:val="single" w:sz="4" w:space="0" w:color="auto"/>
              <w:right w:val="nil"/>
            </w:tcBorders>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&gt;75%</w:t>
            </w:r>
          </w:p>
        </w:tc>
      </w:tr>
    </w:tbl>
    <w:p w:rsidR="00E22EC9" w:rsidRDefault="00E22EC9" w:rsidP="00E22EC9">
      <w:pPr>
        <w:spacing w:line="480" w:lineRule="auto"/>
        <w:rPr>
          <w:rFonts w:ascii="Times New Roman" w:hAnsi="Times New Roman"/>
          <w:color w:val="000000"/>
          <w:sz w:val="24"/>
          <w:shd w:val="clear" w:color="auto" w:fill="FFFFFF"/>
        </w:rPr>
      </w:pPr>
    </w:p>
    <w:p w:rsidR="00E22EC9" w:rsidRDefault="00E22EC9" w:rsidP="00E22EC9">
      <w:pPr>
        <w:widowControl/>
        <w:spacing w:line="480" w:lineRule="auto"/>
        <w:rPr>
          <w:rFonts w:ascii="Times New Roman" w:hAnsi="Times New Roman"/>
          <w:sz w:val="24"/>
        </w:rPr>
      </w:pPr>
    </w:p>
    <w:p w:rsidR="00E22EC9" w:rsidRDefault="00E22EC9" w:rsidP="00E22EC9">
      <w:pPr>
        <w:spacing w:line="360" w:lineRule="auto"/>
        <w:jc w:val="left"/>
        <w:rPr>
          <w:rFonts w:ascii="Times New Roman" w:hAnsi="Times New Roman"/>
          <w:b/>
          <w:bCs/>
          <w:sz w:val="24"/>
        </w:rPr>
      </w:pPr>
      <w:r>
        <w:rPr>
          <w:rFonts w:ascii="Times New Roman" w:hAnsi="Times New Roman"/>
          <w:b/>
          <w:bCs/>
          <w:sz w:val="24"/>
        </w:rPr>
        <w:t>Quantitative RT-PCR</w:t>
      </w:r>
    </w:p>
    <w:p w:rsidR="00E22EC9" w:rsidRDefault="00E22EC9" w:rsidP="00E22EC9">
      <w:pPr>
        <w:spacing w:line="480" w:lineRule="auto"/>
        <w:rPr>
          <w:rFonts w:ascii="Times New Roman" w:hAnsi="Times New Roman"/>
          <w:color w:val="231F20"/>
          <w:sz w:val="24"/>
        </w:rPr>
      </w:pPr>
      <w:r>
        <w:rPr>
          <w:rFonts w:ascii="Times New Roman" w:hAnsi="Times New Roman"/>
          <w:color w:val="231F20"/>
          <w:sz w:val="24"/>
        </w:rPr>
        <w:t>The tissue pieces were first cut into small pieces, and then a homogenizer was used to extract total RNA using the Trizol method. We compared the differences in IL-10, PD-L1, and M</w:t>
      </w:r>
      <w:r>
        <w:rPr>
          <w:rFonts w:ascii="Times New Roman" w:hAnsi="Times New Roman" w:hint="eastAsia"/>
          <w:color w:val="231F20"/>
          <w:sz w:val="24"/>
        </w:rPr>
        <w:t xml:space="preserve">et </w:t>
      </w:r>
      <w:r>
        <w:rPr>
          <w:rFonts w:ascii="Times New Roman" w:hAnsi="Times New Roman"/>
          <w:color w:val="231F20"/>
          <w:sz w:val="24"/>
        </w:rPr>
        <w:t xml:space="preserve">mRNA expression among cancerous, adjacent, and normal tissues. </w:t>
      </w:r>
      <w:r>
        <w:rPr>
          <w:rFonts w:ascii="Times New Roman" w:hAnsi="Times New Roman"/>
          <w:sz w:val="24"/>
        </w:rPr>
        <w:t>The primers (</w:t>
      </w:r>
      <w:r>
        <w:rPr>
          <w:rFonts w:ascii="Times New Roman" w:hAnsi="Times New Roman" w:hint="eastAsia"/>
          <w:sz w:val="24"/>
        </w:rPr>
        <w:t>Sangon</w:t>
      </w:r>
      <w:r>
        <w:rPr>
          <w:rFonts w:ascii="Times New Roman" w:hAnsi="Times New Roman"/>
          <w:sz w:val="24"/>
        </w:rPr>
        <w:t>, Shanghai, China) were listed in the supplementary material</w:t>
      </w:r>
      <w:r>
        <w:rPr>
          <w:rFonts w:ascii="Times New Roman" w:hAnsi="Times New Roman" w:hint="eastAsia"/>
          <w:sz w:val="24"/>
        </w:rPr>
        <w:t>（</w:t>
      </w:r>
      <w:r>
        <w:rPr>
          <w:rFonts w:ascii="Times New Roman" w:hAnsi="Times New Roman" w:hint="eastAsia"/>
          <w:sz w:val="24"/>
        </w:rPr>
        <w:t>TableS2</w:t>
      </w:r>
      <w:r>
        <w:rPr>
          <w:rFonts w:ascii="Times New Roman" w:hAnsi="Times New Roman" w:hint="eastAsia"/>
          <w:sz w:val="24"/>
        </w:rPr>
        <w:t>）</w:t>
      </w:r>
      <w:r>
        <w:rPr>
          <w:rFonts w:ascii="Times New Roman" w:hAnsi="Times New Roman"/>
          <w:sz w:val="24"/>
        </w:rPr>
        <w:t>. A Takara (Takara, Tokyo, Japan) RT-PCR Kit were used for this assay.</w:t>
      </w:r>
    </w:p>
    <w:p w:rsidR="00E22EC9" w:rsidRDefault="00E22EC9" w:rsidP="00E22EC9">
      <w:pPr>
        <w:spacing w:line="360" w:lineRule="auto"/>
        <w:jc w:val="center"/>
        <w:rPr>
          <w:rFonts w:ascii="Times New Roman" w:hAnsi="Times New Roman"/>
          <w:b/>
          <w:sz w:val="24"/>
        </w:rPr>
      </w:pPr>
    </w:p>
    <w:p w:rsidR="00E22EC9" w:rsidRDefault="00E22EC9" w:rsidP="00E22EC9">
      <w:pPr>
        <w:spacing w:line="360" w:lineRule="auto"/>
        <w:jc w:val="center"/>
        <w:rPr>
          <w:rFonts w:ascii="Times New Roman" w:hAnsi="Times New Roman"/>
          <w:b/>
          <w:sz w:val="24"/>
        </w:rPr>
      </w:pPr>
    </w:p>
    <w:p w:rsidR="00E22EC9" w:rsidRDefault="00E22EC9" w:rsidP="00E22EC9">
      <w:pPr>
        <w:spacing w:line="360" w:lineRule="auto"/>
        <w:jc w:val="center"/>
        <w:rPr>
          <w:rFonts w:ascii="Times New Roman" w:hAnsi="Times New Roman"/>
          <w:b/>
          <w:sz w:val="24"/>
        </w:rPr>
      </w:pPr>
      <w:r>
        <w:rPr>
          <w:rFonts w:ascii="Times New Roman" w:hAnsi="Times New Roman"/>
          <w:b/>
          <w:sz w:val="24"/>
        </w:rPr>
        <w:t>Table S2. Primers for RT-PCR</w:t>
      </w:r>
    </w:p>
    <w:tbl>
      <w:tblPr>
        <w:tblpPr w:leftFromText="180" w:rightFromText="180" w:vertAnchor="text" w:horzAnchor="page" w:tblpX="2545" w:tblpY="294"/>
        <w:tblOverlap w:val="never"/>
        <w:tblW w:w="7800" w:type="dxa"/>
        <w:tblLook w:val="0000" w:firstRow="0" w:lastRow="0" w:firstColumn="0" w:lastColumn="0" w:noHBand="0" w:noVBand="0"/>
      </w:tblPr>
      <w:tblGrid>
        <w:gridCol w:w="1240"/>
        <w:gridCol w:w="6560"/>
      </w:tblGrid>
      <w:tr w:rsidR="00E22EC9" w:rsidTr="00EF454D">
        <w:trPr>
          <w:trHeight w:val="315"/>
        </w:trPr>
        <w:tc>
          <w:tcPr>
            <w:tcW w:w="1240" w:type="dxa"/>
            <w:tcBorders>
              <w:top w:val="single" w:sz="4" w:space="0" w:color="auto"/>
              <w:left w:val="nil"/>
              <w:bottom w:val="single" w:sz="4" w:space="0" w:color="auto"/>
              <w:right w:val="nil"/>
            </w:tcBorders>
            <w:noWrap/>
            <w:vAlign w:val="bottom"/>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Gene</w:t>
            </w:r>
          </w:p>
        </w:tc>
        <w:tc>
          <w:tcPr>
            <w:tcW w:w="6560" w:type="dxa"/>
            <w:tcBorders>
              <w:top w:val="single" w:sz="4" w:space="0" w:color="auto"/>
              <w:left w:val="nil"/>
              <w:bottom w:val="single" w:sz="4" w:space="0" w:color="auto"/>
              <w:right w:val="nil"/>
            </w:tcBorders>
            <w:noWrap/>
            <w:vAlign w:val="center"/>
          </w:tcPr>
          <w:p w:rsidR="00E22EC9" w:rsidRDefault="00E22EC9" w:rsidP="00EF454D">
            <w:pPr>
              <w:widowControl/>
              <w:jc w:val="center"/>
              <w:rPr>
                <w:rFonts w:ascii="Times New Roman" w:eastAsia="Times New Roman" w:hAnsi="Times New Roman"/>
                <w:color w:val="000000"/>
                <w:kern w:val="0"/>
                <w:sz w:val="24"/>
              </w:rPr>
            </w:pPr>
            <w:r>
              <w:rPr>
                <w:rFonts w:ascii="Times New Roman" w:eastAsia="Times New Roman" w:hAnsi="Times New Roman"/>
                <w:color w:val="000000"/>
                <w:kern w:val="0"/>
                <w:sz w:val="24"/>
              </w:rPr>
              <w:t>Sequence</w:t>
            </w:r>
          </w:p>
        </w:tc>
      </w:tr>
      <w:tr w:rsidR="00E22EC9" w:rsidTr="00EF454D">
        <w:trPr>
          <w:trHeight w:val="315"/>
        </w:trPr>
        <w:tc>
          <w:tcPr>
            <w:tcW w:w="1240" w:type="dxa"/>
            <w:vMerge w:val="restart"/>
            <w:tcBorders>
              <w:top w:val="nil"/>
              <w:left w:val="nil"/>
              <w:bottom w:val="single" w:sz="4" w:space="0" w:color="000000"/>
              <w:right w:val="nil"/>
            </w:tcBorders>
            <w:noWrap/>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IL-10</w:t>
            </w:r>
          </w:p>
        </w:tc>
        <w:tc>
          <w:tcPr>
            <w:tcW w:w="6560" w:type="dxa"/>
            <w:tcBorders>
              <w:top w:val="nil"/>
              <w:left w:val="nil"/>
              <w:bottom w:val="nil"/>
              <w:right w:val="nil"/>
            </w:tcBorders>
            <w:noWrap/>
            <w:vAlign w:val="bottom"/>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Forward 5’-</w:t>
            </w:r>
            <w:r>
              <w:rPr>
                <w:rFonts w:ascii="Times New Roman" w:hAnsi="Times New Roman"/>
                <w:color w:val="231F20"/>
                <w:kern w:val="0"/>
                <w:sz w:val="24"/>
                <w:lang w:bidi="ar"/>
              </w:rPr>
              <w:t>CTT</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CGA</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GAT</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CTC</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CGA</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GAT</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GCC</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TTC</w:t>
            </w:r>
            <w:r>
              <w:rPr>
                <w:rFonts w:ascii="Times New Roman" w:hAnsi="Times New Roman" w:hint="eastAsia"/>
                <w:color w:val="231F20"/>
                <w:kern w:val="0"/>
                <w:sz w:val="24"/>
                <w:lang w:bidi="ar"/>
              </w:rPr>
              <w:t>-3</w:t>
            </w:r>
            <w:r>
              <w:rPr>
                <w:rFonts w:ascii="Times New Roman" w:hAnsi="Times New Roman"/>
                <w:color w:val="231F20"/>
                <w:kern w:val="0"/>
                <w:sz w:val="24"/>
                <w:lang w:bidi="ar"/>
              </w:rPr>
              <w:t>’</w:t>
            </w:r>
          </w:p>
        </w:tc>
      </w:tr>
      <w:tr w:rsidR="00E22EC9" w:rsidTr="00EF454D">
        <w:trPr>
          <w:trHeight w:val="315"/>
        </w:trPr>
        <w:tc>
          <w:tcPr>
            <w:tcW w:w="1240" w:type="dxa"/>
            <w:vMerge/>
            <w:tcBorders>
              <w:top w:val="nil"/>
              <w:left w:val="nil"/>
              <w:bottom w:val="single" w:sz="4" w:space="0" w:color="000000"/>
              <w:right w:val="nil"/>
            </w:tcBorders>
            <w:vAlign w:val="center"/>
          </w:tcPr>
          <w:p w:rsidR="00E22EC9" w:rsidRDefault="00E22EC9" w:rsidP="00EF454D">
            <w:pPr>
              <w:widowControl/>
              <w:jc w:val="left"/>
              <w:rPr>
                <w:rFonts w:ascii="Times New Roman" w:eastAsia="Times New Roman" w:hAnsi="Times New Roman"/>
                <w:color w:val="000000"/>
                <w:kern w:val="0"/>
                <w:sz w:val="24"/>
              </w:rPr>
            </w:pPr>
          </w:p>
        </w:tc>
        <w:tc>
          <w:tcPr>
            <w:tcW w:w="6560" w:type="dxa"/>
            <w:tcBorders>
              <w:top w:val="nil"/>
              <w:left w:val="nil"/>
              <w:bottom w:val="single" w:sz="4" w:space="0" w:color="auto"/>
              <w:right w:val="nil"/>
            </w:tcBorders>
            <w:noWrap/>
            <w:vAlign w:val="bottom"/>
          </w:tcPr>
          <w:p w:rsidR="00E22EC9" w:rsidRDefault="00E22EC9" w:rsidP="00EF454D">
            <w:pPr>
              <w:widowControl/>
              <w:jc w:val="left"/>
              <w:rPr>
                <w:rFonts w:ascii="Times New Roman" w:hAnsi="Times New Roman"/>
                <w:color w:val="000000"/>
                <w:kern w:val="0"/>
                <w:sz w:val="24"/>
              </w:rPr>
            </w:pPr>
            <w:r>
              <w:rPr>
                <w:rFonts w:ascii="Times New Roman" w:eastAsia="Times New Roman" w:hAnsi="Times New Roman"/>
                <w:color w:val="000000"/>
                <w:kern w:val="0"/>
                <w:sz w:val="24"/>
              </w:rPr>
              <w:t>Reverse 5’-</w:t>
            </w:r>
            <w:r>
              <w:rPr>
                <w:rFonts w:ascii="Times New Roman" w:hAnsi="Times New Roman"/>
                <w:color w:val="231F20"/>
                <w:kern w:val="0"/>
                <w:sz w:val="24"/>
                <w:lang w:bidi="ar"/>
              </w:rPr>
              <w:t>ATT</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CTT</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CAC</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CTG</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CTC</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CAC</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GGC</w:t>
            </w:r>
            <w:r>
              <w:rPr>
                <w:rFonts w:ascii="Times New Roman" w:hAnsi="Times New Roman" w:hint="eastAsia"/>
                <w:color w:val="231F20"/>
                <w:kern w:val="0"/>
                <w:sz w:val="24"/>
                <w:lang w:bidi="ar"/>
              </w:rPr>
              <w:t xml:space="preserve"> </w:t>
            </w:r>
            <w:r>
              <w:rPr>
                <w:rFonts w:ascii="Times New Roman" w:hAnsi="Times New Roman"/>
                <w:color w:val="231F20"/>
                <w:kern w:val="0"/>
                <w:sz w:val="24"/>
                <w:lang w:bidi="ar"/>
              </w:rPr>
              <w:t>CTT</w:t>
            </w:r>
            <w:r>
              <w:rPr>
                <w:rFonts w:ascii="Times New Roman" w:hAnsi="Times New Roman" w:hint="eastAsia"/>
                <w:color w:val="231F20"/>
                <w:kern w:val="0"/>
                <w:sz w:val="24"/>
                <w:lang w:bidi="ar"/>
              </w:rPr>
              <w:t>-3</w:t>
            </w:r>
            <w:r>
              <w:rPr>
                <w:rFonts w:ascii="Times New Roman" w:hAnsi="Times New Roman"/>
                <w:color w:val="231F20"/>
                <w:kern w:val="0"/>
                <w:sz w:val="24"/>
                <w:lang w:bidi="ar"/>
              </w:rPr>
              <w:t>’</w:t>
            </w:r>
          </w:p>
        </w:tc>
      </w:tr>
      <w:tr w:rsidR="00E22EC9" w:rsidTr="00EF454D">
        <w:trPr>
          <w:trHeight w:val="315"/>
        </w:trPr>
        <w:tc>
          <w:tcPr>
            <w:tcW w:w="1240" w:type="dxa"/>
            <w:vMerge w:val="restart"/>
            <w:tcBorders>
              <w:top w:val="nil"/>
              <w:left w:val="nil"/>
              <w:bottom w:val="single" w:sz="4" w:space="0" w:color="000000"/>
              <w:right w:val="nil"/>
            </w:tcBorders>
            <w:noWrap/>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Met</w:t>
            </w:r>
          </w:p>
        </w:tc>
        <w:tc>
          <w:tcPr>
            <w:tcW w:w="6560" w:type="dxa"/>
            <w:tcBorders>
              <w:top w:val="nil"/>
              <w:left w:val="nil"/>
              <w:bottom w:val="nil"/>
              <w:right w:val="nil"/>
            </w:tcBorders>
            <w:noWrap/>
            <w:vAlign w:val="bottom"/>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forward 5’-</w:t>
            </w:r>
            <w:r>
              <w:rPr>
                <w:rFonts w:ascii="Times New Roman" w:hAnsi="Times New Roman" w:hint="eastAsia"/>
                <w:color w:val="000000"/>
                <w:kern w:val="0"/>
                <w:sz w:val="24"/>
              </w:rPr>
              <w:t>GGT TCA CTG CAT ATT CTC CCC</w:t>
            </w:r>
            <w:r>
              <w:rPr>
                <w:rFonts w:ascii="Times New Roman" w:eastAsia="Times New Roman" w:hAnsi="Times New Roman"/>
                <w:color w:val="000000"/>
                <w:kern w:val="0"/>
                <w:sz w:val="24"/>
              </w:rPr>
              <w:t>-3’</w:t>
            </w:r>
          </w:p>
        </w:tc>
      </w:tr>
      <w:tr w:rsidR="00E22EC9" w:rsidTr="00EF454D">
        <w:trPr>
          <w:trHeight w:val="315"/>
        </w:trPr>
        <w:tc>
          <w:tcPr>
            <w:tcW w:w="1240" w:type="dxa"/>
            <w:vMerge/>
            <w:tcBorders>
              <w:top w:val="nil"/>
              <w:left w:val="nil"/>
              <w:bottom w:val="single" w:sz="4" w:space="0" w:color="000000"/>
              <w:right w:val="nil"/>
            </w:tcBorders>
            <w:vAlign w:val="center"/>
          </w:tcPr>
          <w:p w:rsidR="00E22EC9" w:rsidRDefault="00E22EC9" w:rsidP="00EF454D">
            <w:pPr>
              <w:widowControl/>
              <w:jc w:val="left"/>
              <w:rPr>
                <w:rFonts w:ascii="Times New Roman" w:eastAsia="Times New Roman" w:hAnsi="Times New Roman"/>
                <w:color w:val="000000"/>
                <w:kern w:val="0"/>
                <w:sz w:val="24"/>
              </w:rPr>
            </w:pPr>
          </w:p>
        </w:tc>
        <w:tc>
          <w:tcPr>
            <w:tcW w:w="6560" w:type="dxa"/>
            <w:tcBorders>
              <w:top w:val="nil"/>
              <w:left w:val="nil"/>
              <w:bottom w:val="single" w:sz="4" w:space="0" w:color="auto"/>
              <w:right w:val="nil"/>
            </w:tcBorders>
            <w:noWrap/>
            <w:vAlign w:val="bottom"/>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Reverse 5’-</w:t>
            </w:r>
            <w:r>
              <w:rPr>
                <w:rFonts w:ascii="Times New Roman" w:hAnsi="Times New Roman" w:hint="eastAsia"/>
                <w:color w:val="000000"/>
                <w:kern w:val="0"/>
                <w:sz w:val="24"/>
              </w:rPr>
              <w:t>ACC ATC TTT CGT TTC CTT TAG CC</w:t>
            </w:r>
            <w:r>
              <w:rPr>
                <w:rFonts w:ascii="Times New Roman" w:eastAsia="Times New Roman" w:hAnsi="Times New Roman"/>
                <w:color w:val="000000"/>
                <w:kern w:val="0"/>
                <w:sz w:val="24"/>
              </w:rPr>
              <w:t>-3’</w:t>
            </w:r>
          </w:p>
        </w:tc>
      </w:tr>
      <w:tr w:rsidR="00E22EC9" w:rsidTr="00EF454D">
        <w:trPr>
          <w:trHeight w:val="315"/>
        </w:trPr>
        <w:tc>
          <w:tcPr>
            <w:tcW w:w="1240" w:type="dxa"/>
            <w:vMerge w:val="restart"/>
            <w:tcBorders>
              <w:top w:val="nil"/>
              <w:left w:val="nil"/>
              <w:bottom w:val="single" w:sz="4" w:space="0" w:color="000000"/>
              <w:right w:val="nil"/>
            </w:tcBorders>
            <w:noWrap/>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PD-L1</w:t>
            </w:r>
          </w:p>
        </w:tc>
        <w:tc>
          <w:tcPr>
            <w:tcW w:w="6560" w:type="dxa"/>
            <w:tcBorders>
              <w:top w:val="nil"/>
              <w:left w:val="nil"/>
              <w:bottom w:val="nil"/>
              <w:right w:val="nil"/>
            </w:tcBorders>
            <w:noWrap/>
            <w:vAlign w:val="bottom"/>
          </w:tcPr>
          <w:p w:rsidR="00E22EC9" w:rsidRDefault="00E22EC9" w:rsidP="00EF454D">
            <w:pPr>
              <w:widowControl/>
              <w:jc w:val="left"/>
              <w:rPr>
                <w:rFonts w:ascii="Times New Roman" w:eastAsia="Times New Roman" w:hAnsi="Times New Roman"/>
                <w:color w:val="231F20"/>
                <w:kern w:val="0"/>
                <w:sz w:val="24"/>
              </w:rPr>
            </w:pPr>
            <w:r>
              <w:rPr>
                <w:rFonts w:ascii="Times New Roman" w:eastAsia="Times New Roman" w:hAnsi="Times New Roman"/>
                <w:color w:val="231F20"/>
                <w:kern w:val="0"/>
                <w:sz w:val="24"/>
              </w:rPr>
              <w:t>Forward 5’-ACT GGC ATT TGC TGA ACG-3’</w:t>
            </w:r>
          </w:p>
        </w:tc>
      </w:tr>
      <w:tr w:rsidR="00E22EC9" w:rsidTr="00EF454D">
        <w:trPr>
          <w:trHeight w:val="315"/>
        </w:trPr>
        <w:tc>
          <w:tcPr>
            <w:tcW w:w="1240" w:type="dxa"/>
            <w:vMerge/>
            <w:tcBorders>
              <w:top w:val="nil"/>
              <w:left w:val="nil"/>
              <w:bottom w:val="single" w:sz="4" w:space="0" w:color="000000"/>
              <w:right w:val="nil"/>
            </w:tcBorders>
            <w:vAlign w:val="center"/>
          </w:tcPr>
          <w:p w:rsidR="00E22EC9" w:rsidRDefault="00E22EC9" w:rsidP="00EF454D">
            <w:pPr>
              <w:widowControl/>
              <w:jc w:val="left"/>
              <w:rPr>
                <w:rFonts w:ascii="Times New Roman" w:eastAsia="Times New Roman" w:hAnsi="Times New Roman"/>
                <w:color w:val="000000"/>
                <w:kern w:val="0"/>
                <w:sz w:val="24"/>
              </w:rPr>
            </w:pPr>
          </w:p>
        </w:tc>
        <w:tc>
          <w:tcPr>
            <w:tcW w:w="6560" w:type="dxa"/>
            <w:tcBorders>
              <w:top w:val="nil"/>
              <w:left w:val="nil"/>
              <w:bottom w:val="single" w:sz="4" w:space="0" w:color="auto"/>
              <w:right w:val="nil"/>
            </w:tcBorders>
            <w:noWrap/>
            <w:vAlign w:val="bottom"/>
          </w:tcPr>
          <w:p w:rsidR="00E22EC9" w:rsidRDefault="00E22EC9" w:rsidP="00EF454D">
            <w:pPr>
              <w:widowControl/>
              <w:jc w:val="left"/>
              <w:rPr>
                <w:rFonts w:ascii="Times New Roman" w:eastAsia="Times New Roman" w:hAnsi="Times New Roman"/>
                <w:color w:val="231F20"/>
                <w:kern w:val="0"/>
                <w:sz w:val="24"/>
              </w:rPr>
            </w:pPr>
            <w:r>
              <w:rPr>
                <w:rFonts w:ascii="Times New Roman" w:eastAsia="Times New Roman" w:hAnsi="Times New Roman"/>
                <w:color w:val="231F20"/>
                <w:kern w:val="0"/>
                <w:sz w:val="24"/>
              </w:rPr>
              <w:t>Reverse 5’-TCC TCC ATT TCC CAA TAG AC-3’</w:t>
            </w:r>
          </w:p>
        </w:tc>
      </w:tr>
      <w:tr w:rsidR="00E22EC9" w:rsidTr="00EF454D">
        <w:trPr>
          <w:trHeight w:val="315"/>
        </w:trPr>
        <w:tc>
          <w:tcPr>
            <w:tcW w:w="1240" w:type="dxa"/>
            <w:vMerge w:val="restart"/>
            <w:tcBorders>
              <w:top w:val="nil"/>
              <w:left w:val="nil"/>
              <w:bottom w:val="single" w:sz="4" w:space="0" w:color="000000"/>
              <w:right w:val="nil"/>
            </w:tcBorders>
            <w:noWrap/>
            <w:vAlign w:val="center"/>
          </w:tcPr>
          <w:p w:rsidR="00E22EC9" w:rsidRDefault="00E22EC9" w:rsidP="00EF454D">
            <w:pPr>
              <w:widowControl/>
              <w:jc w:val="left"/>
              <w:rPr>
                <w:rFonts w:ascii="Times New Roman" w:eastAsia="Times New Roman" w:hAnsi="Times New Roman"/>
                <w:color w:val="231F20"/>
                <w:kern w:val="0"/>
                <w:sz w:val="24"/>
              </w:rPr>
            </w:pPr>
            <w:r>
              <w:rPr>
                <w:rFonts w:ascii="Times New Roman" w:eastAsia="Times New Roman" w:hAnsi="Times New Roman"/>
                <w:color w:val="231F20"/>
                <w:kern w:val="0"/>
                <w:sz w:val="24"/>
              </w:rPr>
              <w:t>GADPH</w:t>
            </w:r>
          </w:p>
        </w:tc>
        <w:tc>
          <w:tcPr>
            <w:tcW w:w="6560" w:type="dxa"/>
            <w:tcBorders>
              <w:top w:val="nil"/>
              <w:left w:val="nil"/>
              <w:bottom w:val="nil"/>
              <w:right w:val="nil"/>
            </w:tcBorders>
            <w:noWrap/>
            <w:vAlign w:val="bottom"/>
          </w:tcPr>
          <w:p w:rsidR="00E22EC9" w:rsidRDefault="00E22EC9" w:rsidP="00EF454D">
            <w:pPr>
              <w:widowControl/>
              <w:jc w:val="left"/>
              <w:rPr>
                <w:rFonts w:ascii="Times New Roman" w:eastAsia="Times New Roman" w:hAnsi="Times New Roman"/>
                <w:color w:val="231F20"/>
                <w:kern w:val="0"/>
                <w:sz w:val="24"/>
              </w:rPr>
            </w:pPr>
            <w:r>
              <w:rPr>
                <w:rFonts w:ascii="Times New Roman" w:eastAsia="Times New Roman" w:hAnsi="Times New Roman"/>
                <w:color w:val="231F20"/>
                <w:kern w:val="0"/>
                <w:sz w:val="24"/>
              </w:rPr>
              <w:t>Forward 5’-TGA CTT CAA CAG CGA CAC CCA-3’</w:t>
            </w:r>
          </w:p>
        </w:tc>
      </w:tr>
      <w:tr w:rsidR="00E22EC9" w:rsidTr="00EF454D">
        <w:trPr>
          <w:trHeight w:val="315"/>
        </w:trPr>
        <w:tc>
          <w:tcPr>
            <w:tcW w:w="1240" w:type="dxa"/>
            <w:vMerge/>
            <w:tcBorders>
              <w:top w:val="nil"/>
              <w:left w:val="nil"/>
              <w:bottom w:val="single" w:sz="4" w:space="0" w:color="000000"/>
              <w:right w:val="nil"/>
            </w:tcBorders>
            <w:vAlign w:val="center"/>
          </w:tcPr>
          <w:p w:rsidR="00E22EC9" w:rsidRDefault="00E22EC9" w:rsidP="00EF454D">
            <w:pPr>
              <w:widowControl/>
              <w:jc w:val="left"/>
              <w:rPr>
                <w:rFonts w:ascii="Times New Roman" w:eastAsia="Times New Roman" w:hAnsi="Times New Roman"/>
                <w:color w:val="231F20"/>
                <w:kern w:val="0"/>
                <w:sz w:val="24"/>
              </w:rPr>
            </w:pPr>
          </w:p>
        </w:tc>
        <w:tc>
          <w:tcPr>
            <w:tcW w:w="6560" w:type="dxa"/>
            <w:tcBorders>
              <w:top w:val="nil"/>
              <w:left w:val="nil"/>
              <w:bottom w:val="single" w:sz="4" w:space="0" w:color="auto"/>
              <w:right w:val="nil"/>
            </w:tcBorders>
            <w:noWrap/>
            <w:vAlign w:val="bottom"/>
          </w:tcPr>
          <w:p w:rsidR="00E22EC9" w:rsidRDefault="00E22EC9" w:rsidP="00EF454D">
            <w:pPr>
              <w:widowControl/>
              <w:jc w:val="left"/>
              <w:rPr>
                <w:rFonts w:ascii="Times New Roman" w:eastAsia="Times New Roman" w:hAnsi="Times New Roman"/>
                <w:color w:val="231F20"/>
                <w:kern w:val="0"/>
                <w:sz w:val="24"/>
              </w:rPr>
            </w:pPr>
            <w:r>
              <w:rPr>
                <w:rFonts w:ascii="Times New Roman" w:eastAsia="Times New Roman" w:hAnsi="Times New Roman"/>
                <w:color w:val="231F20"/>
                <w:kern w:val="0"/>
                <w:sz w:val="24"/>
              </w:rPr>
              <w:t>Reverse 5’-CAC CCT GTT GCT GTA GCC AAA-3’</w:t>
            </w:r>
          </w:p>
        </w:tc>
      </w:tr>
    </w:tbl>
    <w:p w:rsidR="00E22EC9" w:rsidRDefault="00E22EC9" w:rsidP="00E22EC9">
      <w:pPr>
        <w:spacing w:line="360" w:lineRule="auto"/>
        <w:jc w:val="center"/>
        <w:rPr>
          <w:rFonts w:ascii="Times New Roman" w:hAnsi="Times New Roman"/>
          <w:b/>
          <w:sz w:val="24"/>
        </w:rPr>
      </w:pPr>
    </w:p>
    <w:p w:rsidR="00E22EC9" w:rsidRDefault="00E22EC9" w:rsidP="00E22EC9">
      <w:pPr>
        <w:pStyle w:val="EndNoteBibliography"/>
        <w:spacing w:line="480" w:lineRule="auto"/>
        <w:rPr>
          <w:rFonts w:ascii="Times New Roman" w:hAnsi="Times New Roman" w:cs="Times New Roman"/>
          <w:sz w:val="24"/>
        </w:rPr>
      </w:pPr>
    </w:p>
    <w:p w:rsidR="00E22EC9" w:rsidRDefault="00E22EC9" w:rsidP="00E22EC9">
      <w:pPr>
        <w:pStyle w:val="EndNoteBibliography"/>
        <w:spacing w:line="480" w:lineRule="auto"/>
        <w:rPr>
          <w:rFonts w:ascii="Times New Roman" w:hAnsi="Times New Roman" w:cs="Times New Roman"/>
          <w:sz w:val="24"/>
        </w:rPr>
      </w:pPr>
    </w:p>
    <w:p w:rsidR="00E22EC9" w:rsidRDefault="00E22EC9" w:rsidP="00E22EC9">
      <w:pPr>
        <w:pStyle w:val="EndNoteBibliography"/>
        <w:spacing w:line="480" w:lineRule="auto"/>
        <w:rPr>
          <w:rFonts w:ascii="Times New Roman" w:hAnsi="Times New Roman" w:cs="Times New Roman"/>
          <w:sz w:val="24"/>
        </w:rPr>
      </w:pPr>
    </w:p>
    <w:p w:rsidR="00E22EC9" w:rsidRDefault="00E22EC9" w:rsidP="00E22EC9">
      <w:pPr>
        <w:spacing w:line="360" w:lineRule="auto"/>
        <w:jc w:val="left"/>
        <w:rPr>
          <w:rFonts w:ascii="Times New Roman" w:hAnsi="Times New Roman"/>
          <w:bCs/>
          <w:sz w:val="24"/>
        </w:rPr>
      </w:pPr>
    </w:p>
    <w:p w:rsidR="00E22EC9" w:rsidRDefault="00E22EC9" w:rsidP="00E22EC9">
      <w:pPr>
        <w:spacing w:line="360" w:lineRule="auto"/>
        <w:jc w:val="left"/>
        <w:rPr>
          <w:rFonts w:ascii="Times New Roman" w:hAnsi="Times New Roman"/>
          <w:bCs/>
          <w:sz w:val="24"/>
        </w:rPr>
      </w:pPr>
    </w:p>
    <w:p w:rsidR="00E22EC9" w:rsidRDefault="00E22EC9" w:rsidP="00E22EC9">
      <w:pPr>
        <w:spacing w:line="360" w:lineRule="auto"/>
        <w:jc w:val="left"/>
        <w:rPr>
          <w:rFonts w:ascii="Times New Roman" w:hAnsi="Times New Roman"/>
          <w:bCs/>
          <w:sz w:val="24"/>
        </w:rPr>
      </w:pPr>
    </w:p>
    <w:p w:rsidR="00E22EC9" w:rsidRDefault="00E22EC9" w:rsidP="00E22EC9">
      <w:pPr>
        <w:spacing w:line="360" w:lineRule="auto"/>
        <w:jc w:val="left"/>
        <w:rPr>
          <w:rFonts w:ascii="Times New Roman" w:hAnsi="Times New Roman"/>
          <w:b/>
          <w:bCs/>
          <w:sz w:val="24"/>
        </w:rPr>
      </w:pPr>
      <w:r>
        <w:rPr>
          <w:rFonts w:ascii="Times New Roman" w:hAnsi="Times New Roman"/>
          <w:b/>
          <w:bCs/>
          <w:sz w:val="24"/>
        </w:rPr>
        <w:t>Cell culture</w:t>
      </w:r>
    </w:p>
    <w:p w:rsidR="00E22EC9" w:rsidRDefault="00E22EC9" w:rsidP="00E22EC9">
      <w:pPr>
        <w:spacing w:line="480" w:lineRule="auto"/>
        <w:rPr>
          <w:rFonts w:ascii="Times New Roman" w:hAnsi="Times New Roman"/>
          <w:sz w:val="24"/>
        </w:rPr>
      </w:pPr>
      <w:r>
        <w:rPr>
          <w:rFonts w:ascii="Times New Roman" w:hAnsi="Times New Roman"/>
          <w:sz w:val="24"/>
        </w:rPr>
        <w:t xml:space="preserve">The </w:t>
      </w:r>
      <w:r>
        <w:rPr>
          <w:rFonts w:ascii="Times New Roman" w:hAnsi="Times New Roman" w:hint="eastAsia"/>
          <w:sz w:val="24"/>
        </w:rPr>
        <w:t>LIHC</w:t>
      </w:r>
      <w:r>
        <w:rPr>
          <w:rFonts w:ascii="Times New Roman" w:hAnsi="Times New Roman"/>
          <w:sz w:val="24"/>
        </w:rPr>
        <w:t xml:space="preserve"> cell-lines </w:t>
      </w:r>
      <w:r>
        <w:rPr>
          <w:rFonts w:ascii="Times New Roman" w:hAnsi="Times New Roman" w:hint="eastAsia"/>
          <w:sz w:val="24"/>
        </w:rPr>
        <w:t xml:space="preserve">Bel 7405 </w:t>
      </w:r>
      <w:r>
        <w:rPr>
          <w:rFonts w:ascii="Times New Roman" w:hAnsi="Times New Roman"/>
          <w:sz w:val="24"/>
        </w:rPr>
        <w:t xml:space="preserve">and </w:t>
      </w:r>
      <w:r>
        <w:rPr>
          <w:rFonts w:ascii="Times New Roman" w:hAnsi="Times New Roman" w:hint="eastAsia"/>
          <w:sz w:val="24"/>
        </w:rPr>
        <w:t>MHCC 97-H</w:t>
      </w:r>
      <w:r>
        <w:rPr>
          <w:rFonts w:ascii="Times New Roman" w:hAnsi="Times New Roman"/>
          <w:sz w:val="24"/>
        </w:rPr>
        <w:t xml:space="preserve"> were from the Cell Research Center, Third Affiliated Hospital of Soochow University for in vitro studies. </w:t>
      </w:r>
      <w:r>
        <w:rPr>
          <w:rFonts w:ascii="Times New Roman" w:hAnsi="Times New Roman" w:hint="eastAsia"/>
          <w:sz w:val="24"/>
        </w:rPr>
        <w:t>Bel 7405 and MHCC 97-H</w:t>
      </w:r>
      <w:r>
        <w:rPr>
          <w:rFonts w:ascii="Times New Roman" w:hAnsi="Times New Roman"/>
          <w:sz w:val="24"/>
        </w:rPr>
        <w:t xml:space="preserve"> cells were cultured in DMEM medium (Hyclone, Logan City, Utah, </w:t>
      </w:r>
      <w:r>
        <w:rPr>
          <w:rFonts w:ascii="Times New Roman" w:hAnsi="Times New Roman"/>
          <w:sz w:val="24"/>
        </w:rPr>
        <w:lastRenderedPageBreak/>
        <w:t>USA), which was supplemented with 10% FCS(FCS; Gibco, Thermo-Fisher Scientific, Grand Island, NY, USA), 100 units/ml penicillin, and 100 ug/ml streptomycin. Cells were incubated at 37</w:t>
      </w:r>
      <w:r>
        <w:rPr>
          <w:rFonts w:ascii="Cambria Math" w:hAnsi="Cambria Math" w:cs="Cambria Math"/>
          <w:sz w:val="24"/>
        </w:rPr>
        <w:t>℃</w:t>
      </w:r>
      <w:r>
        <w:rPr>
          <w:rFonts w:ascii="Times New Roman" w:hAnsi="Times New Roman"/>
          <w:sz w:val="24"/>
        </w:rPr>
        <w:t xml:space="preserve"> in a humidified atmosphere containing 5% CO</w:t>
      </w:r>
      <w:r>
        <w:rPr>
          <w:rFonts w:ascii="Times New Roman" w:hAnsi="Times New Roman"/>
          <w:sz w:val="24"/>
          <w:vertAlign w:val="subscript"/>
        </w:rPr>
        <w:t xml:space="preserve">2 </w:t>
      </w:r>
      <w:r>
        <w:rPr>
          <w:rFonts w:ascii="Times New Roman" w:hAnsi="Times New Roman"/>
          <w:sz w:val="24"/>
        </w:rPr>
        <w:t>in air. Cells were used in the experiments when found to be in the logarithmic growth phase.</w:t>
      </w:r>
    </w:p>
    <w:p w:rsidR="00E22EC9" w:rsidRDefault="00E22EC9" w:rsidP="00E22EC9">
      <w:pPr>
        <w:spacing w:line="360" w:lineRule="auto"/>
        <w:jc w:val="left"/>
        <w:rPr>
          <w:rFonts w:ascii="Times New Roman" w:hAnsi="Times New Roman"/>
          <w:b/>
          <w:bCs/>
          <w:sz w:val="24"/>
        </w:rPr>
      </w:pPr>
      <w:r>
        <w:rPr>
          <w:rFonts w:ascii="Times New Roman" w:hAnsi="Times New Roman"/>
          <w:b/>
          <w:bCs/>
          <w:sz w:val="24"/>
        </w:rPr>
        <w:t xml:space="preserve">SiRNA construction of </w:t>
      </w:r>
      <w:r>
        <w:rPr>
          <w:rFonts w:ascii="Times New Roman" w:hAnsi="Times New Roman" w:hint="eastAsia"/>
          <w:b/>
          <w:bCs/>
          <w:sz w:val="24"/>
        </w:rPr>
        <w:t>LIHC</w:t>
      </w:r>
      <w:r>
        <w:rPr>
          <w:rFonts w:ascii="Times New Roman" w:hAnsi="Times New Roman"/>
          <w:b/>
          <w:bCs/>
          <w:sz w:val="24"/>
        </w:rPr>
        <w:t xml:space="preserve"> cell-lines</w:t>
      </w:r>
    </w:p>
    <w:p w:rsidR="00E22EC9" w:rsidRDefault="00E22EC9" w:rsidP="00E22EC9">
      <w:pPr>
        <w:spacing w:line="480" w:lineRule="auto"/>
        <w:rPr>
          <w:rFonts w:ascii="Times New Roman" w:hAnsi="Times New Roman"/>
          <w:sz w:val="24"/>
        </w:rPr>
      </w:pPr>
      <w:r>
        <w:rPr>
          <w:rFonts w:ascii="Times New Roman" w:hAnsi="Times New Roman"/>
          <w:sz w:val="24"/>
        </w:rPr>
        <w:t>One day before transfection, cells in the logarithmic growth phase were removed and seeded on a six-well plate at a density of 10</w:t>
      </w:r>
      <w:r>
        <w:rPr>
          <w:rFonts w:ascii="Times New Roman" w:hAnsi="Times New Roman"/>
          <w:sz w:val="24"/>
          <w:vertAlign w:val="superscript"/>
        </w:rPr>
        <w:t>4</w:t>
      </w:r>
      <w:r>
        <w:rPr>
          <w:rFonts w:ascii="Times New Roman" w:hAnsi="Times New Roman"/>
          <w:sz w:val="24"/>
        </w:rPr>
        <w:t>-10</w:t>
      </w:r>
      <w:r>
        <w:rPr>
          <w:rFonts w:ascii="Times New Roman" w:hAnsi="Times New Roman"/>
          <w:sz w:val="24"/>
          <w:vertAlign w:val="superscript"/>
        </w:rPr>
        <w:t xml:space="preserve">5 </w:t>
      </w:r>
      <w:r>
        <w:rPr>
          <w:rFonts w:ascii="Times New Roman" w:hAnsi="Times New Roman"/>
          <w:sz w:val="24"/>
        </w:rPr>
        <w:t>per plate. We used customized siRNA (Gene Pharma Company, Shanghai, China) and configured an X-treme GENE siRNA Transfection Reagent - siRNA plasmid mixture, which was then added to the cells to be transfected. After 36 hours, the transfection effect was detected by PCR. If the transfection efficiency reached above 60 percent, then the cells could be used for the next experiment.</w:t>
      </w:r>
    </w:p>
    <w:p w:rsidR="00E22EC9" w:rsidRDefault="00E22EC9" w:rsidP="00E22EC9">
      <w:pPr>
        <w:spacing w:line="360" w:lineRule="auto"/>
        <w:jc w:val="center"/>
        <w:rPr>
          <w:rFonts w:ascii="Times New Roman" w:hAnsi="Times New Roman"/>
          <w:b/>
          <w:sz w:val="24"/>
        </w:rPr>
      </w:pPr>
      <w:r>
        <w:rPr>
          <w:rFonts w:ascii="Times New Roman" w:hAnsi="Times New Roman"/>
          <w:b/>
          <w:sz w:val="24"/>
        </w:rPr>
        <w:t>Table S3. siRNA of Met and PD-L1</w:t>
      </w:r>
    </w:p>
    <w:tbl>
      <w:tblPr>
        <w:tblpPr w:leftFromText="180" w:rightFromText="180" w:vertAnchor="text" w:horzAnchor="page" w:tblpX="2102" w:tblpY="9"/>
        <w:tblOverlap w:val="never"/>
        <w:tblW w:w="7185" w:type="dxa"/>
        <w:tblLook w:val="0000" w:firstRow="0" w:lastRow="0" w:firstColumn="0" w:lastColumn="0" w:noHBand="0" w:noVBand="0"/>
      </w:tblPr>
      <w:tblGrid>
        <w:gridCol w:w="1120"/>
        <w:gridCol w:w="6065"/>
      </w:tblGrid>
      <w:tr w:rsidR="00E22EC9" w:rsidTr="00EF454D">
        <w:trPr>
          <w:trHeight w:val="315"/>
        </w:trPr>
        <w:tc>
          <w:tcPr>
            <w:tcW w:w="1120" w:type="dxa"/>
            <w:tcBorders>
              <w:top w:val="single" w:sz="4" w:space="0" w:color="auto"/>
              <w:left w:val="nil"/>
              <w:bottom w:val="single" w:sz="4" w:space="0" w:color="auto"/>
              <w:right w:val="nil"/>
            </w:tcBorders>
            <w:noWrap/>
            <w:vAlign w:val="bottom"/>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siRNA</w:t>
            </w:r>
          </w:p>
        </w:tc>
        <w:tc>
          <w:tcPr>
            <w:tcW w:w="6065" w:type="dxa"/>
            <w:tcBorders>
              <w:top w:val="single" w:sz="4" w:space="0" w:color="auto"/>
              <w:left w:val="nil"/>
              <w:bottom w:val="single" w:sz="4" w:space="0" w:color="auto"/>
              <w:right w:val="nil"/>
            </w:tcBorders>
            <w:noWrap/>
            <w:vAlign w:val="center"/>
          </w:tcPr>
          <w:p w:rsidR="00E22EC9" w:rsidRDefault="00E22EC9" w:rsidP="00EF454D">
            <w:pPr>
              <w:widowControl/>
              <w:jc w:val="center"/>
              <w:rPr>
                <w:rFonts w:ascii="Times New Roman" w:eastAsia="Times New Roman" w:hAnsi="Times New Roman"/>
                <w:color w:val="000000"/>
                <w:kern w:val="0"/>
                <w:sz w:val="22"/>
                <w:szCs w:val="22"/>
              </w:rPr>
            </w:pPr>
            <w:r>
              <w:rPr>
                <w:rFonts w:ascii="Times New Roman" w:eastAsia="Times New Roman" w:hAnsi="Times New Roman"/>
                <w:color w:val="000000"/>
                <w:kern w:val="0"/>
                <w:sz w:val="22"/>
                <w:szCs w:val="22"/>
              </w:rPr>
              <w:t>Sequence</w:t>
            </w:r>
          </w:p>
        </w:tc>
      </w:tr>
      <w:tr w:rsidR="00E22EC9" w:rsidTr="00EF454D">
        <w:trPr>
          <w:trHeight w:val="315"/>
        </w:trPr>
        <w:tc>
          <w:tcPr>
            <w:tcW w:w="1120" w:type="dxa"/>
            <w:vMerge w:val="restart"/>
            <w:tcBorders>
              <w:top w:val="nil"/>
              <w:left w:val="nil"/>
              <w:bottom w:val="single" w:sz="4" w:space="0" w:color="000000"/>
              <w:right w:val="nil"/>
            </w:tcBorders>
            <w:noWrap/>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siMet</w:t>
            </w:r>
          </w:p>
        </w:tc>
        <w:tc>
          <w:tcPr>
            <w:tcW w:w="6065" w:type="dxa"/>
            <w:tcBorders>
              <w:top w:val="nil"/>
              <w:left w:val="nil"/>
              <w:bottom w:val="nil"/>
              <w:right w:val="nil"/>
            </w:tcBorders>
            <w:noWrap/>
            <w:vAlign w:val="bottom"/>
          </w:tcPr>
          <w:p w:rsidR="00E22EC9" w:rsidRDefault="00E22EC9" w:rsidP="00EF454D">
            <w:pPr>
              <w:widowControl/>
              <w:jc w:val="left"/>
              <w:rPr>
                <w:rFonts w:ascii="Times New Roman" w:hAnsi="Times New Roman"/>
                <w:color w:val="000000"/>
                <w:kern w:val="0"/>
                <w:sz w:val="24"/>
                <w:vertAlign w:val="subscript"/>
              </w:rPr>
            </w:pPr>
            <w:r>
              <w:rPr>
                <w:rFonts w:ascii="Times New Roman" w:eastAsia="Times New Roman" w:hAnsi="Times New Roman"/>
                <w:color w:val="000000"/>
                <w:kern w:val="0"/>
                <w:sz w:val="24"/>
              </w:rPr>
              <w:t>S</w:t>
            </w:r>
            <w:r>
              <w:rPr>
                <w:rFonts w:ascii="Times New Roman" w:hAnsi="Times New Roman" w:hint="eastAsia"/>
                <w:color w:val="000000"/>
                <w:kern w:val="0"/>
                <w:sz w:val="24"/>
              </w:rPr>
              <w:t>ense</w:t>
            </w:r>
            <w:r>
              <w:rPr>
                <w:rFonts w:ascii="Times New Roman" w:eastAsia="Times New Roman" w:hAnsi="Times New Roman"/>
                <w:color w:val="000000"/>
                <w:kern w:val="0"/>
                <w:sz w:val="24"/>
              </w:rPr>
              <w:t>:</w:t>
            </w:r>
            <w:r>
              <w:rPr>
                <w:rFonts w:ascii="Times New Roman" w:hAnsi="Times New Roman" w:hint="eastAsia"/>
                <w:color w:val="000000"/>
                <w:kern w:val="0"/>
                <w:sz w:val="24"/>
              </w:rPr>
              <w:t>5</w:t>
            </w:r>
            <w:r>
              <w:rPr>
                <w:rFonts w:ascii="Times New Roman" w:hAnsi="Times New Roman"/>
                <w:color w:val="000000"/>
                <w:kern w:val="0"/>
                <w:sz w:val="24"/>
              </w:rPr>
              <w:t>’</w:t>
            </w:r>
            <w:r>
              <w:rPr>
                <w:rFonts w:ascii="Times New Roman" w:hAnsi="Times New Roman" w:hint="eastAsia"/>
                <w:color w:val="000000"/>
                <w:kern w:val="0"/>
                <w:sz w:val="24"/>
              </w:rPr>
              <w:t>-CTC ATT TGG ATA GGC TTG TAA-3</w:t>
            </w:r>
            <w:r>
              <w:rPr>
                <w:rFonts w:ascii="Times New Roman" w:hAnsi="Times New Roman"/>
                <w:color w:val="000000"/>
                <w:kern w:val="0"/>
                <w:sz w:val="24"/>
              </w:rPr>
              <w:t>’</w:t>
            </w:r>
          </w:p>
        </w:tc>
      </w:tr>
      <w:tr w:rsidR="00E22EC9" w:rsidTr="00EF454D">
        <w:trPr>
          <w:trHeight w:val="315"/>
        </w:trPr>
        <w:tc>
          <w:tcPr>
            <w:tcW w:w="1120" w:type="dxa"/>
            <w:vMerge/>
            <w:tcBorders>
              <w:top w:val="nil"/>
              <w:left w:val="nil"/>
              <w:bottom w:val="single" w:sz="4" w:space="0" w:color="000000"/>
              <w:right w:val="nil"/>
            </w:tcBorders>
            <w:vAlign w:val="center"/>
          </w:tcPr>
          <w:p w:rsidR="00E22EC9" w:rsidRDefault="00E22EC9" w:rsidP="00EF454D">
            <w:pPr>
              <w:widowControl/>
              <w:jc w:val="left"/>
              <w:rPr>
                <w:rFonts w:ascii="Times New Roman" w:eastAsia="Times New Roman" w:hAnsi="Times New Roman"/>
                <w:color w:val="000000"/>
                <w:kern w:val="0"/>
                <w:sz w:val="24"/>
              </w:rPr>
            </w:pPr>
          </w:p>
        </w:tc>
        <w:tc>
          <w:tcPr>
            <w:tcW w:w="6065" w:type="dxa"/>
            <w:tcBorders>
              <w:top w:val="nil"/>
              <w:left w:val="nil"/>
              <w:bottom w:val="single" w:sz="4" w:space="0" w:color="auto"/>
              <w:right w:val="nil"/>
            </w:tcBorders>
            <w:noWrap/>
            <w:vAlign w:val="bottom"/>
          </w:tcPr>
          <w:p w:rsidR="00E22EC9" w:rsidRDefault="00E22EC9" w:rsidP="00EF454D">
            <w:pPr>
              <w:widowControl/>
              <w:jc w:val="left"/>
              <w:rPr>
                <w:rFonts w:ascii="Times New Roman" w:hAnsi="Times New Roman"/>
                <w:color w:val="000000"/>
                <w:kern w:val="0"/>
                <w:sz w:val="24"/>
              </w:rPr>
            </w:pPr>
            <w:r>
              <w:rPr>
                <w:rFonts w:ascii="Times New Roman" w:eastAsia="Times New Roman" w:hAnsi="Times New Roman"/>
                <w:color w:val="000000"/>
                <w:kern w:val="0"/>
                <w:sz w:val="24"/>
              </w:rPr>
              <w:t>A</w:t>
            </w:r>
            <w:r>
              <w:rPr>
                <w:rFonts w:ascii="Times New Roman" w:hAnsi="Times New Roman" w:hint="eastAsia"/>
                <w:color w:val="000000"/>
                <w:kern w:val="0"/>
                <w:sz w:val="24"/>
              </w:rPr>
              <w:t>nti-sense</w:t>
            </w:r>
            <w:r>
              <w:rPr>
                <w:rFonts w:ascii="Times New Roman" w:eastAsia="Times New Roman" w:hAnsi="Times New Roman"/>
                <w:color w:val="000000"/>
                <w:kern w:val="0"/>
                <w:sz w:val="24"/>
              </w:rPr>
              <w:t>:</w:t>
            </w:r>
            <w:r>
              <w:rPr>
                <w:rFonts w:ascii="Times New Roman" w:hAnsi="Times New Roman" w:hint="eastAsia"/>
                <w:color w:val="000000"/>
                <w:kern w:val="0"/>
                <w:sz w:val="24"/>
              </w:rPr>
              <w:t>5</w:t>
            </w:r>
            <w:r>
              <w:rPr>
                <w:rFonts w:ascii="Times New Roman" w:hAnsi="Times New Roman"/>
                <w:color w:val="000000"/>
                <w:kern w:val="0"/>
                <w:sz w:val="24"/>
              </w:rPr>
              <w:t>’</w:t>
            </w:r>
            <w:r>
              <w:rPr>
                <w:rFonts w:ascii="Times New Roman" w:hAnsi="Times New Roman" w:hint="eastAsia"/>
                <w:color w:val="000000"/>
                <w:kern w:val="0"/>
                <w:sz w:val="24"/>
              </w:rPr>
              <w:t>-TTA CAA GCC TAT CCA AAT GAG-3</w:t>
            </w:r>
            <w:r>
              <w:rPr>
                <w:rFonts w:ascii="Times New Roman" w:hAnsi="Times New Roman"/>
                <w:color w:val="000000"/>
                <w:kern w:val="0"/>
                <w:sz w:val="24"/>
              </w:rPr>
              <w:t>’</w:t>
            </w:r>
          </w:p>
        </w:tc>
      </w:tr>
      <w:tr w:rsidR="00E22EC9" w:rsidTr="00EF454D">
        <w:trPr>
          <w:trHeight w:val="315"/>
        </w:trPr>
        <w:tc>
          <w:tcPr>
            <w:tcW w:w="1120" w:type="dxa"/>
            <w:vMerge w:val="restart"/>
            <w:tcBorders>
              <w:top w:val="nil"/>
              <w:left w:val="nil"/>
              <w:bottom w:val="single" w:sz="4" w:space="0" w:color="000000"/>
              <w:right w:val="nil"/>
            </w:tcBorders>
            <w:noWrap/>
            <w:vAlign w:val="center"/>
          </w:tcPr>
          <w:p w:rsidR="00E22EC9" w:rsidRDefault="00E22EC9" w:rsidP="00EF454D">
            <w:pPr>
              <w:widowControl/>
              <w:jc w:val="left"/>
              <w:rPr>
                <w:rFonts w:ascii="Times New Roman" w:eastAsia="Times New Roman" w:hAnsi="Times New Roman"/>
                <w:color w:val="000000"/>
                <w:kern w:val="0"/>
                <w:sz w:val="24"/>
              </w:rPr>
            </w:pPr>
            <w:r>
              <w:rPr>
                <w:rFonts w:ascii="Times New Roman" w:eastAsia="Times New Roman" w:hAnsi="Times New Roman"/>
                <w:color w:val="000000"/>
                <w:kern w:val="0"/>
                <w:sz w:val="24"/>
              </w:rPr>
              <w:t>siPD-L1</w:t>
            </w:r>
          </w:p>
        </w:tc>
        <w:tc>
          <w:tcPr>
            <w:tcW w:w="6065" w:type="dxa"/>
            <w:tcBorders>
              <w:top w:val="nil"/>
              <w:left w:val="nil"/>
              <w:bottom w:val="nil"/>
              <w:right w:val="nil"/>
            </w:tcBorders>
            <w:noWrap/>
            <w:vAlign w:val="bottom"/>
          </w:tcPr>
          <w:p w:rsidR="00E22EC9" w:rsidRDefault="00E22EC9" w:rsidP="00EF454D">
            <w:pPr>
              <w:widowControl/>
              <w:jc w:val="left"/>
              <w:rPr>
                <w:rFonts w:ascii="Times New Roman" w:hAnsi="Times New Roman"/>
                <w:color w:val="000000"/>
                <w:kern w:val="0"/>
                <w:sz w:val="24"/>
              </w:rPr>
            </w:pPr>
            <w:r>
              <w:rPr>
                <w:rFonts w:ascii="Times New Roman" w:eastAsia="Times New Roman" w:hAnsi="Times New Roman"/>
                <w:color w:val="000000"/>
                <w:kern w:val="0"/>
                <w:sz w:val="24"/>
              </w:rPr>
              <w:t>S</w:t>
            </w:r>
            <w:r>
              <w:rPr>
                <w:rFonts w:ascii="Times New Roman" w:hAnsi="Times New Roman" w:hint="eastAsia"/>
                <w:color w:val="000000"/>
                <w:kern w:val="0"/>
                <w:sz w:val="24"/>
              </w:rPr>
              <w:t xml:space="preserve">ense </w:t>
            </w:r>
            <w:r>
              <w:rPr>
                <w:rFonts w:ascii="Times New Roman" w:eastAsia="Times New Roman" w:hAnsi="Times New Roman"/>
                <w:color w:val="000000"/>
                <w:kern w:val="0"/>
                <w:sz w:val="24"/>
              </w:rPr>
              <w:t>:</w:t>
            </w:r>
            <w:r>
              <w:rPr>
                <w:rFonts w:ascii="Times New Roman" w:hAnsi="Times New Roman" w:hint="eastAsia"/>
                <w:color w:val="000000"/>
                <w:kern w:val="0"/>
                <w:sz w:val="24"/>
              </w:rPr>
              <w:t>5</w:t>
            </w:r>
            <w:r>
              <w:rPr>
                <w:rFonts w:ascii="Times New Roman" w:hAnsi="Times New Roman"/>
                <w:color w:val="000000"/>
                <w:kern w:val="0"/>
                <w:sz w:val="24"/>
              </w:rPr>
              <w:t>’</w:t>
            </w:r>
            <w:r>
              <w:rPr>
                <w:rFonts w:ascii="Times New Roman" w:hAnsi="Times New Roman" w:hint="eastAsia"/>
                <w:color w:val="000000"/>
                <w:kern w:val="0"/>
                <w:sz w:val="24"/>
              </w:rPr>
              <w:t>-</w:t>
            </w:r>
            <w:r>
              <w:rPr>
                <w:rFonts w:ascii="Times New Roman" w:eastAsia="Times New Roman" w:hAnsi="Times New Roman"/>
                <w:color w:val="000000"/>
                <w:kern w:val="0"/>
                <w:sz w:val="24"/>
              </w:rPr>
              <w:t xml:space="preserve"> </w:t>
            </w:r>
            <w:r>
              <w:rPr>
                <w:rFonts w:ascii="Times New Roman" w:hAnsi="Times New Roman" w:hint="eastAsia"/>
                <w:color w:val="000000"/>
                <w:kern w:val="0"/>
                <w:sz w:val="24"/>
              </w:rPr>
              <w:t>C</w:t>
            </w:r>
            <w:r>
              <w:rPr>
                <w:rFonts w:ascii="Times New Roman" w:eastAsia="Times New Roman" w:hAnsi="Times New Roman"/>
                <w:color w:val="000000"/>
                <w:kern w:val="0"/>
                <w:sz w:val="24"/>
              </w:rPr>
              <w:t xml:space="preserve">AG AAA GAU GAG </w:t>
            </w:r>
            <w:r>
              <w:rPr>
                <w:rFonts w:ascii="Times New Roman" w:hAnsi="Times New Roman" w:hint="eastAsia"/>
                <w:color w:val="000000"/>
                <w:kern w:val="0"/>
                <w:sz w:val="24"/>
              </w:rPr>
              <w:t>GAU AUUU-3</w:t>
            </w:r>
            <w:r>
              <w:rPr>
                <w:rFonts w:ascii="Times New Roman" w:hAnsi="Times New Roman"/>
                <w:color w:val="000000"/>
                <w:kern w:val="0"/>
                <w:sz w:val="24"/>
              </w:rPr>
              <w:t>’</w:t>
            </w:r>
          </w:p>
        </w:tc>
      </w:tr>
      <w:tr w:rsidR="00E22EC9" w:rsidTr="00EF454D">
        <w:trPr>
          <w:trHeight w:val="315"/>
        </w:trPr>
        <w:tc>
          <w:tcPr>
            <w:tcW w:w="1120" w:type="dxa"/>
            <w:vMerge/>
            <w:tcBorders>
              <w:top w:val="nil"/>
              <w:left w:val="nil"/>
              <w:bottom w:val="single" w:sz="4" w:space="0" w:color="000000"/>
              <w:right w:val="nil"/>
            </w:tcBorders>
            <w:vAlign w:val="center"/>
          </w:tcPr>
          <w:p w:rsidR="00E22EC9" w:rsidRDefault="00E22EC9" w:rsidP="00EF454D">
            <w:pPr>
              <w:widowControl/>
              <w:jc w:val="left"/>
              <w:rPr>
                <w:rFonts w:ascii="Times New Roman" w:eastAsia="Times New Roman" w:hAnsi="Times New Roman"/>
                <w:color w:val="000000"/>
                <w:kern w:val="0"/>
                <w:sz w:val="24"/>
              </w:rPr>
            </w:pPr>
          </w:p>
        </w:tc>
        <w:tc>
          <w:tcPr>
            <w:tcW w:w="6065" w:type="dxa"/>
            <w:tcBorders>
              <w:top w:val="nil"/>
              <w:left w:val="nil"/>
              <w:bottom w:val="single" w:sz="4" w:space="0" w:color="auto"/>
              <w:right w:val="nil"/>
            </w:tcBorders>
            <w:noWrap/>
            <w:vAlign w:val="bottom"/>
          </w:tcPr>
          <w:p w:rsidR="00E22EC9" w:rsidRDefault="00E22EC9" w:rsidP="00EF454D">
            <w:pPr>
              <w:widowControl/>
              <w:jc w:val="left"/>
              <w:rPr>
                <w:rFonts w:ascii="Times New Roman" w:hAnsi="Times New Roman"/>
                <w:color w:val="000000"/>
                <w:kern w:val="0"/>
                <w:sz w:val="24"/>
              </w:rPr>
            </w:pPr>
            <w:r>
              <w:rPr>
                <w:rFonts w:ascii="Times New Roman" w:eastAsia="Times New Roman" w:hAnsi="Times New Roman"/>
                <w:color w:val="000000"/>
                <w:kern w:val="0"/>
                <w:sz w:val="24"/>
              </w:rPr>
              <w:t>A</w:t>
            </w:r>
            <w:r>
              <w:rPr>
                <w:rFonts w:ascii="Times New Roman" w:hAnsi="Times New Roman" w:hint="eastAsia"/>
                <w:color w:val="000000"/>
                <w:kern w:val="0"/>
                <w:sz w:val="24"/>
              </w:rPr>
              <w:t>nti-sense</w:t>
            </w:r>
            <w:r>
              <w:rPr>
                <w:rFonts w:ascii="Times New Roman" w:eastAsia="Times New Roman" w:hAnsi="Times New Roman"/>
                <w:color w:val="000000"/>
                <w:kern w:val="0"/>
                <w:sz w:val="24"/>
              </w:rPr>
              <w:t xml:space="preserve">: </w:t>
            </w:r>
            <w:r>
              <w:rPr>
                <w:rFonts w:ascii="Times New Roman" w:hAnsi="Times New Roman" w:hint="eastAsia"/>
                <w:color w:val="000000"/>
                <w:kern w:val="0"/>
                <w:sz w:val="24"/>
              </w:rPr>
              <w:t>5</w:t>
            </w:r>
            <w:r>
              <w:rPr>
                <w:rFonts w:ascii="Times New Roman" w:hAnsi="Times New Roman"/>
                <w:color w:val="000000"/>
                <w:kern w:val="0"/>
                <w:sz w:val="24"/>
              </w:rPr>
              <w:t>’</w:t>
            </w:r>
            <w:r>
              <w:rPr>
                <w:rFonts w:ascii="Times New Roman" w:hAnsi="Times New Roman" w:hint="eastAsia"/>
                <w:color w:val="000000"/>
                <w:kern w:val="0"/>
                <w:sz w:val="24"/>
              </w:rPr>
              <w:t>-</w:t>
            </w:r>
            <w:r>
              <w:rPr>
                <w:rFonts w:ascii="Times New Roman" w:eastAsia="Times New Roman" w:hAnsi="Times New Roman"/>
                <w:color w:val="000000"/>
                <w:kern w:val="0"/>
                <w:sz w:val="24"/>
              </w:rPr>
              <w:t xml:space="preserve">AAA UAU CCU CAU CUU UCUG </w:t>
            </w:r>
            <w:r>
              <w:rPr>
                <w:rFonts w:ascii="Times New Roman" w:hAnsi="Times New Roman" w:hint="eastAsia"/>
                <w:color w:val="000000"/>
                <w:kern w:val="0"/>
                <w:sz w:val="24"/>
              </w:rPr>
              <w:t>-3</w:t>
            </w:r>
            <w:r>
              <w:rPr>
                <w:rFonts w:ascii="Times New Roman" w:hAnsi="Times New Roman"/>
                <w:color w:val="000000"/>
                <w:kern w:val="0"/>
                <w:sz w:val="24"/>
              </w:rPr>
              <w:t>’</w:t>
            </w:r>
          </w:p>
        </w:tc>
      </w:tr>
    </w:tbl>
    <w:p w:rsidR="00E22EC9" w:rsidRDefault="00E22EC9" w:rsidP="00E22EC9">
      <w:pPr>
        <w:spacing w:line="360" w:lineRule="auto"/>
        <w:jc w:val="center"/>
        <w:rPr>
          <w:rFonts w:ascii="Times New Roman" w:hAnsi="Times New Roman"/>
          <w:b/>
          <w:sz w:val="24"/>
        </w:rPr>
      </w:pPr>
    </w:p>
    <w:p w:rsidR="00E22EC9" w:rsidRDefault="00E22EC9" w:rsidP="00E22EC9">
      <w:pPr>
        <w:spacing w:line="360" w:lineRule="auto"/>
        <w:jc w:val="center"/>
        <w:rPr>
          <w:rFonts w:ascii="Times New Roman" w:hAnsi="Times New Roman"/>
          <w:bCs/>
          <w:sz w:val="24"/>
        </w:rPr>
      </w:pPr>
    </w:p>
    <w:p w:rsidR="00E22EC9" w:rsidRDefault="00E22EC9" w:rsidP="00E22EC9">
      <w:pPr>
        <w:widowControl/>
        <w:spacing w:line="360" w:lineRule="auto"/>
        <w:jc w:val="left"/>
        <w:rPr>
          <w:rFonts w:ascii="Times New Roman" w:hAnsi="Times New Roman"/>
          <w:bCs/>
          <w:sz w:val="24"/>
        </w:rPr>
      </w:pPr>
    </w:p>
    <w:p w:rsidR="00E22EC9" w:rsidRDefault="00E22EC9" w:rsidP="00E22EC9">
      <w:pPr>
        <w:widowControl/>
        <w:spacing w:line="360" w:lineRule="auto"/>
        <w:jc w:val="left"/>
        <w:rPr>
          <w:rFonts w:ascii="Times New Roman" w:hAnsi="Times New Roman"/>
          <w:bCs/>
          <w:sz w:val="24"/>
        </w:rPr>
      </w:pPr>
    </w:p>
    <w:p w:rsidR="00E22EC9" w:rsidRDefault="00E22EC9" w:rsidP="00E22EC9">
      <w:pPr>
        <w:spacing w:line="360" w:lineRule="auto"/>
        <w:jc w:val="left"/>
        <w:rPr>
          <w:rFonts w:ascii="Times New Roman" w:hAnsi="Times New Roman"/>
          <w:b/>
          <w:bCs/>
          <w:sz w:val="24"/>
        </w:rPr>
      </w:pPr>
      <w:r>
        <w:rPr>
          <w:rFonts w:ascii="Times New Roman" w:hAnsi="Times New Roman"/>
          <w:b/>
          <w:bCs/>
          <w:sz w:val="24"/>
        </w:rPr>
        <w:t>CCK8</w:t>
      </w:r>
    </w:p>
    <w:p w:rsidR="00E22EC9" w:rsidRDefault="00E22EC9" w:rsidP="00E22EC9">
      <w:pPr>
        <w:spacing w:line="480" w:lineRule="auto"/>
        <w:rPr>
          <w:rFonts w:ascii="Times New Roman" w:hAnsi="Times New Roman"/>
          <w:sz w:val="24"/>
        </w:rPr>
      </w:pPr>
      <w:r>
        <w:rPr>
          <w:rFonts w:ascii="Times New Roman" w:hAnsi="Times New Roman"/>
          <w:sz w:val="24"/>
        </w:rPr>
        <w:t>One day before drug treatment, cells in the logarithmic growth phase were removed and seeded into a 96-well plate at a density of 2×10</w:t>
      </w:r>
      <w:r>
        <w:rPr>
          <w:rFonts w:ascii="Times New Roman" w:hAnsi="Times New Roman"/>
          <w:sz w:val="24"/>
          <w:vertAlign w:val="superscript"/>
        </w:rPr>
        <w:t xml:space="preserve">3 </w:t>
      </w:r>
      <w:r>
        <w:rPr>
          <w:rFonts w:ascii="Times New Roman" w:hAnsi="Times New Roman"/>
          <w:sz w:val="24"/>
        </w:rPr>
        <w:t xml:space="preserve">cells per well (100 ul/well). Next, we used CCK8 (Dojindo, Tokyo, Japan) to detect the proliferation of cells after treatment with </w:t>
      </w:r>
      <w:r>
        <w:rPr>
          <w:rFonts w:ascii="Times New Roman" w:hAnsi="Times New Roman"/>
          <w:sz w:val="24"/>
          <w:shd w:val="clear" w:color="auto" w:fill="FFFFFF"/>
        </w:rPr>
        <w:t xml:space="preserve">Crizotinib (Cell Signaling Technology, Danvers, MA, </w:t>
      </w:r>
      <w:r>
        <w:rPr>
          <w:rFonts w:ascii="Times New Roman" w:hAnsi="Times New Roman"/>
          <w:sz w:val="24"/>
        </w:rPr>
        <w:t xml:space="preserve">USA) and </w:t>
      </w:r>
      <w:r>
        <w:rPr>
          <w:rFonts w:ascii="Times New Roman" w:hAnsi="Times New Roman"/>
          <w:sz w:val="24"/>
          <w:shd w:val="clear" w:color="auto" w:fill="FFFFFF"/>
        </w:rPr>
        <w:t xml:space="preserve">Crizotinib </w:t>
      </w:r>
      <w:r>
        <w:rPr>
          <w:rFonts w:ascii="Times New Roman" w:hAnsi="Times New Roman"/>
          <w:sz w:val="24"/>
        </w:rPr>
        <w:t xml:space="preserve">combined with IL-10. Lastly, we added </w:t>
      </w:r>
      <w:r>
        <w:rPr>
          <w:rFonts w:ascii="Times New Roman" w:hAnsi="Times New Roman"/>
          <w:sz w:val="24"/>
          <w:shd w:val="clear" w:color="auto" w:fill="FFFFFF"/>
        </w:rPr>
        <w:t xml:space="preserve">Crizotinib or Crizotinib </w:t>
      </w:r>
      <w:r>
        <w:rPr>
          <w:rFonts w:ascii="Times New Roman" w:hAnsi="Times New Roman"/>
          <w:sz w:val="24"/>
        </w:rPr>
        <w:t xml:space="preserve">combined with IL-10 to the constructed siMet </w:t>
      </w:r>
      <w:r>
        <w:rPr>
          <w:rFonts w:ascii="Times New Roman" w:hAnsi="Times New Roman" w:hint="eastAsia"/>
          <w:sz w:val="24"/>
        </w:rPr>
        <w:t>Bel7405</w:t>
      </w:r>
      <w:r>
        <w:rPr>
          <w:rFonts w:ascii="Times New Roman" w:hAnsi="Times New Roman"/>
          <w:sz w:val="24"/>
        </w:rPr>
        <w:t xml:space="preserve"> and siMet </w:t>
      </w:r>
      <w:r>
        <w:rPr>
          <w:rFonts w:ascii="Times New Roman" w:hAnsi="Times New Roman" w:hint="eastAsia"/>
          <w:sz w:val="24"/>
        </w:rPr>
        <w:t>MHCC 97-H</w:t>
      </w:r>
      <w:r>
        <w:rPr>
          <w:rFonts w:ascii="Times New Roman" w:hAnsi="Times New Roman"/>
          <w:sz w:val="24"/>
        </w:rPr>
        <w:t xml:space="preserve">. The proliferation </w:t>
      </w:r>
      <w:r>
        <w:rPr>
          <w:rFonts w:ascii="Times New Roman" w:hAnsi="Times New Roman"/>
          <w:sz w:val="24"/>
        </w:rPr>
        <w:lastRenderedPageBreak/>
        <w:t>of cells was detected by CCK8 assay.The inhibition rate is calculated by the following formula</w:t>
      </w:r>
      <w:r>
        <w:rPr>
          <w:rFonts w:ascii="Times New Roman" w:hAnsi="Times New Roman" w:hint="eastAsia"/>
          <w:sz w:val="24"/>
        </w:rPr>
        <w:t>:Inhibition rate=[(Control well-experimental well)/(Control well-blank well)]</w:t>
      </w:r>
      <w:r>
        <w:rPr>
          <w:rFonts w:ascii="Times New Roman" w:hAnsi="Times New Roman" w:hint="eastAsia"/>
          <w:sz w:val="24"/>
        </w:rPr>
        <w:t>×</w:t>
      </w:r>
      <w:r>
        <w:rPr>
          <w:rFonts w:ascii="Times New Roman" w:hAnsi="Times New Roman" w:hint="eastAsia"/>
          <w:sz w:val="24"/>
        </w:rPr>
        <w:t>100%</w:t>
      </w:r>
    </w:p>
    <w:p w:rsidR="00E22EC9" w:rsidRDefault="00E22EC9" w:rsidP="00E22EC9">
      <w:pPr>
        <w:spacing w:line="360" w:lineRule="auto"/>
        <w:jc w:val="left"/>
        <w:rPr>
          <w:rFonts w:ascii="Times New Roman" w:hAnsi="Times New Roman"/>
          <w:b/>
          <w:bCs/>
          <w:sz w:val="24"/>
        </w:rPr>
      </w:pPr>
      <w:r>
        <w:rPr>
          <w:rFonts w:ascii="Times New Roman" w:hAnsi="Times New Roman"/>
          <w:b/>
          <w:bCs/>
          <w:sz w:val="24"/>
        </w:rPr>
        <w:t>Western blot</w:t>
      </w:r>
    </w:p>
    <w:p w:rsidR="00E22EC9" w:rsidRDefault="00E22EC9" w:rsidP="00E22EC9">
      <w:pPr>
        <w:spacing w:line="480" w:lineRule="auto"/>
        <w:rPr>
          <w:rFonts w:ascii="Times New Roman" w:hAnsi="Times New Roman"/>
          <w:sz w:val="24"/>
        </w:rPr>
      </w:pPr>
      <w:r>
        <w:rPr>
          <w:rFonts w:ascii="Times New Roman" w:hAnsi="Times New Roman"/>
          <w:sz w:val="24"/>
        </w:rPr>
        <w:t xml:space="preserve">Total cellular protein was extracted by a protein extraction agent (KeyGen Biotech, Nanjing, Jiangsu, China) after 48 hours of treatment with different concentrations of IL-10, anti-IL10 antibody. Protein concentrations were determined by a bicinchoninic acid assay (BCA assay, Pierce, Thermo-Fisher Scientific, Waltham, MA, USA). Aliquots of protein lysates were separated on sodium dodecyl sulfate-polyacrylamide gels (SDS-PAGE) and transferred onto a PVDF membrane, which was blocked with 3% BSA in TBST. The membrane was then hybridized with primary antibodies. Then, with the corresponding secondary antibodies conjugated with horseradish peroxidase, the specific protein bands on the membrane were detected by a chemiluminescence assay (EMD Millipore, Temecula, CA, USA). GADPH was used as a loading control. All primary and secondary antibodies used in the Western blotting assay were purchased from Cell Signaling Technology, Abcam or the Novus Company. PD-L1 expression levels, Met signaling pathway-related molecules (Met and phospho-Met) and their downstream MAPK signaling pathway-related molecules (akt, phospho-akt, Mek, phospho-Mek, Erk, phospho-Erk) were analyzed. In addition, we performed Western blotting on </w:t>
      </w:r>
      <w:r>
        <w:rPr>
          <w:rFonts w:ascii="Times New Roman" w:hAnsi="Times New Roman" w:hint="eastAsia"/>
          <w:sz w:val="24"/>
        </w:rPr>
        <w:t xml:space="preserve">LIHC </w:t>
      </w:r>
      <w:r>
        <w:rPr>
          <w:rFonts w:ascii="Times New Roman" w:hAnsi="Times New Roman"/>
          <w:sz w:val="24"/>
        </w:rPr>
        <w:t>cells</w:t>
      </w:r>
      <w:r>
        <w:rPr>
          <w:rFonts w:ascii="Times New Roman" w:hAnsi="Times New Roman" w:hint="eastAsia"/>
          <w:sz w:val="24"/>
        </w:rPr>
        <w:t xml:space="preserve"> lines</w:t>
      </w:r>
      <w:r>
        <w:rPr>
          <w:rFonts w:ascii="Times New Roman" w:hAnsi="Times New Roman"/>
          <w:sz w:val="24"/>
        </w:rPr>
        <w:t xml:space="preserve"> that overexpressed or were knocked down in the expression of the PD-L1 gene to detect differences in IL-10 expression levels. Subsequently, </w:t>
      </w:r>
      <w:r>
        <w:rPr>
          <w:rFonts w:ascii="Times New Roman" w:hAnsi="Times New Roman"/>
          <w:color w:val="333333"/>
          <w:sz w:val="24"/>
          <w:shd w:val="clear" w:color="auto" w:fill="FFFFFF"/>
        </w:rPr>
        <w:t xml:space="preserve">Crizotinib or Crizotinib </w:t>
      </w:r>
      <w:r>
        <w:rPr>
          <w:rFonts w:ascii="Times New Roman" w:hAnsi="Times New Roman"/>
          <w:sz w:val="24"/>
        </w:rPr>
        <w:t xml:space="preserve">combined with IL-10 were added to the cells. </w:t>
      </w:r>
      <w:r>
        <w:rPr>
          <w:rFonts w:ascii="Times New Roman" w:hAnsi="Times New Roman"/>
          <w:sz w:val="24"/>
        </w:rPr>
        <w:lastRenderedPageBreak/>
        <w:t xml:space="preserve">Met signaling pathway-related molecules (Met and phospho-Met) </w:t>
      </w:r>
      <w:r>
        <w:rPr>
          <w:rFonts w:ascii="Times New Roman" w:hAnsi="Times New Roman" w:hint="eastAsia"/>
          <w:sz w:val="24"/>
        </w:rPr>
        <w:t xml:space="preserve"> were </w:t>
      </w:r>
      <w:r>
        <w:rPr>
          <w:rFonts w:ascii="Times New Roman" w:hAnsi="Times New Roman"/>
          <w:sz w:val="24"/>
        </w:rPr>
        <w:t xml:space="preserve">analyzed. </w:t>
      </w:r>
    </w:p>
    <w:p w:rsidR="00E22EC9" w:rsidRDefault="00E22EC9" w:rsidP="00E22EC9">
      <w:pPr>
        <w:spacing w:line="480" w:lineRule="auto"/>
        <w:rPr>
          <w:rFonts w:ascii="Times New Roman" w:hAnsi="Times New Roman"/>
          <w:sz w:val="24"/>
        </w:rPr>
      </w:pPr>
      <w:r>
        <w:rPr>
          <w:rFonts w:ascii="Times New Roman" w:hAnsi="Times New Roman"/>
          <w:sz w:val="24"/>
        </w:rPr>
        <w:t xml:space="preserve">In our tissue experiments, the tissue specimens were first cut into small sections, and then a homogenizer was used to extract tissue protein using the protein extraction reagent. We compared the differences in IL-10, PD-L1, and Met expression among cancerous, adjacent and normal tissues. </w:t>
      </w:r>
    </w:p>
    <w:p w:rsidR="00E22EC9" w:rsidRDefault="00E22EC9" w:rsidP="00E22EC9">
      <w:pPr>
        <w:widowControl/>
        <w:spacing w:line="360" w:lineRule="auto"/>
        <w:jc w:val="left"/>
        <w:rPr>
          <w:rFonts w:ascii="Times New Roman" w:hAnsi="Times New Roman"/>
          <w:bCs/>
          <w:sz w:val="24"/>
        </w:rPr>
      </w:pPr>
      <w:r>
        <w:rPr>
          <w:rFonts w:ascii="Times New Roman" w:hAnsi="Times New Roman"/>
          <w:bCs/>
          <w:sz w:val="24"/>
        </w:rPr>
        <w:t xml:space="preserve"> </w:t>
      </w:r>
    </w:p>
    <w:p w:rsidR="00E22EC9" w:rsidRDefault="00E22EC9" w:rsidP="00E22EC9">
      <w:pPr>
        <w:spacing w:line="360" w:lineRule="auto"/>
        <w:jc w:val="left"/>
        <w:rPr>
          <w:rFonts w:ascii="Times New Roman" w:hAnsi="Times New Roman"/>
          <w:bCs/>
          <w:sz w:val="24"/>
        </w:rPr>
      </w:pPr>
    </w:p>
    <w:p w:rsidR="00E22EC9" w:rsidRDefault="00E22EC9" w:rsidP="00E22EC9">
      <w:pPr>
        <w:pStyle w:val="ListParagraph1"/>
        <w:spacing w:line="360" w:lineRule="auto"/>
        <w:ind w:left="0"/>
        <w:jc w:val="left"/>
        <w:rPr>
          <w:rFonts w:ascii="Times New Roman" w:hAnsi="Times New Roman"/>
          <w:bCs/>
          <w:color w:val="000000"/>
          <w:sz w:val="24"/>
        </w:rPr>
      </w:pPr>
    </w:p>
    <w:p w:rsidR="00E22EC9" w:rsidRDefault="00E22EC9" w:rsidP="00E22EC9">
      <w:pPr>
        <w:spacing w:line="360" w:lineRule="auto"/>
        <w:jc w:val="left"/>
        <w:rPr>
          <w:rFonts w:ascii="Times New Roman" w:hAnsi="Times New Roman"/>
          <w:sz w:val="24"/>
        </w:rPr>
      </w:pPr>
    </w:p>
    <w:p w:rsidR="00E22EC9" w:rsidRDefault="00E22EC9" w:rsidP="00E22EC9">
      <w:pPr>
        <w:spacing w:line="360" w:lineRule="auto"/>
        <w:jc w:val="left"/>
        <w:rPr>
          <w:rFonts w:ascii="Times New Roman" w:hAnsi="Times New Roman" w:hint="eastAsia"/>
          <w:color w:val="000000"/>
          <w:sz w:val="24"/>
          <w:shd w:val="clear" w:color="auto" w:fill="FFFFFF"/>
        </w:rPr>
      </w:pPr>
    </w:p>
    <w:p w:rsidR="00E22EC9" w:rsidRDefault="00E22EC9" w:rsidP="00E22EC9">
      <w:pPr>
        <w:spacing w:line="480" w:lineRule="auto"/>
        <w:rPr>
          <w:rFonts w:ascii="Times New Roman" w:hAnsi="Times New Roman"/>
          <w:sz w:val="24"/>
        </w:rPr>
      </w:pPr>
    </w:p>
    <w:p w:rsidR="00E22EC9" w:rsidRDefault="00E22EC9" w:rsidP="00E22EC9">
      <w:pPr>
        <w:spacing w:line="360" w:lineRule="auto"/>
        <w:jc w:val="left"/>
        <w:rPr>
          <w:rFonts w:ascii="Times New Roman" w:hAnsi="Times New Roman" w:hint="eastAsia"/>
          <w:color w:val="000000"/>
          <w:sz w:val="24"/>
        </w:rPr>
      </w:pPr>
    </w:p>
    <w:p w:rsidR="00E22EC9" w:rsidRDefault="00E22EC9" w:rsidP="00E22EC9">
      <w:pPr>
        <w:spacing w:line="360" w:lineRule="auto"/>
        <w:jc w:val="left"/>
        <w:rPr>
          <w:rFonts w:ascii="Times New Roman" w:hAnsi="Times New Roman"/>
          <w:color w:val="000000"/>
          <w:sz w:val="24"/>
        </w:rPr>
      </w:pPr>
    </w:p>
    <w:p w:rsidR="00E22EC9" w:rsidRDefault="00E22EC9" w:rsidP="00E22EC9">
      <w:pPr>
        <w:spacing w:line="360" w:lineRule="auto"/>
        <w:jc w:val="left"/>
        <w:rPr>
          <w:rFonts w:ascii="Times New Roman" w:hAnsi="Times New Roman"/>
          <w:color w:val="000000"/>
          <w:sz w:val="24"/>
          <w:shd w:val="clear" w:color="auto" w:fill="FFFFFF"/>
        </w:rPr>
      </w:pPr>
    </w:p>
    <w:p w:rsidR="00E22EC9" w:rsidRDefault="00E22EC9" w:rsidP="00E22EC9">
      <w:pPr>
        <w:spacing w:line="360" w:lineRule="auto"/>
        <w:jc w:val="left"/>
        <w:rPr>
          <w:rFonts w:ascii="Times New Roman" w:hAnsi="Times New Roman"/>
          <w:color w:val="000000"/>
          <w:sz w:val="24"/>
          <w:shd w:val="clear" w:color="auto" w:fill="FFFFFF"/>
        </w:rPr>
      </w:pPr>
    </w:p>
    <w:p w:rsidR="00E22EC9" w:rsidRDefault="00E22EC9" w:rsidP="00E22EC9">
      <w:pPr>
        <w:spacing w:line="360" w:lineRule="auto"/>
        <w:jc w:val="left"/>
        <w:rPr>
          <w:rFonts w:ascii="Times New Roman" w:hAnsi="Times New Roman"/>
          <w:color w:val="000000"/>
          <w:sz w:val="24"/>
          <w:shd w:val="clear" w:color="auto" w:fill="FFFFFF"/>
        </w:rPr>
      </w:pPr>
    </w:p>
    <w:p w:rsidR="00E22EC9" w:rsidRDefault="00E22EC9" w:rsidP="00E22EC9">
      <w:pPr>
        <w:spacing w:line="360" w:lineRule="auto"/>
        <w:jc w:val="left"/>
        <w:rPr>
          <w:rFonts w:ascii="Times New Roman" w:hAnsi="Times New Roman"/>
          <w:color w:val="000000"/>
          <w:sz w:val="24"/>
          <w:shd w:val="clear" w:color="auto" w:fill="FFFFFF"/>
        </w:rPr>
      </w:pPr>
    </w:p>
    <w:p w:rsidR="00E22EC9" w:rsidRDefault="00E22EC9" w:rsidP="00E22EC9">
      <w:pPr>
        <w:spacing w:line="360" w:lineRule="auto"/>
        <w:jc w:val="left"/>
        <w:rPr>
          <w:rFonts w:ascii="Times New Roman" w:hAnsi="Times New Roman"/>
          <w:color w:val="000000"/>
          <w:sz w:val="24"/>
          <w:shd w:val="clear" w:color="auto" w:fill="FFFFFF"/>
        </w:rPr>
      </w:pPr>
    </w:p>
    <w:p w:rsidR="00E22EC9" w:rsidRDefault="00E22EC9" w:rsidP="00E22EC9">
      <w:pPr>
        <w:spacing w:line="360" w:lineRule="auto"/>
        <w:jc w:val="left"/>
        <w:rPr>
          <w:rFonts w:ascii="Times New Roman" w:hAnsi="Times New Roman"/>
          <w:color w:val="000000"/>
          <w:sz w:val="24"/>
          <w:shd w:val="clear" w:color="auto" w:fill="FFFFFF"/>
        </w:rPr>
      </w:pPr>
    </w:p>
    <w:p w:rsidR="00E22EC9" w:rsidRDefault="00E22EC9" w:rsidP="00E22EC9">
      <w:pPr>
        <w:spacing w:line="360" w:lineRule="auto"/>
        <w:jc w:val="left"/>
        <w:rPr>
          <w:rFonts w:ascii="Times New Roman" w:hAnsi="Times New Roman"/>
          <w:sz w:val="24"/>
        </w:rPr>
      </w:pPr>
    </w:p>
    <w:p w:rsidR="00E22EC9" w:rsidRDefault="00E22EC9" w:rsidP="00E22EC9">
      <w:pPr>
        <w:spacing w:line="360" w:lineRule="auto"/>
        <w:jc w:val="left"/>
        <w:rPr>
          <w:rFonts w:ascii="Times New Roman" w:hAnsi="Times New Roman"/>
          <w:sz w:val="24"/>
        </w:rPr>
      </w:pPr>
    </w:p>
    <w:p w:rsidR="00E22EC9" w:rsidRDefault="00E22EC9" w:rsidP="00E22EC9">
      <w:pPr>
        <w:spacing w:line="360" w:lineRule="auto"/>
        <w:jc w:val="left"/>
        <w:rPr>
          <w:rFonts w:ascii="Times New Roman" w:hAnsi="Times New Roman"/>
          <w:bCs/>
          <w:iCs/>
          <w:color w:val="000000"/>
          <w:sz w:val="24"/>
        </w:rPr>
      </w:pPr>
    </w:p>
    <w:p w:rsidR="00E22EC9" w:rsidRDefault="00E22EC9" w:rsidP="00E22EC9">
      <w:pPr>
        <w:spacing w:line="360" w:lineRule="auto"/>
        <w:jc w:val="left"/>
        <w:rPr>
          <w:rFonts w:ascii="Times New Roman" w:hAnsi="Times New Roman"/>
          <w:bCs/>
          <w:iCs/>
          <w:color w:val="000000"/>
          <w:sz w:val="24"/>
        </w:rPr>
      </w:pPr>
    </w:p>
    <w:p w:rsidR="00E22EC9" w:rsidRDefault="00E22EC9" w:rsidP="00E22EC9">
      <w:pPr>
        <w:spacing w:line="360" w:lineRule="auto"/>
        <w:jc w:val="left"/>
        <w:rPr>
          <w:rFonts w:ascii="Times New Roman" w:hAnsi="Times New Roman"/>
          <w:sz w:val="24"/>
        </w:rPr>
      </w:pPr>
    </w:p>
    <w:p w:rsidR="00E22EC9" w:rsidRDefault="00E22EC9" w:rsidP="00E22EC9">
      <w:pPr>
        <w:spacing w:line="360" w:lineRule="auto"/>
        <w:jc w:val="left"/>
        <w:rPr>
          <w:rFonts w:ascii="Times New Roman" w:hAnsi="Times New Roman"/>
          <w:sz w:val="24"/>
        </w:rPr>
      </w:pPr>
    </w:p>
    <w:p w:rsidR="00E22EC9" w:rsidRDefault="00E22EC9" w:rsidP="00E22EC9">
      <w:pPr>
        <w:spacing w:line="360" w:lineRule="auto"/>
        <w:jc w:val="left"/>
        <w:rPr>
          <w:rFonts w:ascii="Times New Roman" w:hAnsi="Times New Roman"/>
          <w:sz w:val="24"/>
        </w:rPr>
      </w:pPr>
    </w:p>
    <w:p w:rsidR="00E22EC9" w:rsidRDefault="00E22EC9" w:rsidP="00E22EC9">
      <w:pPr>
        <w:spacing w:line="360" w:lineRule="auto"/>
        <w:jc w:val="left"/>
        <w:rPr>
          <w:rFonts w:ascii="Times New Roman" w:hAnsi="Times New Roman"/>
          <w:sz w:val="24"/>
        </w:rPr>
      </w:pPr>
    </w:p>
    <w:p w:rsidR="00E22EC9" w:rsidRDefault="00E22EC9" w:rsidP="00E22EC9">
      <w:pPr>
        <w:spacing w:line="360" w:lineRule="auto"/>
        <w:jc w:val="left"/>
        <w:rPr>
          <w:rFonts w:ascii="Times New Roman" w:hAnsi="Times New Roman"/>
          <w:sz w:val="24"/>
        </w:rPr>
      </w:pPr>
    </w:p>
    <w:p w:rsidR="00E22EC9" w:rsidRDefault="00E22EC9" w:rsidP="00E22EC9">
      <w:pPr>
        <w:spacing w:line="360" w:lineRule="auto"/>
        <w:jc w:val="left"/>
        <w:rPr>
          <w:rFonts w:ascii="Times New Roman" w:hAnsi="Times New Roman"/>
          <w:b/>
          <w:iCs/>
          <w:color w:val="000000"/>
          <w:sz w:val="24"/>
        </w:rPr>
      </w:pPr>
    </w:p>
    <w:p w:rsidR="00E22EC9" w:rsidRDefault="00E22EC9" w:rsidP="00E22EC9">
      <w:pPr>
        <w:spacing w:line="360" w:lineRule="auto"/>
        <w:jc w:val="left"/>
        <w:rPr>
          <w:rFonts w:ascii="Times New Roman" w:hAnsi="Times New Roman"/>
          <w:sz w:val="24"/>
        </w:rPr>
      </w:pPr>
    </w:p>
    <w:p w:rsidR="00E22EC9" w:rsidRDefault="00E22EC9" w:rsidP="00E22EC9">
      <w:pPr>
        <w:spacing w:line="360" w:lineRule="auto"/>
        <w:jc w:val="left"/>
        <w:rPr>
          <w:rFonts w:ascii="Times New Roman" w:hAnsi="Times New Roman"/>
          <w:sz w:val="24"/>
        </w:rPr>
      </w:pPr>
    </w:p>
    <w:p w:rsidR="00E22EC9" w:rsidRDefault="00E22EC9" w:rsidP="00E22EC9">
      <w:pPr>
        <w:spacing w:line="360" w:lineRule="auto"/>
        <w:jc w:val="left"/>
        <w:rPr>
          <w:rFonts w:ascii="Times New Roman" w:hAnsi="Times New Roman"/>
          <w:sz w:val="24"/>
        </w:rPr>
      </w:pPr>
    </w:p>
    <w:p w:rsidR="00E22EC9" w:rsidRDefault="00E22EC9" w:rsidP="00E22EC9">
      <w:pPr>
        <w:spacing w:line="360" w:lineRule="auto"/>
        <w:jc w:val="left"/>
        <w:rPr>
          <w:rFonts w:ascii="Times New Roman" w:hAnsi="Times New Roman"/>
          <w:sz w:val="24"/>
        </w:rPr>
      </w:pPr>
    </w:p>
    <w:p w:rsidR="00E22EC9" w:rsidRDefault="00E22EC9" w:rsidP="00E22EC9">
      <w:pPr>
        <w:spacing w:line="360" w:lineRule="auto"/>
        <w:jc w:val="left"/>
        <w:rPr>
          <w:rFonts w:ascii="Times New Roman" w:hAnsi="Times New Roman"/>
          <w:sz w:val="24"/>
        </w:rPr>
      </w:pPr>
    </w:p>
    <w:p w:rsidR="00E22EC9" w:rsidRDefault="00E22EC9" w:rsidP="00E22EC9">
      <w:pPr>
        <w:rPr>
          <w:rFonts w:ascii="Times New Roman" w:hAnsi="Times New Roman" w:hint="eastAsia"/>
          <w:b/>
          <w:bCs/>
          <w:sz w:val="28"/>
          <w:szCs w:val="28"/>
        </w:rPr>
      </w:pPr>
    </w:p>
    <w:p w:rsidR="00E22EC9" w:rsidRDefault="00E22EC9" w:rsidP="00E22EC9">
      <w:pPr>
        <w:rPr>
          <w:rFonts w:ascii="Times New Roman" w:hAnsi="Times New Roman"/>
          <w:b/>
          <w:bCs/>
          <w:sz w:val="24"/>
        </w:rPr>
      </w:pPr>
    </w:p>
    <w:p w:rsidR="003517B1" w:rsidRDefault="003517B1">
      <w:bookmarkStart w:id="0" w:name="_GoBack"/>
      <w:bookmarkEnd w:id="0"/>
    </w:p>
    <w:sectPr w:rsidR="003517B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EC9"/>
    <w:rsid w:val="000731CB"/>
    <w:rsid w:val="00275F92"/>
    <w:rsid w:val="0029568F"/>
    <w:rsid w:val="00317F7C"/>
    <w:rsid w:val="003517B1"/>
    <w:rsid w:val="0060409E"/>
    <w:rsid w:val="00615B5F"/>
    <w:rsid w:val="00783965"/>
    <w:rsid w:val="00950ED0"/>
    <w:rsid w:val="009D7BE2"/>
    <w:rsid w:val="00A11F89"/>
    <w:rsid w:val="00A26124"/>
    <w:rsid w:val="00A4604F"/>
    <w:rsid w:val="00A571C8"/>
    <w:rsid w:val="00A57C61"/>
    <w:rsid w:val="00B43DCD"/>
    <w:rsid w:val="00BB7BE0"/>
    <w:rsid w:val="00C32A2C"/>
    <w:rsid w:val="00CA4D41"/>
    <w:rsid w:val="00CA5CE0"/>
    <w:rsid w:val="00CB143C"/>
    <w:rsid w:val="00CC5166"/>
    <w:rsid w:val="00CF7A5E"/>
    <w:rsid w:val="00E22E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0F3AE2-88E3-4B71-A400-7EFB27BC7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2EC9"/>
    <w:pPr>
      <w:widowControl w:val="0"/>
      <w:spacing w:line="240" w:lineRule="auto"/>
      <w:jc w:val="both"/>
    </w:pPr>
    <w:rPr>
      <w:rFonts w:ascii="Calibri" w:eastAsia="SimSun" w:hAnsi="Calibri"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paragraph" w:customStyle="1" w:styleId="ListParagraph1">
    <w:name w:val="List Paragraph1"/>
    <w:basedOn w:val="Normal"/>
    <w:uiPriority w:val="34"/>
    <w:qFormat/>
    <w:rsid w:val="00E22EC9"/>
    <w:pPr>
      <w:ind w:left="720"/>
      <w:contextualSpacing/>
    </w:pPr>
  </w:style>
  <w:style w:type="paragraph" w:customStyle="1" w:styleId="EndNoteBibliography">
    <w:name w:val="EndNote Bibliography"/>
    <w:basedOn w:val="Normal"/>
    <w:qFormat/>
    <w:rsid w:val="00E22EC9"/>
    <w:rPr>
      <w:rFonts w:cs="Calibr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959</Words>
  <Characters>5467</Characters>
  <Application>Microsoft Office Word</Application>
  <DocSecurity>0</DocSecurity>
  <Lines>45</Lines>
  <Paragraphs>12</Paragraphs>
  <ScaleCrop>false</ScaleCrop>
  <Company/>
  <LinksUpToDate>false</LinksUpToDate>
  <CharactersWithSpaces>6414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2020-02-25T19:56:00Z</dcterms:created>
  <dcterms:modified xsi:type="dcterms:W3CDTF">2020-02-25T19:56:00Z</dcterms:modified>
</cp:coreProperties>
</file>