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81167" w14:textId="77777777" w:rsidR="002468B3" w:rsidRPr="00DA0E36" w:rsidRDefault="002468B3" w:rsidP="002468B3">
      <w:pPr>
        <w:pStyle w:val="MDPI21heading1"/>
      </w:pPr>
      <w:bookmarkStart w:id="0" w:name="_GoBack"/>
      <w:bookmarkEnd w:id="0"/>
      <w:r w:rsidRPr="00DA0E36">
        <w:tab/>
      </w:r>
      <w:r w:rsidRPr="00DA0E36">
        <w:rPr>
          <w:noProof/>
          <w:snapToGrid/>
          <w:lang w:eastAsia="en-US" w:bidi="ar-SA"/>
        </w:rPr>
        <w:drawing>
          <wp:inline distT="0" distB="0" distL="0" distR="0" wp14:anchorId="5E1735C3" wp14:editId="3B7662D1">
            <wp:extent cx="5615940" cy="28079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Fig1.pdf"/>
                    <pic:cNvPicPr/>
                  </pic:nvPicPr>
                  <pic:blipFill>
                    <a:blip r:embed="rId4">
                      <a:extLst>
                        <a:ext uri="{28A0092B-C50C-407E-A947-70E740481C1C}">
                          <a14:useLocalDpi xmlns:a14="http://schemas.microsoft.com/office/drawing/2010/main" val="0"/>
                        </a:ext>
                      </a:extLst>
                    </a:blip>
                    <a:stretch>
                      <a:fillRect/>
                    </a:stretch>
                  </pic:blipFill>
                  <pic:spPr>
                    <a:xfrm>
                      <a:off x="0" y="0"/>
                      <a:ext cx="5615940" cy="2807970"/>
                    </a:xfrm>
                    <a:prstGeom prst="rect">
                      <a:avLst/>
                    </a:prstGeom>
                  </pic:spPr>
                </pic:pic>
              </a:graphicData>
            </a:graphic>
          </wp:inline>
        </w:drawing>
      </w:r>
    </w:p>
    <w:p w14:paraId="12406D6B"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b/>
          <w:sz w:val="18"/>
          <w:szCs w:val="18"/>
        </w:rPr>
        <w:t xml:space="preserve">Supplementary Figure 1: </w:t>
      </w:r>
      <w:r w:rsidRPr="00DA0E36">
        <w:rPr>
          <w:rFonts w:ascii="Palatino Linotype" w:hAnsi="Palatino Linotype"/>
          <w:sz w:val="18"/>
          <w:szCs w:val="18"/>
        </w:rPr>
        <w:t>Faith’s PD measurement between Controls, non-Sjögren’s-associated dry eye (NDE) and Sjögren’s-associated dry eye (SDE)</w:t>
      </w:r>
      <w:r w:rsidRPr="00DA0E36" w:rsidDel="00CA21C0">
        <w:rPr>
          <w:rFonts w:ascii="Palatino Linotype" w:hAnsi="Palatino Linotype"/>
          <w:sz w:val="18"/>
          <w:szCs w:val="18"/>
        </w:rPr>
        <w:t xml:space="preserve"> </w:t>
      </w:r>
      <w:r w:rsidRPr="00DA0E36">
        <w:rPr>
          <w:rFonts w:ascii="Palatino Linotype" w:hAnsi="Palatino Linotype"/>
          <w:sz w:val="18"/>
          <w:szCs w:val="18"/>
        </w:rPr>
        <w:t>when clustered against 97% CI and 99% CI SILVA database. (</w:t>
      </w:r>
      <w:r w:rsidRPr="00DA0E36">
        <w:rPr>
          <w:rFonts w:ascii="Palatino Linotype" w:hAnsi="Palatino Linotype"/>
          <w:b/>
          <w:sz w:val="18"/>
          <w:szCs w:val="18"/>
        </w:rPr>
        <w:t>A</w:t>
      </w:r>
      <w:r w:rsidRPr="00DA0E36">
        <w:rPr>
          <w:rFonts w:ascii="Palatino Linotype" w:hAnsi="Palatino Linotype"/>
          <w:sz w:val="18"/>
          <w:szCs w:val="18"/>
        </w:rPr>
        <w:t>) Dataset clustered against 97% CI-- Faith’s PD index is similar between the groups. (</w:t>
      </w:r>
      <w:r w:rsidRPr="00DA0E36">
        <w:rPr>
          <w:rFonts w:ascii="Palatino Linotype" w:hAnsi="Palatino Linotype"/>
          <w:b/>
          <w:sz w:val="18"/>
          <w:szCs w:val="18"/>
        </w:rPr>
        <w:t>B</w:t>
      </w:r>
      <w:r w:rsidRPr="00DA0E36">
        <w:rPr>
          <w:rFonts w:ascii="Palatino Linotype" w:hAnsi="Palatino Linotype"/>
          <w:sz w:val="18"/>
          <w:szCs w:val="18"/>
        </w:rPr>
        <w:t>) Dataset clustered against 99%CI—SDE samples show incremental, yet significant enhancement in phylogenetic index, compared to controls. The test of significance used was a pairwise Mann-Whitney U test.</w:t>
      </w:r>
      <w:r w:rsidRPr="00DA0E36">
        <w:rPr>
          <w:rFonts w:ascii="Palatino Linotype" w:hAnsi="Palatino Linotype"/>
          <w:b/>
          <w:sz w:val="18"/>
          <w:szCs w:val="18"/>
        </w:rPr>
        <w:tab/>
      </w:r>
      <w:r w:rsidRPr="00DA0E36">
        <w:rPr>
          <w:rFonts w:ascii="Palatino Linotype" w:hAnsi="Palatino Linotype"/>
          <w:b/>
          <w:sz w:val="18"/>
          <w:szCs w:val="18"/>
        </w:rPr>
        <w:br/>
      </w:r>
    </w:p>
    <w:p w14:paraId="4CB262E9"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noProof/>
          <w:sz w:val="18"/>
          <w:szCs w:val="18"/>
          <w:lang w:eastAsia="en-US"/>
        </w:rPr>
        <w:lastRenderedPageBreak/>
        <w:drawing>
          <wp:inline distT="0" distB="0" distL="0" distR="0" wp14:anchorId="47B9B1C2" wp14:editId="39E54468">
            <wp:extent cx="5615940" cy="5239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15940" cy="5239385"/>
                    </a:xfrm>
                    <a:prstGeom prst="rect">
                      <a:avLst/>
                    </a:prstGeom>
                  </pic:spPr>
                </pic:pic>
              </a:graphicData>
            </a:graphic>
          </wp:inline>
        </w:drawing>
      </w:r>
    </w:p>
    <w:p w14:paraId="72895198"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b/>
          <w:sz w:val="18"/>
          <w:szCs w:val="18"/>
        </w:rPr>
        <w:t>Supplementary Figure 2:</w:t>
      </w:r>
      <w:r w:rsidRPr="00DA0E36">
        <w:rPr>
          <w:rFonts w:ascii="Palatino Linotype" w:hAnsi="Palatino Linotype"/>
          <w:sz w:val="18"/>
          <w:szCs w:val="18"/>
        </w:rPr>
        <w:t xml:space="preserve"> Spreadsheet with the control group clusters with bacterial identities comprising each cluster marked in Figure 5. </w:t>
      </w:r>
      <w:r w:rsidRPr="00DA0E36">
        <w:rPr>
          <w:rFonts w:ascii="Palatino Linotype" w:hAnsi="Palatino Linotype"/>
          <w:sz w:val="18"/>
          <w:szCs w:val="18"/>
        </w:rPr>
        <w:tab/>
      </w:r>
      <w:r w:rsidRPr="00DA0E36">
        <w:rPr>
          <w:rFonts w:ascii="Palatino Linotype" w:hAnsi="Palatino Linotype"/>
          <w:sz w:val="18"/>
          <w:szCs w:val="18"/>
        </w:rPr>
        <w:br/>
      </w:r>
    </w:p>
    <w:p w14:paraId="190C22F7"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noProof/>
          <w:sz w:val="18"/>
          <w:szCs w:val="18"/>
          <w:lang w:eastAsia="en-US"/>
        </w:rPr>
        <w:lastRenderedPageBreak/>
        <w:drawing>
          <wp:inline distT="0" distB="0" distL="0" distR="0" wp14:anchorId="2B7E16F5" wp14:editId="1F43924B">
            <wp:extent cx="5615940" cy="5239385"/>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15940" cy="5239385"/>
                    </a:xfrm>
                    <a:prstGeom prst="rect">
                      <a:avLst/>
                    </a:prstGeom>
                  </pic:spPr>
                </pic:pic>
              </a:graphicData>
            </a:graphic>
          </wp:inline>
        </w:drawing>
      </w:r>
    </w:p>
    <w:p w14:paraId="01A62331"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b/>
          <w:sz w:val="18"/>
          <w:szCs w:val="18"/>
        </w:rPr>
        <w:t>Supplementary Figure 3:</w:t>
      </w:r>
      <w:r w:rsidRPr="00DA0E36">
        <w:rPr>
          <w:rFonts w:ascii="Palatino Linotype" w:hAnsi="Palatino Linotype"/>
          <w:sz w:val="18"/>
          <w:szCs w:val="18"/>
        </w:rPr>
        <w:t xml:space="preserve"> Spreadsheet with the non-Sjögren’s-associated dry eye (NDE) group clusters with bacterial identities comprising each cluster marked in Figure 5. As evident from this list, there are changes in phyla representation in major clusters. </w:t>
      </w:r>
    </w:p>
    <w:p w14:paraId="5DA0D0E3"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sz w:val="18"/>
          <w:szCs w:val="18"/>
        </w:rPr>
        <w:lastRenderedPageBreak/>
        <w:br/>
      </w:r>
      <w:r w:rsidRPr="00DA0E36">
        <w:rPr>
          <w:rFonts w:ascii="Palatino Linotype" w:hAnsi="Palatino Linotype"/>
          <w:noProof/>
          <w:sz w:val="18"/>
          <w:szCs w:val="18"/>
          <w:lang w:eastAsia="en-US"/>
        </w:rPr>
        <w:drawing>
          <wp:inline distT="0" distB="0" distL="0" distR="0" wp14:anchorId="7E500030" wp14:editId="5E243370">
            <wp:extent cx="5615940" cy="3702685"/>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5940" cy="3702685"/>
                    </a:xfrm>
                    <a:prstGeom prst="rect">
                      <a:avLst/>
                    </a:prstGeom>
                  </pic:spPr>
                </pic:pic>
              </a:graphicData>
            </a:graphic>
          </wp:inline>
        </w:drawing>
      </w:r>
    </w:p>
    <w:p w14:paraId="7D7A763E" w14:textId="77777777" w:rsidR="002468B3" w:rsidRPr="00DA0E36" w:rsidRDefault="002468B3" w:rsidP="002468B3">
      <w:pPr>
        <w:ind w:left="360"/>
        <w:rPr>
          <w:rFonts w:ascii="Palatino Linotype" w:hAnsi="Palatino Linotype"/>
          <w:sz w:val="18"/>
          <w:szCs w:val="18"/>
        </w:rPr>
      </w:pPr>
      <w:r w:rsidRPr="00DA0E36">
        <w:rPr>
          <w:rFonts w:ascii="Palatino Linotype" w:hAnsi="Palatino Linotype"/>
          <w:b/>
          <w:sz w:val="18"/>
          <w:szCs w:val="18"/>
        </w:rPr>
        <w:t>Supplementary Figure 4:</w:t>
      </w:r>
      <w:r w:rsidRPr="00DA0E36">
        <w:rPr>
          <w:rFonts w:ascii="Palatino Linotype" w:hAnsi="Palatino Linotype"/>
          <w:sz w:val="18"/>
          <w:szCs w:val="18"/>
        </w:rPr>
        <w:t xml:space="preserve"> Spreadsheet with the Sjögren’s-associated dry eye (SDE) group clusters with bacterial identities comprising each cluster marked in Figure 5. Within each phylum genera representation differed compared to controls (e.g. expanded representation of the genus </w:t>
      </w:r>
      <w:proofErr w:type="spellStart"/>
      <w:r w:rsidRPr="00DA0E36">
        <w:rPr>
          <w:rFonts w:ascii="Palatino Linotype" w:hAnsi="Palatino Linotype"/>
          <w:i/>
          <w:sz w:val="18"/>
          <w:szCs w:val="18"/>
        </w:rPr>
        <w:t>Prevotella</w:t>
      </w:r>
      <w:proofErr w:type="spellEnd"/>
      <w:r w:rsidRPr="00DA0E36">
        <w:rPr>
          <w:rFonts w:ascii="Palatino Linotype" w:hAnsi="Palatino Linotype"/>
          <w:sz w:val="18"/>
          <w:szCs w:val="18"/>
        </w:rPr>
        <w:t xml:space="preserve"> in non-Sjögren’s-associated dry eye (NDE) clusters and the phylum Actinobacteria having different genera in each of the three groups). As seen in Figure 5, SDE clusters have increased in number with major clusters composed of more diverse phyla with disparate genera representation.</w:t>
      </w:r>
    </w:p>
    <w:p w14:paraId="666686D3" w14:textId="77777777" w:rsidR="001E1B4E" w:rsidRDefault="001E1B4E"/>
    <w:sectPr w:rsidR="001E1B4E" w:rsidSect="004A35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0000000000000000000"/>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8B3"/>
    <w:rsid w:val="00011FCB"/>
    <w:rsid w:val="000258B4"/>
    <w:rsid w:val="00033EF9"/>
    <w:rsid w:val="00051C50"/>
    <w:rsid w:val="00091B4D"/>
    <w:rsid w:val="000E1E48"/>
    <w:rsid w:val="001519AB"/>
    <w:rsid w:val="0015222D"/>
    <w:rsid w:val="001B3B42"/>
    <w:rsid w:val="001E1B4E"/>
    <w:rsid w:val="001E2AD9"/>
    <w:rsid w:val="00244B7D"/>
    <w:rsid w:val="002457E5"/>
    <w:rsid w:val="002468B3"/>
    <w:rsid w:val="00250CAC"/>
    <w:rsid w:val="002C72B2"/>
    <w:rsid w:val="00437B1B"/>
    <w:rsid w:val="00443089"/>
    <w:rsid w:val="00492E4A"/>
    <w:rsid w:val="004A3531"/>
    <w:rsid w:val="005C26A4"/>
    <w:rsid w:val="006132BF"/>
    <w:rsid w:val="007659E2"/>
    <w:rsid w:val="0077155B"/>
    <w:rsid w:val="00772814"/>
    <w:rsid w:val="007D37D9"/>
    <w:rsid w:val="007E1811"/>
    <w:rsid w:val="00831432"/>
    <w:rsid w:val="00832EF1"/>
    <w:rsid w:val="008C157E"/>
    <w:rsid w:val="008C44F8"/>
    <w:rsid w:val="008D4489"/>
    <w:rsid w:val="008D4635"/>
    <w:rsid w:val="00977A00"/>
    <w:rsid w:val="00B1784F"/>
    <w:rsid w:val="00C15CA0"/>
    <w:rsid w:val="00C25AE9"/>
    <w:rsid w:val="00C42F92"/>
    <w:rsid w:val="00C45EF7"/>
    <w:rsid w:val="00C93249"/>
    <w:rsid w:val="00D115A9"/>
    <w:rsid w:val="00D768AA"/>
    <w:rsid w:val="00E135E0"/>
    <w:rsid w:val="00F831BD"/>
    <w:rsid w:val="00FC03B8"/>
    <w:rsid w:val="00FC327E"/>
    <w:rsid w:val="00FC60D3"/>
    <w:rsid w:val="00FD24A6"/>
    <w:rsid w:val="00FF6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FC8DFA"/>
  <w15:chartTrackingRefBased/>
  <w15:docId w15:val="{F37C4F43-09C9-2743-9E7D-47C1DC309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8B3"/>
    <w:pPr>
      <w:spacing w:line="340" w:lineRule="atLeast"/>
      <w:jc w:val="both"/>
    </w:pPr>
    <w:rPr>
      <w:rFonts w:ascii="Times New Roman" w:eastAsia="Times New Roman" w:hAnsi="Times New Roman" w:cs="Times New Roman"/>
      <w:color w:val="000000"/>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2468B3"/>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paragraph" w:styleId="BalloonText">
    <w:name w:val="Balloon Text"/>
    <w:basedOn w:val="Normal"/>
    <w:link w:val="BalloonTextChar"/>
    <w:uiPriority w:val="99"/>
    <w:semiHidden/>
    <w:unhideWhenUsed/>
    <w:rsid w:val="002468B3"/>
    <w:pPr>
      <w:spacing w:line="240" w:lineRule="auto"/>
    </w:pPr>
    <w:rPr>
      <w:sz w:val="18"/>
      <w:szCs w:val="18"/>
    </w:rPr>
  </w:style>
  <w:style w:type="character" w:customStyle="1" w:styleId="BalloonTextChar">
    <w:name w:val="Balloon Text Char"/>
    <w:basedOn w:val="DefaultParagraphFont"/>
    <w:link w:val="BalloonText"/>
    <w:uiPriority w:val="99"/>
    <w:semiHidden/>
    <w:rsid w:val="002468B3"/>
    <w:rPr>
      <w:rFonts w:ascii="Times New Roman" w:eastAsia="Times New Roman" w:hAnsi="Times New Roman" w:cs="Times New Roman"/>
      <w:color w:val="000000"/>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220</Words>
  <Characters>1257</Characters>
  <Application>Microsoft Office Word</Application>
  <DocSecurity>0</DocSecurity>
  <Lines>10</Lines>
  <Paragraphs>2</Paragraphs>
  <ScaleCrop>false</ScaleCrop>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Watane, Arjun</dc:creator>
  <cp:keywords/>
  <dc:description/>
  <cp:lastModifiedBy>Watane, Arjun</cp:lastModifiedBy>
  <cp:revision>1</cp:revision>
  <dcterms:created xsi:type="dcterms:W3CDTF">2020-01-21T21:59:00Z</dcterms:created>
  <dcterms:modified xsi:type="dcterms:W3CDTF">2020-01-22T02:03:00Z</dcterms:modified>
</cp:coreProperties>
</file>