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overflowPunct/>
        <w:spacing w:after="0" w:line="480" w:lineRule="auto"/>
      </w:pPr>
      <w:bookmarkStart w:id="0" w:name="_y5i94ibbwe44"/>
      <w:bookmarkEnd w:id="0"/>
      <w:r>
        <w:rPr>
          <w:rFonts w:ascii="Times New Roman" w:hAnsi="Times New Roman" w:cs="Times New Roman"/>
          <w:b/>
          <w:bCs/>
          <w:sz w:val="32"/>
          <w:szCs w:val="32"/>
        </w:rPr>
        <w:t>Fusion transcript detection using spatial transcriptomics</w:t>
      </w:r>
    </w:p>
    <w:p>
      <w:pPr>
        <w:pStyle w:val="6"/>
        <w:overflowPunct/>
        <w:spacing w:after="0" w:line="480" w:lineRule="auto"/>
      </w:pPr>
      <w:bookmarkStart w:id="1" w:name="_9e1p0jpbkdk4"/>
      <w:bookmarkEnd w:id="1"/>
      <w:r>
        <w:rPr>
          <w:rFonts w:ascii="Times New Roman" w:hAnsi="Times New Roman" w:cs="Times New Roman"/>
          <w:color w:val="000000"/>
          <w:sz w:val="32"/>
          <w:szCs w:val="32"/>
        </w:rPr>
        <w:t>Supplementary materials</w:t>
      </w:r>
    </w:p>
    <w:p>
      <w:pPr>
        <w:pStyle w:val="6"/>
        <w:overflowPunct/>
        <w:spacing w:after="0" w:line="480" w:lineRule="auto"/>
        <w:rPr>
          <w:rFonts w:ascii="Times New Roman" w:hAnsi="Times New Roman" w:cs="Times New Roman"/>
          <w:color w:val="000000"/>
          <w:sz w:val="22"/>
          <w:szCs w:val="22"/>
        </w:rPr>
      </w:pPr>
    </w:p>
    <w:p>
      <w:pPr>
        <w:pStyle w:val="2"/>
        <w:numPr>
          <w:ilvl w:val="0"/>
          <w:numId w:val="0"/>
        </w:numPr>
        <w:overflowPunct/>
        <w:spacing w:before="0" w:after="0" w:line="480" w:lineRule="auto"/>
      </w:pPr>
      <w:r>
        <w:rPr>
          <w:rFonts w:ascii="Times New Roman" w:hAnsi="Times New Roman" w:eastAsia="Sawasdee" w:cs="Times New Roman"/>
          <w:lang w:val="zh-CN"/>
        </w:rPr>
        <w:t>The Spatial Transcriptomics method</w:t>
      </w:r>
    </w:p>
    <w:p>
      <w:pPr>
        <w:overflowPunct/>
        <w:spacing w:line="480" w:lineRule="auto"/>
      </w:pPr>
      <w:r>
        <w:rPr>
          <w:rFonts w:ascii="Times New Roman" w:hAnsi="Times New Roman" w:cs="Times New Roman"/>
          <w:sz w:val="22"/>
          <w:szCs w:val="22"/>
        </w:rPr>
        <w:t>Messenger RNA (mRNA) and the poly(A) tails are captured with an poly-T20VN oligonucleotide in each of the 1,007 features (spots) of the spatial transcriptomics array and tagged with a unique molecular identifier (UMI), and a spatial barcode. From the captured mRNA, complementary DNA is generated by reverse transcription and sequenced using paired-end sequencing. The first read of the pairs encloses barcode and UMI, the second read contains the genetic information. Finally, the resulting read counts for every gene in every spot is overlaid with annotated brightfield image of H&amp;E-stained tissue sections for further data analysis. The number of captured poly(A) tails mirrors the gene expression level on almost single-cell level. The fragment of the sequence before the cleavage site (101 or 121 base pairs, bp) is mapped to a reference genome. For any correctly transcribed gene, the amount of poly(A) tail reflects the expression level. [18,19]</w:t>
      </w:r>
    </w:p>
    <w:p>
      <w:pPr>
        <w:pStyle w:val="2"/>
        <w:numPr>
          <w:ilvl w:val="0"/>
          <w:numId w:val="0"/>
        </w:numPr>
        <w:overflowPunct/>
        <w:spacing w:before="0" w:after="0" w:line="480" w:lineRule="auto"/>
        <w:rPr>
          <w:rFonts w:ascii="Times New Roman" w:hAnsi="Times New Roman" w:eastAsia="Sawasdee" w:cs="Times New Roman"/>
          <w:lang w:val="zh-CN"/>
        </w:rPr>
      </w:pPr>
    </w:p>
    <w:p>
      <w:pPr>
        <w:pStyle w:val="2"/>
        <w:numPr>
          <w:ilvl w:val="0"/>
          <w:numId w:val="0"/>
        </w:numPr>
        <w:overflowPunct/>
        <w:spacing w:before="0" w:after="0" w:line="480" w:lineRule="auto"/>
      </w:pPr>
      <w:bookmarkStart w:id="2" w:name="_w8asfg7uqv"/>
      <w:bookmarkEnd w:id="2"/>
      <w:r>
        <w:rPr>
          <w:rFonts w:ascii="Times New Roman" w:hAnsi="Times New Roman" w:eastAsia="Sawasdee" w:cs="Times New Roman"/>
          <w:lang w:val="zh-CN"/>
        </w:rPr>
        <w:t>The fusion transcripts in HeLa cancer cells</w:t>
      </w:r>
    </w:p>
    <w:p>
      <w:pPr>
        <w:overflowPunct/>
        <w:spacing w:line="480" w:lineRule="auto"/>
      </w:pPr>
      <w:r>
        <w:rPr>
          <w:rFonts w:ascii="Times New Roman" w:hAnsi="Times New Roman" w:cs="Times New Roman"/>
          <w:b/>
          <w:sz w:val="22"/>
          <w:szCs w:val="22"/>
        </w:rPr>
        <w:t>Table S1. The cis-SAGe</w:t>
      </w:r>
      <w:r>
        <w:rPr>
          <w:rFonts w:ascii="Times New Roman" w:hAnsi="Times New Roman" w:cs="Times New Roman"/>
          <w:b/>
          <w:i/>
          <w:sz w:val="22"/>
          <w:szCs w:val="22"/>
        </w:rPr>
        <w:t xml:space="preserve"> LHX6-NDUFA8.</w:t>
      </w:r>
      <w:r>
        <w:rPr>
          <w:rFonts w:ascii="Times New Roman" w:hAnsi="Times New Roman" w:cs="Times New Roman"/>
          <w:bCs/>
          <w:i/>
          <w:sz w:val="22"/>
          <w:szCs w:val="22"/>
        </w:rPr>
        <w:t xml:space="preserve"> </w:t>
      </w:r>
      <w:r>
        <w:rPr>
          <w:rFonts w:ascii="Times New Roman" w:hAnsi="Times New Roman" w:cs="Times New Roman"/>
          <w:bCs/>
          <w:sz w:val="22"/>
          <w:szCs w:val="22"/>
        </w:rPr>
        <w:t xml:space="preserve">Gene structure of parental genes </w:t>
      </w:r>
      <w:r>
        <w:rPr>
          <w:rFonts w:ascii="Times New Roman" w:hAnsi="Times New Roman" w:cs="Times New Roman"/>
          <w:bCs/>
          <w:i/>
          <w:sz w:val="22"/>
          <w:szCs w:val="22"/>
        </w:rPr>
        <w:t>LHX6</w:t>
      </w:r>
      <w:r>
        <w:rPr>
          <w:rFonts w:ascii="Times New Roman" w:hAnsi="Times New Roman" w:cs="Times New Roman"/>
          <w:bCs/>
          <w:sz w:val="22"/>
          <w:szCs w:val="22"/>
        </w:rPr>
        <w:t xml:space="preserve"> and </w:t>
      </w:r>
      <w:r>
        <w:rPr>
          <w:rFonts w:ascii="Times New Roman" w:hAnsi="Times New Roman" w:cs="Times New Roman"/>
          <w:bCs/>
          <w:i/>
          <w:sz w:val="22"/>
          <w:szCs w:val="22"/>
        </w:rPr>
        <w:t>NDUFA8.</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overflowPunct/>
              <w:snapToGrid w:val="0"/>
              <w:spacing w:line="480" w:lineRule="auto"/>
              <w:jc w:val="center"/>
            </w:pPr>
            <w:r>
              <w:rPr>
                <w:rFonts w:ascii="Times New Roman" w:hAnsi="Times New Roman" w:eastAsia="Times New Roman" w:cs="Times New Roman"/>
                <w:sz w:val="22"/>
                <w:szCs w:val="22"/>
              </w:rPr>
              <w:t xml:space="preserve"> </w:t>
            </w:r>
            <w:r>
              <w:rPr>
                <w:rFonts w:ascii="Times New Roman" w:hAnsi="Times New Roman" w:cs="Times New Roman"/>
                <w:b/>
                <w:i/>
                <w:sz w:val="22"/>
                <w:szCs w:val="22"/>
              </w:rPr>
              <w:t>LHX6</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NDUFA8</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 xml:space="preserve">5´ </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9</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9</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122,185,652-122,229,626</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122,132,466-122,159,819</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43,975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27,354</w:t>
            </w:r>
          </w:p>
        </w:tc>
      </w:tr>
    </w:tbl>
    <w:p>
      <w:pPr>
        <w:keepNext/>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Table S2. The cis-SAGe</w:t>
      </w:r>
      <w:r>
        <w:rPr>
          <w:rFonts w:ascii="Times New Roman" w:hAnsi="Times New Roman" w:cs="Times New Roman"/>
          <w:b/>
          <w:i/>
          <w:sz w:val="22"/>
          <w:szCs w:val="22"/>
        </w:rPr>
        <w:t xml:space="preserve"> SLC2A11-MIF. </w:t>
      </w:r>
      <w:r>
        <w:rPr>
          <w:rFonts w:ascii="Times New Roman" w:hAnsi="Times New Roman" w:cs="Times New Roman"/>
          <w:bCs/>
          <w:sz w:val="22"/>
          <w:szCs w:val="22"/>
        </w:rPr>
        <w:t xml:space="preserve">Gene structure of parental genes </w:t>
      </w:r>
      <w:r>
        <w:rPr>
          <w:rFonts w:ascii="Times New Roman" w:hAnsi="Times New Roman" w:cs="Times New Roman"/>
          <w:bCs/>
          <w:i/>
          <w:sz w:val="22"/>
          <w:szCs w:val="22"/>
        </w:rPr>
        <w:t>SLC2A11</w:t>
      </w:r>
      <w:r>
        <w:rPr>
          <w:rFonts w:ascii="Times New Roman" w:hAnsi="Times New Roman" w:cs="Times New Roman"/>
          <w:bCs/>
          <w:sz w:val="22"/>
          <w:szCs w:val="22"/>
        </w:rPr>
        <w:t xml:space="preserve"> and </w:t>
      </w:r>
      <w:r>
        <w:rPr>
          <w:rFonts w:ascii="Times New Roman" w:hAnsi="Times New Roman" w:cs="Times New Roman"/>
          <w:bCs/>
          <w:i/>
          <w:sz w:val="22"/>
          <w:szCs w:val="22"/>
        </w:rPr>
        <w:t>MIF.</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SLC2A11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MIF</w:t>
            </w:r>
            <w:r>
              <w:rPr>
                <w:rFonts w:ascii="Times New Roman" w:hAnsi="Times New Roman" w:cs="Times New Roman"/>
                <w:b/>
                <w:sz w:val="22"/>
                <w:szCs w:val="22"/>
              </w:rPr>
              <w:t xml:space="preserve"> </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 xml:space="preserve">5´ </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23,856,703-23,886,309</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23,894,004-23,895,227</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29,607</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1,224</w:t>
            </w:r>
          </w:p>
        </w:tc>
      </w:tr>
    </w:tbl>
    <w:p>
      <w:pPr>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Table S3. The cis-SAGe</w:t>
      </w:r>
      <w:r>
        <w:rPr>
          <w:rFonts w:ascii="Times New Roman" w:hAnsi="Times New Roman" w:cs="Times New Roman"/>
          <w:b/>
          <w:i/>
          <w:sz w:val="22"/>
          <w:szCs w:val="22"/>
        </w:rPr>
        <w:t xml:space="preserve"> SLC45A3-ELK4.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SLC45A3</w:t>
      </w:r>
      <w:r>
        <w:rPr>
          <w:rFonts w:ascii="Times New Roman" w:hAnsi="Times New Roman" w:cs="Times New Roman"/>
          <w:sz w:val="22"/>
          <w:szCs w:val="22"/>
        </w:rPr>
        <w:t xml:space="preserve"> and </w:t>
      </w:r>
      <w:r>
        <w:rPr>
          <w:rFonts w:ascii="Times New Roman" w:hAnsi="Times New Roman" w:cs="Times New Roman"/>
          <w:i/>
          <w:sz w:val="22"/>
          <w:szCs w:val="22"/>
        </w:rPr>
        <w:t>ELK4.</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SLC45A3</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ELK4</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205,657,851-205,680,502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205,593,466-205,634,085</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22,608</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24,019</w:t>
            </w:r>
          </w:p>
        </w:tc>
      </w:tr>
    </w:tbl>
    <w:p>
      <w:pPr>
        <w:keepNext/>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S4. The fusion transcript </w:t>
      </w:r>
      <w:r>
        <w:rPr>
          <w:rFonts w:ascii="Times New Roman" w:hAnsi="Times New Roman" w:cs="Times New Roman"/>
          <w:b/>
          <w:i/>
          <w:sz w:val="22"/>
          <w:szCs w:val="22"/>
        </w:rPr>
        <w:t xml:space="preserve">FOXRED2-TXN2.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FOXRED2</w:t>
      </w:r>
      <w:r>
        <w:rPr>
          <w:rFonts w:ascii="Times New Roman" w:hAnsi="Times New Roman" w:cs="Times New Roman"/>
          <w:sz w:val="22"/>
          <w:szCs w:val="22"/>
        </w:rPr>
        <w:t xml:space="preserve"> and </w:t>
      </w:r>
      <w:r>
        <w:rPr>
          <w:rFonts w:ascii="Times New Roman" w:hAnsi="Times New Roman" w:cs="Times New Roman"/>
          <w:i/>
          <w:sz w:val="22"/>
          <w:szCs w:val="22"/>
        </w:rPr>
        <w:t>TXN2.</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FOXRED2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TXN2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36,487,186-36,507,101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36,467,036-36,482,030</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 xml:space="preserve">19,916 </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14,995</w:t>
            </w:r>
          </w:p>
        </w:tc>
      </w:tr>
    </w:tbl>
    <w:p>
      <w:pPr>
        <w:keepNext/>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S5. The fusion transcript </w:t>
      </w:r>
      <w:r>
        <w:rPr>
          <w:rFonts w:ascii="Times New Roman" w:hAnsi="Times New Roman" w:cs="Times New Roman"/>
          <w:b/>
          <w:i/>
          <w:sz w:val="22"/>
          <w:szCs w:val="22"/>
        </w:rPr>
        <w:t xml:space="preserve">GFOD2-ENKD1.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GFOD2</w:t>
      </w:r>
      <w:r>
        <w:rPr>
          <w:rFonts w:ascii="Times New Roman" w:hAnsi="Times New Roman" w:cs="Times New Roman"/>
          <w:sz w:val="22"/>
          <w:szCs w:val="22"/>
        </w:rPr>
        <w:t xml:space="preserve"> and </w:t>
      </w:r>
      <w:r>
        <w:rPr>
          <w:rFonts w:ascii="Times New Roman" w:hAnsi="Times New Roman" w:cs="Times New Roman"/>
          <w:i/>
          <w:sz w:val="22"/>
          <w:szCs w:val="22"/>
        </w:rPr>
        <w:t>ENKD1</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GFOD2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ENKD1</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 gene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 xml:space="preserve">3´ </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16</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16</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67,674,531-67,719,421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67,662,945-67,667,265</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44,891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4,321</w:t>
            </w:r>
          </w:p>
        </w:tc>
      </w:tr>
    </w:tbl>
    <w:p>
      <w:pPr>
        <w:overflowPunct/>
        <w:spacing w:line="480" w:lineRule="auto"/>
        <w:rPr>
          <w:rFonts w:ascii="Times New Roman" w:hAnsi="Times New Roman" w:cs="Times New Roman"/>
          <w:color w:val="A61C00"/>
          <w:sz w:val="22"/>
          <w:szCs w:val="22"/>
        </w:rPr>
      </w:pPr>
    </w:p>
    <w:p>
      <w:pPr>
        <w:overflowPunct/>
        <w:spacing w:line="480" w:lineRule="auto"/>
      </w:pPr>
      <w:r>
        <w:rPr>
          <w:rFonts w:ascii="Times New Roman" w:hAnsi="Times New Roman" w:cs="Times New Roman"/>
          <w:b/>
          <w:sz w:val="22"/>
          <w:szCs w:val="22"/>
        </w:rPr>
        <w:t xml:space="preserve">Table S6. The fusion transcript </w:t>
      </w:r>
      <w:r>
        <w:rPr>
          <w:rFonts w:ascii="Times New Roman" w:hAnsi="Times New Roman" w:cs="Times New Roman"/>
          <w:b/>
          <w:i/>
          <w:sz w:val="22"/>
          <w:szCs w:val="22"/>
        </w:rPr>
        <w:t xml:space="preserve">TXNDC9-LYG1.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LYG1</w:t>
      </w:r>
      <w:r>
        <w:rPr>
          <w:rFonts w:ascii="Times New Roman" w:hAnsi="Times New Roman" w:cs="Times New Roman"/>
          <w:sz w:val="22"/>
          <w:szCs w:val="22"/>
        </w:rPr>
        <w:t xml:space="preserve"> and </w:t>
      </w:r>
      <w:r>
        <w:rPr>
          <w:rFonts w:ascii="Times New Roman" w:hAnsi="Times New Roman" w:cs="Times New Roman"/>
          <w:i/>
          <w:sz w:val="22"/>
          <w:szCs w:val="22"/>
        </w:rPr>
        <w:t>TXNDC9</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TXNDC9</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LYG1</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99,318,982-99,340,702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99,284,238-99,304,742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21,721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20,505</w:t>
            </w:r>
          </w:p>
        </w:tc>
      </w:tr>
    </w:tbl>
    <w:p>
      <w:pPr>
        <w:keepNext/>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S7. The fusion transcript </w:t>
      </w:r>
      <w:r>
        <w:rPr>
          <w:rFonts w:ascii="Times New Roman" w:hAnsi="Times New Roman" w:cs="Times New Roman"/>
          <w:b/>
          <w:i/>
          <w:sz w:val="22"/>
          <w:szCs w:val="22"/>
        </w:rPr>
        <w:t xml:space="preserve">MFSD7-ATP5I.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MFSD7</w:t>
      </w:r>
      <w:r>
        <w:rPr>
          <w:rFonts w:ascii="Times New Roman" w:hAnsi="Times New Roman" w:cs="Times New Roman"/>
          <w:sz w:val="22"/>
          <w:szCs w:val="22"/>
        </w:rPr>
        <w:t xml:space="preserve"> and </w:t>
      </w:r>
      <w:r>
        <w:rPr>
          <w:rFonts w:ascii="Times New Roman" w:hAnsi="Times New Roman" w:cs="Times New Roman"/>
          <w:i/>
          <w:sz w:val="22"/>
          <w:szCs w:val="22"/>
        </w:rPr>
        <w:t>ATP5I</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MFSD7</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ATP5I</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4</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4</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674,690-689,468</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672,436-674,338</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14,779</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1,903</w:t>
            </w:r>
          </w:p>
        </w:tc>
      </w:tr>
    </w:tbl>
    <w:p>
      <w:pPr>
        <w:keepNext/>
        <w:shd w:val="clear" w:color="auto" w:fill="FFFFFF"/>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S8. The fusion transcript </w:t>
      </w:r>
      <w:r>
        <w:rPr>
          <w:rFonts w:ascii="Times New Roman" w:hAnsi="Times New Roman" w:cs="Times New Roman"/>
          <w:b/>
          <w:i/>
          <w:sz w:val="22"/>
          <w:szCs w:val="22"/>
        </w:rPr>
        <w:t>UBE2Q2-FBXO22.</w:t>
      </w:r>
      <w:r>
        <w:rPr>
          <w:rFonts w:ascii="Times New Roman" w:hAnsi="Times New Roman" w:cs="Times New Roman"/>
          <w:i/>
          <w:sz w:val="22"/>
          <w:szCs w:val="22"/>
        </w:rPr>
        <w:t xml:space="preserve">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UBE2Q2</w:t>
      </w:r>
      <w:r>
        <w:rPr>
          <w:rFonts w:ascii="Times New Roman" w:hAnsi="Times New Roman" w:cs="Times New Roman"/>
          <w:sz w:val="22"/>
          <w:szCs w:val="22"/>
        </w:rPr>
        <w:t xml:space="preserve"> and </w:t>
      </w:r>
      <w:r>
        <w:rPr>
          <w:rFonts w:ascii="Times New Roman" w:hAnsi="Times New Roman" w:cs="Times New Roman"/>
          <w:i/>
          <w:sz w:val="22"/>
          <w:szCs w:val="22"/>
        </w:rPr>
        <w:t>FBXO22</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UBE2Q2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FBXO22</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15</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75,843,285-75,901,078</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75,903,859-75,942,510</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57,794</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38,652</w:t>
            </w:r>
          </w:p>
        </w:tc>
      </w:tr>
    </w:tbl>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S9. The fusion transcript </w:t>
      </w:r>
      <w:r>
        <w:rPr>
          <w:rFonts w:ascii="Times New Roman" w:hAnsi="Times New Roman" w:cs="Times New Roman"/>
          <w:b/>
          <w:i/>
          <w:sz w:val="22"/>
          <w:szCs w:val="22"/>
        </w:rPr>
        <w:t>DHRS13-FLOT2.</w:t>
      </w:r>
      <w:r>
        <w:rPr>
          <w:rFonts w:ascii="Times New Roman" w:hAnsi="Times New Roman" w:cs="Times New Roman"/>
          <w:i/>
          <w:sz w:val="22"/>
          <w:szCs w:val="22"/>
        </w:rPr>
        <w:t xml:space="preserve">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DHRS13</w:t>
      </w:r>
      <w:r>
        <w:rPr>
          <w:rFonts w:ascii="Times New Roman" w:hAnsi="Times New Roman" w:cs="Times New Roman"/>
          <w:sz w:val="22"/>
          <w:szCs w:val="22"/>
        </w:rPr>
        <w:t xml:space="preserve"> and </w:t>
      </w:r>
      <w:r>
        <w:rPr>
          <w:rFonts w:ascii="Times New Roman" w:hAnsi="Times New Roman" w:cs="Times New Roman"/>
          <w:i/>
          <w:sz w:val="22"/>
          <w:szCs w:val="22"/>
        </w:rPr>
        <w:t xml:space="preserve">FLOT2. </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DHRS13</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FLOT2</w:t>
            </w:r>
            <w:r>
              <w:rPr>
                <w:rFonts w:ascii="Times New Roman" w:hAnsi="Times New Roman" w:cs="Times New Roman"/>
                <w:b/>
                <w:sz w:val="22"/>
                <w:szCs w:val="22"/>
              </w:rPr>
              <w:t xml:space="preserve"> </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 xml:space="preserve">5´ </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17</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17</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28,897,781-28,903,071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28,879,335-28,897,697</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5,291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18,363</w:t>
            </w:r>
          </w:p>
        </w:tc>
      </w:tr>
    </w:tbl>
    <w:p>
      <w:pPr>
        <w:overflowPunct/>
        <w:spacing w:line="480" w:lineRule="auto"/>
        <w:rPr>
          <w:rFonts w:ascii="Times New Roman" w:hAnsi="Times New Roman" w:cs="Times New Roman"/>
          <w:color w:val="A61C00"/>
          <w:sz w:val="22"/>
          <w:szCs w:val="22"/>
        </w:rPr>
      </w:pPr>
    </w:p>
    <w:p>
      <w:pPr>
        <w:overflowPunct/>
        <w:spacing w:line="480" w:lineRule="auto"/>
      </w:pPr>
      <w:r>
        <w:rPr>
          <w:rFonts w:ascii="Times New Roman" w:hAnsi="Times New Roman" w:cs="Times New Roman"/>
          <w:b/>
          <w:sz w:val="22"/>
          <w:szCs w:val="22"/>
        </w:rPr>
        <w:t xml:space="preserve">Table S10. The fusion transcript </w:t>
      </w:r>
      <w:r>
        <w:rPr>
          <w:rFonts w:ascii="Times New Roman" w:hAnsi="Times New Roman" w:cs="Times New Roman"/>
          <w:b/>
          <w:i/>
          <w:sz w:val="22"/>
          <w:szCs w:val="22"/>
        </w:rPr>
        <w:t xml:space="preserve">VMP1-RPS6KB1.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RPS6KB1</w:t>
      </w:r>
      <w:r>
        <w:rPr>
          <w:rFonts w:ascii="Times New Roman" w:hAnsi="Times New Roman" w:cs="Times New Roman"/>
          <w:sz w:val="22"/>
          <w:szCs w:val="22"/>
        </w:rPr>
        <w:t xml:space="preserve"> and </w:t>
      </w:r>
      <w:r>
        <w:rPr>
          <w:rFonts w:ascii="Times New Roman" w:hAnsi="Times New Roman" w:cs="Times New Roman"/>
          <w:i/>
          <w:sz w:val="22"/>
          <w:szCs w:val="22"/>
        </w:rPr>
        <w:t>VMP1</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VMP1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RPS6KB1</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forward</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17</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17</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59,707,192-59,842,255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59,893,046-59,950,564</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135,064</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57,519</w:t>
            </w:r>
          </w:p>
        </w:tc>
      </w:tr>
    </w:tbl>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S11. The fusion transcript </w:t>
      </w:r>
      <w:r>
        <w:rPr>
          <w:rFonts w:ascii="Times New Roman" w:hAnsi="Times New Roman" w:cs="Times New Roman"/>
          <w:b/>
          <w:i/>
          <w:sz w:val="22"/>
          <w:szCs w:val="22"/>
        </w:rPr>
        <w:t xml:space="preserve">TINF2-NEDD8. </w:t>
      </w:r>
      <w:r>
        <w:rPr>
          <w:rFonts w:ascii="Times New Roman" w:hAnsi="Times New Roman" w:cs="Times New Roman"/>
          <w:sz w:val="22"/>
          <w:szCs w:val="22"/>
        </w:rPr>
        <w:t xml:space="preserve">Gene structure of parental genes </w:t>
      </w:r>
      <w:r>
        <w:rPr>
          <w:rFonts w:ascii="Times New Roman" w:hAnsi="Times New Roman" w:cs="Times New Roman"/>
          <w:i/>
          <w:sz w:val="22"/>
          <w:szCs w:val="22"/>
        </w:rPr>
        <w:t>TINF2</w:t>
      </w:r>
      <w:r>
        <w:rPr>
          <w:rFonts w:ascii="Times New Roman" w:hAnsi="Times New Roman" w:cs="Times New Roman"/>
          <w:sz w:val="22"/>
          <w:szCs w:val="22"/>
        </w:rPr>
        <w:t xml:space="preserve"> and </w:t>
      </w:r>
      <w:r>
        <w:rPr>
          <w:rFonts w:ascii="Times New Roman" w:hAnsi="Times New Roman" w:cs="Times New Roman"/>
          <w:i/>
          <w:sz w:val="22"/>
          <w:szCs w:val="22"/>
        </w:rPr>
        <w:t>NEDD8</w:t>
      </w:r>
      <w:r>
        <w:rPr>
          <w:rFonts w:ascii="Times New Roman" w:hAnsi="Times New Roman" w:cs="Times New Roman"/>
          <w:sz w:val="22"/>
          <w:szCs w:val="22"/>
        </w:rPr>
        <w:t>.</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3015" w:type="dxa"/>
            <w:tcBorders>
              <w:top w:val="single" w:color="999999" w:sz="4" w:space="0"/>
              <w:left w:val="single" w:color="999999" w:sz="4" w:space="0"/>
              <w:bottom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TINF2</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i/>
                <w:sz w:val="22"/>
                <w:szCs w:val="22"/>
              </w:rPr>
              <w:t>NEDD8</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Strand</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reverse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Gene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3´</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Chr</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14</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14</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&amp; stop position (GRCh38)</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24,234,403-24,243,027</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24,216,851-24,232,454</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Length [bp]</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8,625</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center"/>
            </w:pPr>
            <w:r>
              <w:rPr>
                <w:rFonts w:ascii="Times New Roman" w:hAnsi="Times New Roman" w:cs="Times New Roman"/>
                <w:sz w:val="22"/>
                <w:szCs w:val="22"/>
              </w:rPr>
              <w:t>15,604</w:t>
            </w:r>
          </w:p>
        </w:tc>
      </w:tr>
    </w:tbl>
    <w:p>
      <w:pPr>
        <w:overflowPunct/>
        <w:spacing w:line="480" w:lineRule="auto"/>
      </w:pPr>
      <w:r>
        <w:rPr>
          <w:rFonts w:ascii="Times New Roman" w:hAnsi="Times New Roman" w:eastAsia="Times New Roman" w:cs="Times New Roman"/>
          <w:sz w:val="22"/>
          <w:szCs w:val="22"/>
        </w:rPr>
        <w:t xml:space="preserve"> </w:t>
      </w:r>
    </w:p>
    <w:p>
      <w:pPr>
        <w:overflowPunct/>
        <w:spacing w:line="480" w:lineRule="auto"/>
        <w:rPr>
          <w:rFonts w:ascii="Times New Roman" w:hAnsi="Times New Roman" w:cs="Times New Roman"/>
          <w:sz w:val="22"/>
          <w:szCs w:val="22"/>
        </w:rPr>
      </w:pPr>
    </w:p>
    <w:p>
      <w:pPr>
        <w:pStyle w:val="4"/>
        <w:spacing w:before="0" w:after="0" w:line="480" w:lineRule="auto"/>
        <w:ind w:left="0" w:firstLine="0"/>
      </w:pPr>
      <w:bookmarkStart w:id="3" w:name="_f5011h8q5ftv"/>
      <w:bookmarkEnd w:id="3"/>
      <w:r>
        <w:rPr>
          <w:rFonts w:ascii="Times New Roman" w:hAnsi="Times New Roman" w:cs="Times New Roman"/>
        </w:rPr>
        <w:t>Method verification in HeLa cancer cells</w:t>
      </w:r>
    </w:p>
    <w:p>
      <w:pPr>
        <w:pStyle w:val="4"/>
        <w:spacing w:before="0" w:after="0" w:line="480" w:lineRule="auto"/>
        <w:ind w:left="0" w:firstLine="0"/>
        <w:rPr>
          <w:rFonts w:ascii="Times New Roman" w:hAnsi="Times New Roman" w:cs="Times New Roman"/>
        </w:rPr>
      </w:pPr>
    </w:p>
    <w:p>
      <w:pPr>
        <w:overflowPunct/>
        <w:spacing w:line="480" w:lineRule="auto"/>
      </w:pPr>
      <w:r>
        <w:rPr>
          <w:rFonts w:ascii="Times New Roman" w:hAnsi="Times New Roman" w:cs="Times New Roman"/>
          <w:b/>
          <w:sz w:val="22"/>
          <w:szCs w:val="22"/>
        </w:rPr>
        <w:t xml:space="preserve">Table S12. Poly(A) tail occurrence in HeLa using paired-end sequenced mRNA produced by TAIL-seq [13]. </w:t>
      </w:r>
      <w:r>
        <w:rPr>
          <w:rFonts w:ascii="Times New Roman" w:hAnsi="Times New Roman" w:cs="Times New Roman"/>
          <w:sz w:val="22"/>
          <w:szCs w:val="22"/>
        </w:rPr>
        <w:t>This table contains the poly(A) tails found with an in-depth search shown in Table 1.</w:t>
      </w:r>
    </w:p>
    <w:tbl>
      <w:tblPr>
        <w:tblStyle w:val="10"/>
        <w:tblW w:w="9739" w:type="dxa"/>
        <w:tblInd w:w="-26" w:type="dxa"/>
        <w:tblLayout w:type="fixed"/>
        <w:tblCellMar>
          <w:top w:w="72" w:type="dxa"/>
          <w:left w:w="47" w:type="dxa"/>
          <w:bottom w:w="72" w:type="dxa"/>
          <w:right w:w="72" w:type="dxa"/>
        </w:tblCellMar>
      </w:tblPr>
      <w:tblGrid>
        <w:gridCol w:w="1590"/>
        <w:gridCol w:w="1107"/>
        <w:gridCol w:w="984"/>
        <w:gridCol w:w="2171"/>
        <w:gridCol w:w="625"/>
        <w:gridCol w:w="1529"/>
        <w:gridCol w:w="1733"/>
      </w:tblGrid>
      <w:tr>
        <w:tblPrEx>
          <w:tblLayout w:type="fixed"/>
          <w:tblCellMar>
            <w:top w:w="72" w:type="dxa"/>
            <w:left w:w="47" w:type="dxa"/>
            <w:bottom w:w="72" w:type="dxa"/>
            <w:right w:w="72" w:type="dxa"/>
          </w:tblCellMar>
        </w:tblPrEx>
        <w:tc>
          <w:tcPr>
            <w:tcW w:w="1590"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Cis-SAGe</w:t>
            </w:r>
          </w:p>
        </w:tc>
        <w:tc>
          <w:tcPr>
            <w:tcW w:w="1107"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Gene</w:t>
            </w:r>
          </w:p>
        </w:tc>
        <w:tc>
          <w:tcPr>
            <w:tcW w:w="984"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Poly(A) tail read</w:t>
            </w:r>
          </w:p>
        </w:tc>
        <w:tc>
          <w:tcPr>
            <w:tcW w:w="2171"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Read name</w:t>
            </w:r>
          </w:p>
        </w:tc>
        <w:tc>
          <w:tcPr>
            <w:tcW w:w="625"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Chr</w:t>
            </w:r>
          </w:p>
        </w:tc>
        <w:tc>
          <w:tcPr>
            <w:tcW w:w="1529"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Start GRCh38</w:t>
            </w:r>
          </w:p>
          <w:p>
            <w:pPr>
              <w:widowControl w:val="0"/>
              <w:overflowPunct/>
              <w:snapToGrid w:val="0"/>
              <w:spacing w:line="480" w:lineRule="auto"/>
              <w:jc w:val="center"/>
            </w:pPr>
            <w:r>
              <w:rPr>
                <w:rFonts w:ascii="Times New Roman" w:hAnsi="Times New Roman" w:cs="Times New Roman"/>
                <w:sz w:val="22"/>
                <w:szCs w:val="22"/>
              </w:rPr>
              <w:t>[bp]</w:t>
            </w:r>
          </w:p>
        </w:tc>
        <w:tc>
          <w:tcPr>
            <w:tcW w:w="1733" w:type="dxa"/>
            <w:tcBorders>
              <w:top w:val="single" w:color="CCCCCC" w:sz="4" w:space="0"/>
              <w:left w:val="single" w:color="CCCCCC" w:sz="4" w:space="0"/>
              <w:bottom w:val="single" w:color="111111" w:sz="4" w:space="0"/>
              <w:right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MAPQ</w:t>
            </w:r>
          </w:p>
          <w:p>
            <w:pPr>
              <w:widowControl w:val="0"/>
              <w:overflowPunct/>
              <w:snapToGrid w:val="0"/>
              <w:spacing w:line="480" w:lineRule="auto"/>
              <w:jc w:val="center"/>
            </w:pPr>
            <w:r>
              <w:rPr>
                <w:rFonts w:ascii="Times New Roman" w:hAnsi="Times New Roman" w:cs="Times New Roman"/>
                <w:sz w:val="22"/>
                <w:szCs w:val="22"/>
              </w:rPr>
              <w:t>(aligner)</w:t>
            </w:r>
          </w:p>
        </w:tc>
      </w:tr>
      <w:tr>
        <w:tblPrEx>
          <w:tblLayout w:type="fixed"/>
          <w:tblCellMar>
            <w:top w:w="72" w:type="dxa"/>
            <w:left w:w="47" w:type="dxa"/>
            <w:bottom w:w="72" w:type="dxa"/>
            <w:right w:w="72" w:type="dxa"/>
          </w:tblCellMar>
        </w:tblPrEx>
        <w:trPr>
          <w:trHeight w:val="320" w:hRule="atLeast"/>
        </w:trPr>
        <w:tc>
          <w:tcPr>
            <w:tcW w:w="1590" w:type="dxa"/>
            <w:vMerge w:val="restart"/>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SLC45A3-ELK4</w:t>
            </w: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SLC45A3</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none</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sz w:val="22"/>
                <w:szCs w:val="22"/>
              </w:rPr>
            </w:pP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r>
      <w:tr>
        <w:tblPrEx>
          <w:tblLayout w:type="fixed"/>
          <w:tblCellMar>
            <w:top w:w="72" w:type="dxa"/>
            <w:left w:w="47" w:type="dxa"/>
            <w:bottom w:w="72" w:type="dxa"/>
            <w:right w:w="72" w:type="dxa"/>
          </w:tblCellMar>
        </w:tblPrEx>
        <w:trPr>
          <w:trHeight w:val="300" w:hRule="atLeast"/>
        </w:trPr>
        <w:tc>
          <w:tcPr>
            <w:tcW w:w="1590" w:type="dxa"/>
            <w:vMerge w:val="continue"/>
            <w:tcBorders>
              <w:top w:val="single" w:color="CCCCCC" w:sz="4" w:space="0"/>
              <w:left w:val="single" w:color="CCCCCC" w:sz="4" w:space="0"/>
              <w:bottom w:val="single" w:color="CCCCCC" w:sz="4" w:space="0"/>
            </w:tcBorders>
            <w:shd w:val="clear" w:color="auto" w:fill="FFFFFF"/>
            <w:noWrap w:val="0"/>
            <w:vAlign w:val="center"/>
          </w:tcPr>
          <w:p>
            <w:pPr>
              <w:snapToGrid w:val="0"/>
              <w:spacing w:line="480" w:lineRule="auto"/>
              <w:rPr>
                <w:rFonts w:ascii="Times New Roman" w:hAnsi="Times New Roman" w:cs="Times New Roman"/>
                <w:sz w:val="22"/>
                <w:szCs w:val="22"/>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ELK4</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Yes</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SRR1005384.2369110</w:t>
            </w: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1</w:t>
            </w: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205,607,958</w:t>
            </w: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50 (Tophat2 [15])</w:t>
            </w:r>
          </w:p>
        </w:tc>
      </w:tr>
      <w:tr>
        <w:tblPrEx>
          <w:tblLayout w:type="fixed"/>
          <w:tblCellMar>
            <w:top w:w="72" w:type="dxa"/>
            <w:left w:w="47" w:type="dxa"/>
            <w:bottom w:w="72" w:type="dxa"/>
            <w:right w:w="72" w:type="dxa"/>
          </w:tblCellMar>
        </w:tblPrEx>
        <w:trPr>
          <w:trHeight w:val="300" w:hRule="atLeast"/>
        </w:trPr>
        <w:tc>
          <w:tcPr>
            <w:tcW w:w="1590" w:type="dxa"/>
            <w:vMerge w:val="continue"/>
            <w:tcBorders>
              <w:top w:val="single" w:color="CCCCCC" w:sz="4" w:space="0"/>
              <w:left w:val="single" w:color="CCCCCC" w:sz="4" w:space="0"/>
              <w:bottom w:val="single" w:color="CCCCCC" w:sz="4" w:space="0"/>
            </w:tcBorders>
            <w:shd w:val="clear" w:color="auto" w:fill="FFFFFF"/>
            <w:noWrap w:val="0"/>
            <w:vAlign w:val="center"/>
          </w:tcPr>
          <w:p>
            <w:pPr>
              <w:snapToGrid w:val="0"/>
              <w:spacing w:line="480" w:lineRule="auto"/>
              <w:rPr>
                <w:rFonts w:ascii="Times New Roman" w:hAnsi="Times New Roman" w:cs="Times New Roman"/>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ELK4</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yes</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SRR1005384.7994172</w:t>
            </w: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1</w:t>
            </w: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205,608,026</w:t>
            </w: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255 (STAR [16])</w:t>
            </w:r>
          </w:p>
        </w:tc>
      </w:tr>
      <w:tr>
        <w:tblPrEx>
          <w:tblLayout w:type="fixed"/>
          <w:tblCellMar>
            <w:top w:w="72" w:type="dxa"/>
            <w:left w:w="47" w:type="dxa"/>
            <w:bottom w:w="72" w:type="dxa"/>
            <w:right w:w="72" w:type="dxa"/>
          </w:tblCellMar>
        </w:tblPrEx>
        <w:trPr>
          <w:trHeight w:val="300" w:hRule="atLeast"/>
        </w:trPr>
        <w:tc>
          <w:tcPr>
            <w:tcW w:w="1590" w:type="dxa"/>
            <w:vMerge w:val="continue"/>
            <w:tcBorders>
              <w:top w:val="single" w:color="CCCCCC" w:sz="4" w:space="0"/>
              <w:left w:val="single" w:color="CCCCCC" w:sz="4" w:space="0"/>
              <w:bottom w:val="single" w:color="CCCCCC" w:sz="4" w:space="0"/>
            </w:tcBorders>
            <w:shd w:val="clear" w:color="auto" w:fill="FFFFFF"/>
            <w:noWrap w:val="0"/>
            <w:vAlign w:val="center"/>
          </w:tcPr>
          <w:p>
            <w:pPr>
              <w:snapToGrid w:val="0"/>
              <w:spacing w:line="480" w:lineRule="auto"/>
              <w:rPr>
                <w:rFonts w:ascii="Times New Roman" w:hAnsi="Times New Roman" w:cs="Times New Roman"/>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ELK4</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yes</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SRR1005384.5120472</w:t>
            </w: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1</w:t>
            </w: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205,615,230</w:t>
            </w: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255 (STAR)</w:t>
            </w:r>
          </w:p>
        </w:tc>
      </w:tr>
      <w:tr>
        <w:tblPrEx>
          <w:tblLayout w:type="fixed"/>
          <w:tblCellMar>
            <w:top w:w="72" w:type="dxa"/>
            <w:left w:w="47" w:type="dxa"/>
            <w:bottom w:w="72" w:type="dxa"/>
            <w:right w:w="72" w:type="dxa"/>
          </w:tblCellMar>
        </w:tblPrEx>
        <w:trPr>
          <w:trHeight w:val="300" w:hRule="atLeast"/>
        </w:trPr>
        <w:tc>
          <w:tcPr>
            <w:tcW w:w="1590" w:type="dxa"/>
            <w:vMerge w:val="continue"/>
            <w:tcBorders>
              <w:top w:val="single" w:color="CCCCCC" w:sz="4" w:space="0"/>
              <w:left w:val="single" w:color="CCCCCC" w:sz="4" w:space="0"/>
              <w:bottom w:val="single" w:color="CCCCCC" w:sz="4" w:space="0"/>
            </w:tcBorders>
            <w:shd w:val="clear" w:color="auto" w:fill="FFFFFF"/>
            <w:noWrap w:val="0"/>
            <w:vAlign w:val="center"/>
          </w:tcPr>
          <w:p>
            <w:pPr>
              <w:snapToGrid w:val="0"/>
              <w:spacing w:line="480" w:lineRule="auto"/>
              <w:rPr>
                <w:rFonts w:ascii="Times New Roman" w:hAnsi="Times New Roman" w:cs="Times New Roman"/>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ELK4</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yes</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SRR1005384.709104</w:t>
            </w: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1</w:t>
            </w: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205,619,279</w:t>
            </w: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50 (Tophat2)</w:t>
            </w:r>
          </w:p>
        </w:tc>
      </w:tr>
      <w:tr>
        <w:tblPrEx>
          <w:tblLayout w:type="fixed"/>
          <w:tblCellMar>
            <w:top w:w="72" w:type="dxa"/>
            <w:left w:w="47" w:type="dxa"/>
            <w:bottom w:w="72" w:type="dxa"/>
            <w:right w:w="72" w:type="dxa"/>
          </w:tblCellMar>
        </w:tblPrEx>
        <w:trPr>
          <w:trHeight w:val="300" w:hRule="atLeast"/>
        </w:trPr>
        <w:tc>
          <w:tcPr>
            <w:tcW w:w="1590" w:type="dxa"/>
            <w:vMerge w:val="continue"/>
            <w:tcBorders>
              <w:top w:val="single" w:color="CCCCCC" w:sz="4" w:space="0"/>
              <w:left w:val="single" w:color="CCCCCC" w:sz="4" w:space="0"/>
              <w:bottom w:val="single" w:color="CCCCCC" w:sz="4" w:space="0"/>
            </w:tcBorders>
            <w:shd w:val="clear" w:color="auto" w:fill="FFFFFF"/>
            <w:noWrap w:val="0"/>
            <w:vAlign w:val="center"/>
          </w:tcPr>
          <w:p>
            <w:pPr>
              <w:snapToGrid w:val="0"/>
              <w:spacing w:line="480" w:lineRule="auto"/>
              <w:rPr>
                <w:rFonts w:ascii="Times New Roman" w:hAnsi="Times New Roman" w:cs="Times New Roman"/>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ELK4</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yes</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sz w:val="22"/>
                <w:szCs w:val="22"/>
              </w:rPr>
              <w:t>SRR1005384.7257115</w:t>
            </w: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1</w:t>
            </w: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205,619,300</w:t>
            </w: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50 (Tophat2)</w:t>
            </w:r>
          </w:p>
        </w:tc>
      </w:tr>
      <w:tr>
        <w:tblPrEx>
          <w:tblLayout w:type="fixed"/>
          <w:tblCellMar>
            <w:top w:w="72" w:type="dxa"/>
            <w:left w:w="47" w:type="dxa"/>
            <w:bottom w:w="72" w:type="dxa"/>
            <w:right w:w="72" w:type="dxa"/>
          </w:tblCellMar>
        </w:tblPrEx>
        <w:tc>
          <w:tcPr>
            <w:tcW w:w="159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GFOD2-ENKD1</w:t>
            </w: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GFOD2</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none</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sz w:val="22"/>
                <w:szCs w:val="22"/>
              </w:rPr>
            </w:pP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r>
      <w:tr>
        <w:tblPrEx>
          <w:tblLayout w:type="fixed"/>
          <w:tblCellMar>
            <w:top w:w="72" w:type="dxa"/>
            <w:left w:w="47" w:type="dxa"/>
            <w:bottom w:w="72" w:type="dxa"/>
            <w:right w:w="72" w:type="dxa"/>
          </w:tblCellMar>
        </w:tblPrEx>
        <w:tc>
          <w:tcPr>
            <w:tcW w:w="159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i/>
                <w:sz w:val="22"/>
                <w:szCs w:val="22"/>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ENKD1</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none</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sz w:val="22"/>
                <w:szCs w:val="22"/>
              </w:rPr>
            </w:pP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r>
      <w:tr>
        <w:tblPrEx>
          <w:tblLayout w:type="fixed"/>
        </w:tblPrEx>
        <w:tc>
          <w:tcPr>
            <w:tcW w:w="159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MFSD7-ATP5I</w:t>
            </w: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MFSD7</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none</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sz w:val="22"/>
                <w:szCs w:val="22"/>
              </w:rPr>
            </w:pP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r>
      <w:tr>
        <w:tblPrEx>
          <w:tblLayout w:type="fixed"/>
          <w:tblCellMar>
            <w:top w:w="72" w:type="dxa"/>
            <w:left w:w="47" w:type="dxa"/>
            <w:bottom w:w="72" w:type="dxa"/>
            <w:right w:w="72" w:type="dxa"/>
          </w:tblCellMar>
        </w:tblPrEx>
        <w:tc>
          <w:tcPr>
            <w:tcW w:w="159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i/>
                <w:sz w:val="22"/>
                <w:szCs w:val="22"/>
              </w:rPr>
            </w:pPr>
          </w:p>
        </w:tc>
        <w:tc>
          <w:tcPr>
            <w:tcW w:w="1107"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sz w:val="22"/>
                <w:szCs w:val="22"/>
              </w:rPr>
              <w:t>ATP5I</w:t>
            </w:r>
          </w:p>
        </w:tc>
        <w:tc>
          <w:tcPr>
            <w:tcW w:w="984"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none</w:t>
            </w:r>
          </w:p>
        </w:tc>
        <w:tc>
          <w:tcPr>
            <w:tcW w:w="217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rPr>
                <w:rFonts w:ascii="Times New Roman" w:hAnsi="Times New Roman" w:cs="Times New Roman"/>
                <w:sz w:val="22"/>
                <w:szCs w:val="22"/>
              </w:rPr>
            </w:pPr>
          </w:p>
        </w:tc>
        <w:tc>
          <w:tcPr>
            <w:tcW w:w="62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sz w:val="22"/>
                <w:szCs w:val="22"/>
              </w:rPr>
            </w:pPr>
          </w:p>
        </w:tc>
        <w:tc>
          <w:tcPr>
            <w:tcW w:w="152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c>
          <w:tcPr>
            <w:tcW w:w="1733"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rPr>
                <w:rFonts w:ascii="Times New Roman" w:hAnsi="Times New Roman" w:cs="Times New Roman"/>
                <w:sz w:val="22"/>
                <w:szCs w:val="22"/>
              </w:rPr>
            </w:pPr>
          </w:p>
        </w:tc>
      </w:tr>
    </w:tbl>
    <w:p>
      <w:pPr>
        <w:pStyle w:val="4"/>
        <w:overflowPunct/>
        <w:spacing w:before="0" w:after="0" w:line="480" w:lineRule="auto"/>
        <w:ind w:left="0" w:firstLine="0"/>
        <w:rPr>
          <w:rFonts w:ascii="Times New Roman" w:hAnsi="Times New Roman" w:cs="Times New Roman"/>
        </w:rPr>
      </w:pPr>
    </w:p>
    <w:p>
      <w:pPr>
        <w:pStyle w:val="4"/>
        <w:overflowPunct/>
        <w:spacing w:before="0" w:after="0" w:line="480" w:lineRule="auto"/>
        <w:ind w:left="0" w:firstLine="0"/>
      </w:pPr>
      <w:bookmarkStart w:id="4" w:name="_x94nlzlhc6my"/>
      <w:bookmarkEnd w:id="4"/>
      <w:r>
        <w:rPr>
          <w:rFonts w:ascii="Times New Roman" w:hAnsi="Times New Roman" w:cs="Times New Roman"/>
        </w:rPr>
        <w:t>Inversions identified in HeLa cells</w:t>
      </w:r>
    </w:p>
    <w:p>
      <w:pPr>
        <w:pStyle w:val="3"/>
      </w:pPr>
    </w:p>
    <w:p>
      <w:pPr>
        <w:overflowPunct/>
        <w:spacing w:line="480" w:lineRule="auto"/>
      </w:pPr>
      <w:r>
        <w:rPr>
          <w:rFonts w:ascii="Times New Roman" w:hAnsi="Times New Roman" w:cs="Times New Roman"/>
          <w:b/>
          <w:sz w:val="22"/>
          <w:szCs w:val="22"/>
        </w:rPr>
        <w:t>Table S13.</w:t>
      </w:r>
      <w:r>
        <w:rPr>
          <w:rFonts w:ascii="Times New Roman" w:hAnsi="Times New Roman" w:cs="Times New Roman"/>
          <w:b/>
          <w:bCs/>
          <w:sz w:val="22"/>
          <w:szCs w:val="22"/>
        </w:rPr>
        <w:t xml:space="preserve"> Inversions in Hela cancer cells identified using Breakdancer [34] against GRCh38.</w:t>
      </w:r>
    </w:p>
    <w:tbl>
      <w:tblPr>
        <w:tblStyle w:val="10"/>
        <w:tblW w:w="9553" w:type="dxa"/>
        <w:tblInd w:w="-126" w:type="dxa"/>
        <w:tblLayout w:type="fixed"/>
        <w:tblCellMar>
          <w:top w:w="14" w:type="dxa"/>
          <w:left w:w="0" w:type="dxa"/>
          <w:bottom w:w="14" w:type="dxa"/>
          <w:right w:w="14" w:type="dxa"/>
        </w:tblCellMar>
      </w:tblPr>
      <w:tblGrid>
        <w:gridCol w:w="1361"/>
        <w:gridCol w:w="1362"/>
        <w:gridCol w:w="1363"/>
        <w:gridCol w:w="1361"/>
        <w:gridCol w:w="1365"/>
        <w:gridCol w:w="1362"/>
        <w:gridCol w:w="1379"/>
      </w:tblGrid>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Chr1</w:t>
            </w:r>
          </w:p>
        </w:tc>
        <w:tc>
          <w:tcPr>
            <w:tcW w:w="1362"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Pos1</w:t>
            </w:r>
          </w:p>
          <w:p>
            <w:pPr>
              <w:widowControl w:val="0"/>
              <w:overflowPunct/>
              <w:snapToGrid w:val="0"/>
              <w:spacing w:line="480" w:lineRule="auto"/>
              <w:jc w:val="center"/>
            </w:pPr>
            <w:r>
              <w:rPr>
                <w:rFonts w:ascii="Times New Roman" w:hAnsi="Times New Roman" w:cs="Times New Roman"/>
                <w:sz w:val="22"/>
                <w:szCs w:val="22"/>
              </w:rPr>
              <w:t>[Mega bp ]</w:t>
            </w:r>
          </w:p>
        </w:tc>
        <w:tc>
          <w:tcPr>
            <w:tcW w:w="1363"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Chr2</w:t>
            </w:r>
          </w:p>
        </w:tc>
        <w:tc>
          <w:tcPr>
            <w:tcW w:w="1361"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Pos2</w:t>
            </w:r>
          </w:p>
          <w:p>
            <w:pPr>
              <w:widowControl w:val="0"/>
              <w:overflowPunct/>
              <w:snapToGrid w:val="0"/>
              <w:spacing w:line="480" w:lineRule="auto"/>
              <w:jc w:val="center"/>
            </w:pPr>
            <w:r>
              <w:rPr>
                <w:rFonts w:ascii="Times New Roman" w:hAnsi="Times New Roman" w:cs="Times New Roman"/>
                <w:sz w:val="22"/>
                <w:szCs w:val="22"/>
              </w:rPr>
              <w:t>[Mega bp]</w:t>
            </w:r>
          </w:p>
        </w:tc>
        <w:tc>
          <w:tcPr>
            <w:tcW w:w="1365"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Inversion size</w:t>
            </w:r>
          </w:p>
        </w:tc>
        <w:tc>
          <w:tcPr>
            <w:tcW w:w="1362" w:type="dxa"/>
            <w:tcBorders>
              <w:top w:val="single" w:color="CCCCCC" w:sz="4" w:space="0"/>
              <w:left w:val="single" w:color="CCCCCC"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Score</w:t>
            </w:r>
          </w:p>
        </w:tc>
        <w:tc>
          <w:tcPr>
            <w:tcW w:w="1379" w:type="dxa"/>
            <w:tcBorders>
              <w:top w:val="single" w:color="CCCCCC" w:sz="4" w:space="0"/>
              <w:left w:val="single" w:color="CCCCCC" w:sz="4" w:space="0"/>
              <w:bottom w:val="single" w:color="111111" w:sz="4" w:space="0"/>
              <w:right w:val="single" w:color="CCCCCC"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sz w:val="22"/>
                <w:szCs w:val="22"/>
              </w:rPr>
              <w:t>Number of reads</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80.3</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80.3</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703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90</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207.1</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207.1</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251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230.5</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230.5</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1,614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111.7</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24,491,189</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87.5</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111.5</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23,961,213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94.5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87.6</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111.3</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23,690,047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110.0</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110.4</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393,771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179.3</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195.7</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16,391,275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92</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43.8</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43.8</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711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44.7</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44.7</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1,258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83</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87.9</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11,153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96</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0.2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1.6</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1,386,092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11.6</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11.6</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764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87</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20.7</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34.1</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13,377,479</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90</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34.3</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13,398,338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88</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28.9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28.9</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1,664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148.2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148.2</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668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10</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89.2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89.2</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586</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130.5</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130.5</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3,537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67.2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72.6</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5,469,533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98</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143.6</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143.8</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233,734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90</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150.2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153.8</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3,656,988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98</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7.4</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7.9</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532,698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94</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10</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10</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5.0</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81,426</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102.0</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99,130,281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86</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28.9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61.3</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32,333,538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37.8</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81.2</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43,355,730</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80.9</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85.8</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4,823,529</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71.1</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71.1</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397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71.3</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12</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71.3</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526</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85.2</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14</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85.2</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2,080</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82</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30.4</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32.2</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1,787,699</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85</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30.8</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31.7</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903,270</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92</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17</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15.5</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17</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18.8</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3,294,643</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99</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18</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13.0</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18</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13.0</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1,919</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88</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w:t>
            </w:r>
          </w:p>
        </w:tc>
      </w:tr>
      <w:tr>
        <w:tblPrEx>
          <w:tblLayout w:type="fixed"/>
          <w:tblCellMar>
            <w:top w:w="14" w:type="dxa"/>
            <w:left w:w="0" w:type="dxa"/>
            <w:bottom w:w="14" w:type="dxa"/>
            <w:right w:w="14" w:type="dxa"/>
          </w:tblCellMar>
        </w:tblPrEx>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21</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26.6</w:t>
            </w:r>
          </w:p>
        </w:tc>
        <w:tc>
          <w:tcPr>
            <w:tcW w:w="1363"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21</w:t>
            </w:r>
          </w:p>
        </w:tc>
        <w:tc>
          <w:tcPr>
            <w:tcW w:w="1361"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26.6</w:t>
            </w:r>
          </w:p>
        </w:tc>
        <w:tc>
          <w:tcPr>
            <w:tcW w:w="136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1,002</w:t>
            </w:r>
          </w:p>
        </w:tc>
        <w:tc>
          <w:tcPr>
            <w:tcW w:w="1362"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94</w:t>
            </w:r>
          </w:p>
        </w:tc>
        <w:tc>
          <w:tcPr>
            <w:tcW w:w="1379"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jc w:val="right"/>
            </w:pPr>
            <w:r>
              <w:rPr>
                <w:rFonts w:ascii="Times New Roman" w:hAnsi="Times New Roman" w:cs="Times New Roman"/>
                <w:sz w:val="22"/>
                <w:szCs w:val="22"/>
              </w:rPr>
              <w:t>4</w:t>
            </w:r>
          </w:p>
        </w:tc>
      </w:tr>
    </w:tbl>
    <w:p>
      <w:pPr>
        <w:overflowPunct/>
        <w:spacing w:line="480" w:lineRule="auto"/>
        <w:rPr>
          <w:rFonts w:ascii="Times New Roman" w:hAnsi="Times New Roman" w:cs="Times New Roman"/>
          <w:sz w:val="22"/>
          <w:szCs w:val="22"/>
        </w:rPr>
      </w:pPr>
    </w:p>
    <w:p>
      <w:pPr>
        <w:pStyle w:val="2"/>
        <w:numPr>
          <w:ilvl w:val="0"/>
          <w:numId w:val="0"/>
        </w:numPr>
        <w:overflowPunct/>
        <w:spacing w:before="0" w:after="0" w:line="480" w:lineRule="auto"/>
      </w:pPr>
      <w:bookmarkStart w:id="5" w:name="_o51rkimcfo63"/>
      <w:bookmarkEnd w:id="5"/>
      <w:r>
        <w:rPr>
          <w:rFonts w:ascii="Times New Roman" w:hAnsi="Times New Roman" w:eastAsia="Sawasdee" w:cs="Times New Roman"/>
        </w:rPr>
        <w:t>c</w:t>
      </w:r>
      <w:r>
        <w:rPr>
          <w:rFonts w:ascii="Times New Roman" w:hAnsi="Times New Roman" w:eastAsia="Sawasdee" w:cs="Times New Roman"/>
          <w:lang w:val="zh-CN"/>
        </w:rPr>
        <w:t>is-SAGe SLC45A3-ELK4 in the clinical tissue samples</w:t>
      </w:r>
    </w:p>
    <w:p>
      <w:pPr>
        <w:overflowPunct/>
        <w:spacing w:line="480" w:lineRule="auto"/>
      </w:pPr>
      <w:r>
        <w:rPr>
          <w:rFonts w:ascii="Times New Roman" w:hAnsi="Times New Roman" w:cs="Times New Roman"/>
          <w:sz w:val="22"/>
          <w:szCs w:val="22"/>
        </w:rPr>
        <w:t xml:space="preserve">The cis-SAGe </w:t>
      </w:r>
      <w:r>
        <w:rPr>
          <w:rFonts w:ascii="Times New Roman" w:hAnsi="Times New Roman" w:cs="Times New Roman"/>
          <w:i/>
          <w:sz w:val="22"/>
          <w:szCs w:val="22"/>
        </w:rPr>
        <w:t>SLC45A3-ELK</w:t>
      </w:r>
      <w:r>
        <w:rPr>
          <w:rFonts w:ascii="Times New Roman" w:hAnsi="Times New Roman" w:cs="Times New Roman"/>
          <w:sz w:val="22"/>
          <w:szCs w:val="22"/>
        </w:rPr>
        <w:t xml:space="preserve">4 was first identified by Rickman et al. </w:t>
      </w:r>
      <w:r>
        <w:rPr>
          <w:rFonts w:ascii="Times New Roman" w:hAnsi="Times New Roman" w:cs="Times New Roman"/>
          <w:color w:val="000000"/>
          <w:sz w:val="22"/>
          <w:szCs w:val="22"/>
        </w:rPr>
        <w:t>[46]</w:t>
      </w:r>
      <w:r>
        <w:rPr>
          <w:rFonts w:ascii="Times New Roman" w:hAnsi="Times New Roman" w:cs="Times New Roman"/>
          <w:sz w:val="22"/>
          <w:szCs w:val="22"/>
        </w:rPr>
        <w:t xml:space="preserve">. He suspected it to be caused “through a mechanism other than chromosomal rearrangement”. Zhang et al. [32] proved that </w:t>
      </w:r>
      <w:r>
        <w:rPr>
          <w:rFonts w:ascii="Times New Roman" w:hAnsi="Times New Roman" w:cs="Times New Roman"/>
          <w:i/>
          <w:sz w:val="22"/>
          <w:szCs w:val="22"/>
        </w:rPr>
        <w:t>SLC45A3-ELK4</w:t>
      </w:r>
      <w:r>
        <w:rPr>
          <w:rFonts w:ascii="Times New Roman" w:hAnsi="Times New Roman" w:cs="Times New Roman"/>
          <w:sz w:val="22"/>
          <w:szCs w:val="22"/>
        </w:rPr>
        <w:t xml:space="preserve"> is a cis-splicing fusion transcript with a premature RNA transcribed across the gene boundarie. Exons belonging to the parental genes </w:t>
      </w:r>
      <w:r>
        <w:rPr>
          <w:rFonts w:ascii="Times New Roman" w:hAnsi="Times New Roman" w:cs="Times New Roman"/>
          <w:i/>
          <w:sz w:val="22"/>
          <w:szCs w:val="22"/>
        </w:rPr>
        <w:t>SLC45A3</w:t>
      </w:r>
      <w:r>
        <w:rPr>
          <w:rFonts w:ascii="Times New Roman" w:hAnsi="Times New Roman" w:cs="Times New Roman"/>
          <w:sz w:val="22"/>
          <w:szCs w:val="22"/>
        </w:rPr>
        <w:t xml:space="preserve"> and </w:t>
      </w:r>
      <w:r>
        <w:rPr>
          <w:rFonts w:ascii="Times New Roman" w:hAnsi="Times New Roman" w:cs="Times New Roman"/>
          <w:i/>
          <w:sz w:val="22"/>
          <w:szCs w:val="22"/>
        </w:rPr>
        <w:t>ELK4</w:t>
      </w:r>
      <w:r>
        <w:rPr>
          <w:rFonts w:ascii="Times New Roman" w:hAnsi="Times New Roman" w:cs="Times New Roman"/>
          <w:sz w:val="22"/>
          <w:szCs w:val="22"/>
        </w:rPr>
        <w:t xml:space="preserve"> are spliced together. Its level of expression correlates with disease progression. Rickman et al. </w:t>
      </w:r>
      <w:r>
        <w:rPr>
          <w:rFonts w:ascii="Times New Roman" w:hAnsi="Times New Roman" w:cs="Times New Roman"/>
          <w:color w:val="000000"/>
          <w:sz w:val="22"/>
          <w:szCs w:val="22"/>
        </w:rPr>
        <w:t>[46]</w:t>
      </w:r>
      <w:r>
        <w:rPr>
          <w:rFonts w:ascii="Times New Roman" w:hAnsi="Times New Roman" w:cs="Times New Roman"/>
          <w:sz w:val="22"/>
          <w:szCs w:val="22"/>
        </w:rPr>
        <w:t xml:space="preserve"> found the highest levels in prostate cancer metastases. The fusion transcript of </w:t>
      </w:r>
      <w:r>
        <w:rPr>
          <w:rFonts w:ascii="Times New Roman" w:hAnsi="Times New Roman" w:cs="Times New Roman"/>
          <w:i/>
          <w:sz w:val="22"/>
          <w:szCs w:val="22"/>
        </w:rPr>
        <w:t>SLC45A3-ELK4</w:t>
      </w:r>
      <w:r>
        <w:rPr>
          <w:rFonts w:ascii="Times New Roman" w:hAnsi="Times New Roman" w:cs="Times New Roman"/>
          <w:sz w:val="22"/>
          <w:szCs w:val="22"/>
        </w:rPr>
        <w:t xml:space="preserve"> is a mixture of two pre-mRNA sequences, its level of transcription is defined by the transcription factors of the 5´ gene </w:t>
      </w:r>
      <w:r>
        <w:rPr>
          <w:rFonts w:ascii="Times New Roman" w:hAnsi="Times New Roman" w:cs="Times New Roman"/>
          <w:i/>
          <w:sz w:val="22"/>
          <w:szCs w:val="22"/>
        </w:rPr>
        <w:t>SLC45A3</w:t>
      </w:r>
      <w:r>
        <w:rPr>
          <w:rFonts w:ascii="Times New Roman" w:hAnsi="Times New Roman" w:cs="Times New Roman"/>
          <w:sz w:val="22"/>
          <w:szCs w:val="22"/>
        </w:rPr>
        <w:t xml:space="preserve"> which is higher expressed in prostate tissues. However, only the </w:t>
      </w:r>
      <w:r>
        <w:rPr>
          <w:rFonts w:ascii="Times New Roman" w:hAnsi="Times New Roman" w:cs="Times New Roman"/>
          <w:i/>
          <w:sz w:val="22"/>
          <w:szCs w:val="22"/>
        </w:rPr>
        <w:t>ELK4</w:t>
      </w:r>
      <w:r>
        <w:rPr>
          <w:rFonts w:ascii="Times New Roman" w:hAnsi="Times New Roman" w:cs="Times New Roman"/>
          <w:sz w:val="22"/>
          <w:szCs w:val="22"/>
        </w:rPr>
        <w:t xml:space="preserve"> fragment is translated into a protein [7]. This fact becomes increasingly interesting if both genes should have been transcribed at different expression levels and one has an importing role in regulating cell proliferation as it is the case for </w:t>
      </w:r>
      <w:r>
        <w:rPr>
          <w:rFonts w:ascii="Times New Roman" w:hAnsi="Times New Roman" w:cs="Times New Roman"/>
          <w:i/>
          <w:sz w:val="22"/>
          <w:szCs w:val="22"/>
        </w:rPr>
        <w:t>ELK4</w:t>
      </w:r>
      <w:r>
        <w:rPr>
          <w:rFonts w:ascii="Times New Roman" w:hAnsi="Times New Roman" w:cs="Times New Roman"/>
          <w:sz w:val="22"/>
          <w:szCs w:val="22"/>
        </w:rPr>
        <w:t xml:space="preserve">. Moreover, </w:t>
      </w:r>
      <w:r>
        <w:rPr>
          <w:rFonts w:ascii="Times New Roman" w:hAnsi="Times New Roman" w:cs="Times New Roman"/>
          <w:i/>
          <w:sz w:val="22"/>
          <w:szCs w:val="22"/>
        </w:rPr>
        <w:t>ELK4</w:t>
      </w:r>
      <w:r>
        <w:rPr>
          <w:rFonts w:ascii="Times New Roman" w:hAnsi="Times New Roman" w:cs="Times New Roman"/>
          <w:sz w:val="22"/>
          <w:szCs w:val="22"/>
        </w:rPr>
        <w:t xml:space="preserve"> is Androgen Receptor (</w:t>
      </w:r>
      <w:r>
        <w:rPr>
          <w:rFonts w:ascii="Times New Roman" w:hAnsi="Times New Roman" w:cs="Times New Roman"/>
          <w:i/>
          <w:sz w:val="22"/>
          <w:szCs w:val="22"/>
        </w:rPr>
        <w:t>AR</w:t>
      </w:r>
      <w:r>
        <w:rPr>
          <w:rFonts w:ascii="Times New Roman" w:hAnsi="Times New Roman" w:cs="Times New Roman"/>
          <w:sz w:val="22"/>
          <w:szCs w:val="22"/>
        </w:rPr>
        <w:t xml:space="preserve">) regulated and makes it thus to a potential target for cancer treatment [46,47]. </w:t>
      </w:r>
    </w:p>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 xml:space="preserve">Table S14. The cis-SAGe </w:t>
      </w:r>
      <w:r>
        <w:rPr>
          <w:rFonts w:ascii="Times New Roman" w:hAnsi="Times New Roman" w:cs="Times New Roman"/>
          <w:b/>
          <w:i/>
          <w:sz w:val="22"/>
          <w:szCs w:val="22"/>
        </w:rPr>
        <w:t>SLC45A3-ELK</w:t>
      </w:r>
      <w:r>
        <w:rPr>
          <w:rFonts w:ascii="Times New Roman" w:hAnsi="Times New Roman" w:cs="Times New Roman"/>
          <w:b/>
          <w:sz w:val="22"/>
          <w:szCs w:val="22"/>
        </w:rPr>
        <w:t xml:space="preserve">4 in detail. </w:t>
      </w:r>
      <w:r>
        <w:rPr>
          <w:rFonts w:ascii="Times New Roman" w:hAnsi="Times New Roman" w:cs="Times New Roman"/>
          <w:sz w:val="22"/>
          <w:szCs w:val="22"/>
        </w:rPr>
        <w:t xml:space="preserve">Gene structures and motif sequences of the parental genes </w:t>
      </w:r>
      <w:r>
        <w:rPr>
          <w:rFonts w:ascii="Times New Roman" w:hAnsi="Times New Roman" w:cs="Times New Roman"/>
          <w:i/>
          <w:sz w:val="22"/>
          <w:szCs w:val="22"/>
        </w:rPr>
        <w:t>SLC45A3</w:t>
      </w:r>
      <w:r>
        <w:rPr>
          <w:rFonts w:ascii="Times New Roman" w:hAnsi="Times New Roman" w:cs="Times New Roman"/>
          <w:sz w:val="22"/>
          <w:szCs w:val="22"/>
        </w:rPr>
        <w:t xml:space="preserve"> and </w:t>
      </w:r>
      <w:r>
        <w:rPr>
          <w:rFonts w:ascii="Times New Roman" w:hAnsi="Times New Roman" w:cs="Times New Roman"/>
          <w:i/>
          <w:sz w:val="22"/>
          <w:szCs w:val="22"/>
        </w:rPr>
        <w:t>ELK4</w:t>
      </w:r>
      <w:r>
        <w:rPr>
          <w:rFonts w:ascii="Times New Roman" w:hAnsi="Times New Roman" w:cs="Times New Roman"/>
          <w:sz w:val="22"/>
          <w:szCs w:val="22"/>
        </w:rPr>
        <w:t xml:space="preserve"> (GRCh38)</w:t>
      </w:r>
    </w:p>
    <w:tbl>
      <w:tblPr>
        <w:tblStyle w:val="10"/>
        <w:tblW w:w="9680" w:type="dxa"/>
        <w:tblInd w:w="-126" w:type="dxa"/>
        <w:tblLayout w:type="fixed"/>
        <w:tblCellMar>
          <w:top w:w="14" w:type="dxa"/>
          <w:left w:w="0" w:type="dxa"/>
          <w:bottom w:w="14" w:type="dxa"/>
          <w:right w:w="14" w:type="dxa"/>
        </w:tblCellMar>
      </w:tblPr>
      <w:tblGrid>
        <w:gridCol w:w="3419"/>
        <w:gridCol w:w="3015"/>
        <w:gridCol w:w="3246"/>
      </w:tblGrid>
      <w:tr>
        <w:tblPrEx>
          <w:tblLayout w:type="fixed"/>
          <w:tblCellMar>
            <w:top w:w="14" w:type="dxa"/>
            <w:left w:w="0" w:type="dxa"/>
            <w:bottom w:w="14" w:type="dxa"/>
            <w:right w:w="14" w:type="dxa"/>
          </w:tblCellMar>
        </w:tblPrEx>
        <w:tc>
          <w:tcPr>
            <w:tcW w:w="3419" w:type="dxa"/>
            <w:tcBorders>
              <w:top w:val="single" w:color="999999" w:sz="4" w:space="0"/>
              <w:left w:val="single" w:color="111111" w:sz="4" w:space="0"/>
              <w:bottom w:val="single" w:color="111111" w:sz="4" w:space="0"/>
            </w:tcBorders>
            <w:shd w:val="clear" w:color="auto" w:fill="FFFFFF"/>
            <w:noWrap w:val="0"/>
            <w:vAlign w:val="center"/>
          </w:tcPr>
          <w:p>
            <w:pPr>
              <w:widowControl w:val="0"/>
              <w:overflowPunct/>
              <w:snapToGrid w:val="0"/>
              <w:spacing w:line="480" w:lineRule="auto"/>
              <w:rPr>
                <w:rFonts w:ascii="Times New Roman" w:hAnsi="Times New Roman" w:cs="Times New Roman"/>
                <w:b/>
                <w:bCs/>
                <w:sz w:val="22"/>
                <w:szCs w:val="22"/>
              </w:rPr>
            </w:pPr>
          </w:p>
        </w:tc>
        <w:tc>
          <w:tcPr>
            <w:tcW w:w="3015" w:type="dxa"/>
            <w:tcBorders>
              <w:top w:val="single" w:color="999999" w:sz="4" w:space="0"/>
              <w:left w:val="single" w:color="111111"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bCs/>
                <w:i/>
                <w:sz w:val="22"/>
                <w:szCs w:val="22"/>
              </w:rPr>
              <w:t>SLC45A3</w:t>
            </w:r>
          </w:p>
        </w:tc>
        <w:tc>
          <w:tcPr>
            <w:tcW w:w="3246" w:type="dxa"/>
            <w:tcBorders>
              <w:top w:val="single" w:color="999999" w:sz="4" w:space="0"/>
              <w:left w:val="single" w:color="111111" w:sz="4" w:space="0"/>
              <w:bottom w:val="single" w:color="111111"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b/>
                <w:bCs/>
                <w:i/>
                <w:sz w:val="22"/>
                <w:szCs w:val="22"/>
              </w:rPr>
              <w:t>ELK4</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TSS</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205,680,459 (1.rf)</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205,631,962 (2.rf)</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 xml:space="preserve">Promoter </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205,681,001-205,679,601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205,632,601-205,630,200</w:t>
            </w:r>
          </w:p>
        </w:tc>
      </w:tr>
      <w:tr>
        <w:tblPrEx>
          <w:tblLayout w:type="fixed"/>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Cis-regulatory elements</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TATA box</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Kozak signal</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TF binding site I</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TF binding site II</w:t>
            </w:r>
          </w:p>
          <w:p>
            <w:pPr>
              <w:widowControl w:val="0"/>
              <w:numPr>
                <w:ilvl w:val="0"/>
                <w:numId w:val="2"/>
              </w:numPr>
              <w:overflowPunct/>
              <w:snapToGrid w:val="0"/>
              <w:spacing w:line="480" w:lineRule="auto"/>
              <w:ind w:left="540" w:hanging="180"/>
            </w:pPr>
            <w:r>
              <w:rPr>
                <w:rFonts w:ascii="Times New Roman" w:hAnsi="Times New Roman" w:cs="Times New Roman"/>
                <w:i/>
                <w:sz w:val="22"/>
                <w:szCs w:val="22"/>
              </w:rPr>
              <w:t>CTCF</w:t>
            </w:r>
            <w:r>
              <w:rPr>
                <w:rFonts w:ascii="Times New Roman" w:hAnsi="Times New Roman" w:cs="Times New Roman"/>
                <w:sz w:val="22"/>
                <w:szCs w:val="22"/>
              </w:rPr>
              <w:t xml:space="preserve"> binding site I</w:t>
            </w:r>
          </w:p>
          <w:p>
            <w:pPr>
              <w:widowControl w:val="0"/>
              <w:numPr>
                <w:ilvl w:val="0"/>
                <w:numId w:val="2"/>
              </w:numPr>
              <w:overflowPunct/>
              <w:snapToGrid w:val="0"/>
              <w:spacing w:line="480" w:lineRule="auto"/>
              <w:ind w:left="540" w:hanging="180"/>
            </w:pPr>
            <w:r>
              <w:rPr>
                <w:rFonts w:ascii="Times New Roman" w:hAnsi="Times New Roman" w:cs="Times New Roman"/>
                <w:i/>
                <w:sz w:val="22"/>
                <w:szCs w:val="22"/>
              </w:rPr>
              <w:t>CTCF</w:t>
            </w:r>
            <w:r>
              <w:rPr>
                <w:rFonts w:ascii="Times New Roman" w:hAnsi="Times New Roman" w:cs="Times New Roman"/>
                <w:sz w:val="22"/>
                <w:szCs w:val="22"/>
              </w:rPr>
              <w:t xml:space="preserve"> binding site II</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Enhancer I</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Enhancer II</w:t>
            </w:r>
          </w:p>
          <w:p>
            <w:pPr>
              <w:widowControl w:val="0"/>
              <w:numPr>
                <w:ilvl w:val="0"/>
                <w:numId w:val="2"/>
              </w:numPr>
              <w:overflowPunct/>
              <w:snapToGrid w:val="0"/>
              <w:spacing w:line="480" w:lineRule="auto"/>
              <w:ind w:left="540" w:hanging="180"/>
            </w:pPr>
            <w:r>
              <w:rPr>
                <w:rFonts w:ascii="Times New Roman" w:hAnsi="Times New Roman" w:cs="Times New Roman"/>
                <w:sz w:val="22"/>
                <w:szCs w:val="22"/>
              </w:rPr>
              <w:t>Enhancer III</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pPr>
            <w:r>
              <w:rPr>
                <w:rFonts w:ascii="Times New Roman" w:hAnsi="Times New Roman" w:cs="Times New Roman"/>
                <w:sz w:val="22"/>
                <w:szCs w:val="22"/>
              </w:rPr>
              <w:t>none</w:t>
            </w:r>
          </w:p>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pPr>
            <w:r>
              <w:rPr>
                <w:rFonts w:ascii="Times New Roman" w:hAnsi="Times New Roman" w:cs="Times New Roman"/>
                <w:sz w:val="22"/>
                <w:szCs w:val="22"/>
              </w:rPr>
              <w:t>205,658,602-205,659,402</w:t>
            </w:r>
          </w:p>
          <w:p>
            <w:pPr>
              <w:widowControl w:val="0"/>
              <w:overflowPunct/>
              <w:snapToGrid w:val="0"/>
              <w:spacing w:line="480" w:lineRule="auto"/>
              <w:jc w:val="right"/>
            </w:pPr>
            <w:r>
              <w:rPr>
                <w:rFonts w:ascii="Times New Roman" w:hAnsi="Times New Roman" w:cs="Times New Roman"/>
                <w:sz w:val="22"/>
                <w:szCs w:val="22"/>
              </w:rPr>
              <w:t>205,657,402-205,658,202</w:t>
            </w:r>
          </w:p>
          <w:p>
            <w:pPr>
              <w:widowControl w:val="0"/>
              <w:overflowPunct/>
              <w:snapToGrid w:val="0"/>
              <w:spacing w:line="480" w:lineRule="auto"/>
              <w:jc w:val="right"/>
              <w:rPr>
                <w:rFonts w:ascii="Times New Roman" w:hAnsi="Times New Roman" w:cs="Times New Roman"/>
                <w:sz w:val="22"/>
                <w:szCs w:val="22"/>
              </w:rPr>
            </w:pP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pPr>
            <w:r>
              <w:rPr>
                <w:rFonts w:ascii="Times New Roman" w:hAnsi="Times New Roman" w:cs="Times New Roman"/>
                <w:sz w:val="22"/>
                <w:szCs w:val="22"/>
              </w:rPr>
              <w:t>none</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Exons</w:t>
            </w:r>
          </w:p>
          <w:p>
            <w:pPr>
              <w:widowControl w:val="0"/>
              <w:numPr>
                <w:ilvl w:val="0"/>
                <w:numId w:val="3"/>
              </w:numPr>
              <w:overflowPunct/>
              <w:snapToGrid w:val="0"/>
              <w:spacing w:line="480" w:lineRule="auto"/>
              <w:ind w:left="540" w:hanging="180"/>
            </w:pPr>
            <w:r>
              <w:rPr>
                <w:rFonts w:ascii="Times New Roman" w:hAnsi="Times New Roman" w:cs="Times New Roman"/>
                <w:sz w:val="22"/>
                <w:szCs w:val="22"/>
              </w:rPr>
              <w:t>Exon 1</w:t>
            </w:r>
          </w:p>
          <w:p>
            <w:pPr>
              <w:widowControl w:val="0"/>
              <w:numPr>
                <w:ilvl w:val="0"/>
                <w:numId w:val="3"/>
              </w:numPr>
              <w:overflowPunct/>
              <w:snapToGrid w:val="0"/>
              <w:spacing w:line="480" w:lineRule="auto"/>
              <w:ind w:left="540" w:hanging="180"/>
            </w:pPr>
            <w:r>
              <w:rPr>
                <w:rFonts w:ascii="Times New Roman" w:hAnsi="Times New Roman" w:cs="Times New Roman"/>
                <w:sz w:val="22"/>
                <w:szCs w:val="22"/>
              </w:rPr>
              <w:t>Exon 2</w:t>
            </w:r>
          </w:p>
          <w:p>
            <w:pPr>
              <w:widowControl w:val="0"/>
              <w:numPr>
                <w:ilvl w:val="0"/>
                <w:numId w:val="3"/>
              </w:numPr>
              <w:overflowPunct/>
              <w:snapToGrid w:val="0"/>
              <w:spacing w:line="480" w:lineRule="auto"/>
              <w:ind w:left="540" w:hanging="180"/>
            </w:pPr>
            <w:r>
              <w:rPr>
                <w:rFonts w:ascii="Times New Roman" w:hAnsi="Times New Roman" w:cs="Times New Roman"/>
                <w:sz w:val="22"/>
                <w:szCs w:val="22"/>
              </w:rPr>
              <w:t>Exon 3</w:t>
            </w:r>
          </w:p>
          <w:p>
            <w:pPr>
              <w:widowControl w:val="0"/>
              <w:numPr>
                <w:ilvl w:val="0"/>
                <w:numId w:val="3"/>
              </w:numPr>
              <w:overflowPunct/>
              <w:snapToGrid w:val="0"/>
              <w:spacing w:line="480" w:lineRule="auto"/>
              <w:ind w:left="540" w:hanging="180"/>
            </w:pPr>
            <w:r>
              <w:rPr>
                <w:rFonts w:ascii="Times New Roman" w:hAnsi="Times New Roman" w:cs="Times New Roman"/>
                <w:sz w:val="22"/>
                <w:szCs w:val="22"/>
              </w:rPr>
              <w:t>Exon 4</w:t>
            </w:r>
          </w:p>
          <w:p>
            <w:pPr>
              <w:widowControl w:val="0"/>
              <w:numPr>
                <w:ilvl w:val="0"/>
                <w:numId w:val="3"/>
              </w:numPr>
              <w:overflowPunct/>
              <w:snapToGrid w:val="0"/>
              <w:spacing w:line="480" w:lineRule="auto"/>
              <w:ind w:left="540" w:hanging="180"/>
            </w:pPr>
            <w:r>
              <w:rPr>
                <w:rFonts w:ascii="Times New Roman" w:hAnsi="Times New Roman" w:cs="Times New Roman"/>
                <w:sz w:val="22"/>
                <w:szCs w:val="22"/>
              </w:rPr>
              <w:t>Exon 5</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pPr>
            <w:r>
              <w:rPr>
                <w:rFonts w:ascii="Times New Roman" w:hAnsi="Times New Roman" w:cs="Times New Roman"/>
                <w:sz w:val="22"/>
                <w:szCs w:val="22"/>
              </w:rPr>
              <w:t>205,680,459-205,680,394</w:t>
            </w:r>
          </w:p>
          <w:p>
            <w:pPr>
              <w:widowControl w:val="0"/>
              <w:overflowPunct/>
              <w:snapToGrid w:val="0"/>
              <w:spacing w:line="480" w:lineRule="auto"/>
              <w:jc w:val="right"/>
            </w:pPr>
            <w:r>
              <w:rPr>
                <w:rFonts w:ascii="Times New Roman" w:hAnsi="Times New Roman" w:cs="Times New Roman"/>
                <w:sz w:val="22"/>
                <w:szCs w:val="22"/>
              </w:rPr>
              <w:t>205,664,886-205,664,485</w:t>
            </w:r>
          </w:p>
          <w:p>
            <w:pPr>
              <w:widowControl w:val="0"/>
              <w:overflowPunct/>
              <w:snapToGrid w:val="0"/>
              <w:spacing w:line="480" w:lineRule="auto"/>
              <w:jc w:val="right"/>
            </w:pPr>
            <w:r>
              <w:rPr>
                <w:rFonts w:ascii="Times New Roman" w:hAnsi="Times New Roman" w:cs="Times New Roman"/>
                <w:sz w:val="22"/>
                <w:szCs w:val="22"/>
              </w:rPr>
              <w:t>205,663,618-205,662,833</w:t>
            </w:r>
          </w:p>
          <w:p>
            <w:pPr>
              <w:widowControl w:val="0"/>
              <w:overflowPunct/>
              <w:snapToGrid w:val="0"/>
              <w:spacing w:line="480" w:lineRule="auto"/>
              <w:jc w:val="right"/>
            </w:pPr>
            <w:r>
              <w:rPr>
                <w:rFonts w:ascii="Times New Roman" w:hAnsi="Times New Roman" w:cs="Times New Roman"/>
                <w:sz w:val="22"/>
                <w:szCs w:val="22"/>
              </w:rPr>
              <w:t>205,662,126-205,661,861</w:t>
            </w:r>
          </w:p>
          <w:p>
            <w:pPr>
              <w:widowControl w:val="0"/>
              <w:overflowPunct/>
              <w:snapToGrid w:val="0"/>
              <w:spacing w:line="480" w:lineRule="auto"/>
              <w:jc w:val="right"/>
            </w:pPr>
            <w:r>
              <w:rPr>
                <w:rFonts w:ascii="Times New Roman" w:hAnsi="Times New Roman" w:cs="Times New Roman"/>
                <w:sz w:val="22"/>
                <w:szCs w:val="22"/>
              </w:rPr>
              <w:t>205,659,671-205,657,851</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rPr>
                <w:rFonts w:ascii="Times New Roman" w:hAnsi="Times New Roman" w:cs="Times New Roman"/>
                <w:sz w:val="22"/>
                <w:szCs w:val="22"/>
              </w:rPr>
            </w:pPr>
          </w:p>
          <w:p>
            <w:pPr>
              <w:widowControl w:val="0"/>
              <w:overflowPunct/>
              <w:snapToGrid w:val="0"/>
              <w:spacing w:line="480" w:lineRule="auto"/>
              <w:jc w:val="right"/>
            </w:pPr>
            <w:r>
              <w:rPr>
                <w:rFonts w:ascii="Times New Roman" w:hAnsi="Times New Roman" w:cs="Times New Roman"/>
                <w:sz w:val="22"/>
                <w:szCs w:val="22"/>
              </w:rPr>
              <w:t>205,631,962-205,631,632</w:t>
            </w:r>
          </w:p>
          <w:p>
            <w:pPr>
              <w:widowControl w:val="0"/>
              <w:overflowPunct/>
              <w:snapToGrid w:val="0"/>
              <w:spacing w:line="480" w:lineRule="auto"/>
              <w:jc w:val="right"/>
            </w:pPr>
            <w:r>
              <w:rPr>
                <w:rFonts w:ascii="Times New Roman" w:hAnsi="Times New Roman" w:cs="Times New Roman"/>
                <w:sz w:val="22"/>
                <w:szCs w:val="22"/>
              </w:rPr>
              <w:t>205,623,891-205,623,676</w:t>
            </w:r>
          </w:p>
          <w:p>
            <w:pPr>
              <w:widowControl w:val="0"/>
              <w:overflowPunct/>
              <w:snapToGrid w:val="0"/>
              <w:spacing w:line="480" w:lineRule="auto"/>
              <w:jc w:val="right"/>
            </w:pPr>
            <w:r>
              <w:rPr>
                <w:rFonts w:ascii="Times New Roman" w:hAnsi="Times New Roman" w:cs="Times New Roman"/>
                <w:sz w:val="22"/>
                <w:szCs w:val="22"/>
              </w:rPr>
              <w:t>205,620,838-205,619,966</w:t>
            </w:r>
          </w:p>
          <w:p>
            <w:pPr>
              <w:widowControl w:val="0"/>
              <w:overflowPunct/>
              <w:snapToGrid w:val="0"/>
              <w:spacing w:line="480" w:lineRule="auto"/>
              <w:jc w:val="right"/>
            </w:pPr>
            <w:r>
              <w:rPr>
                <w:rFonts w:ascii="Times New Roman" w:hAnsi="Times New Roman" w:cs="Times New Roman"/>
                <w:sz w:val="22"/>
                <w:szCs w:val="22"/>
              </w:rPr>
              <w:t>205,619,073-205,618,957</w:t>
            </w:r>
          </w:p>
          <w:p>
            <w:pPr>
              <w:widowControl w:val="0"/>
              <w:overflowPunct/>
              <w:snapToGrid w:val="0"/>
              <w:spacing w:line="480" w:lineRule="auto"/>
              <w:jc w:val="right"/>
            </w:pPr>
            <w:r>
              <w:rPr>
                <w:rFonts w:ascii="Times New Roman" w:hAnsi="Times New Roman" w:cs="Times New Roman"/>
                <w:sz w:val="22"/>
                <w:szCs w:val="22"/>
              </w:rPr>
              <w:t>205,616,644-205,607,943</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Start codon in initial exon (AUG)</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205,664,648 (2.rf)</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205,623,882 (1.rf)</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Stop codon in terminal exon (TAG,TAA,TGA)</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205,659,228 (3.rf)</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205,616,549 (2.rf)</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 xml:space="preserve">Poly (A) signals </w:t>
            </w:r>
          </w:p>
          <w:p>
            <w:pPr>
              <w:widowControl w:val="0"/>
              <w:overflowPunct/>
              <w:snapToGrid w:val="0"/>
              <w:spacing w:line="480" w:lineRule="auto"/>
            </w:pPr>
            <w:r>
              <w:rPr>
                <w:rFonts w:ascii="Times New Roman" w:hAnsi="Times New Roman" w:cs="Times New Roman"/>
                <w:sz w:val="22"/>
                <w:szCs w:val="22"/>
              </w:rPr>
              <w:t>(AATAAA)</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205,658,856 (1.rf)</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205,607,965 (2.rf)</w:t>
            </w:r>
          </w:p>
          <w:p>
            <w:pPr>
              <w:widowControl w:val="0"/>
              <w:overflowPunct/>
              <w:snapToGrid w:val="0"/>
              <w:spacing w:line="480" w:lineRule="auto"/>
              <w:jc w:val="right"/>
            </w:pPr>
            <w:r>
              <w:rPr>
                <w:rFonts w:ascii="Times New Roman" w:hAnsi="Times New Roman" w:cs="Times New Roman"/>
                <w:sz w:val="22"/>
                <w:szCs w:val="22"/>
              </w:rPr>
              <w:t>205,608.999 (1.rf)</w:t>
            </w:r>
          </w:p>
          <w:p>
            <w:pPr>
              <w:widowControl w:val="0"/>
              <w:overflowPunct/>
              <w:snapToGrid w:val="0"/>
              <w:spacing w:line="480" w:lineRule="auto"/>
              <w:jc w:val="right"/>
            </w:pPr>
            <w:r>
              <w:rPr>
                <w:rFonts w:ascii="Times New Roman" w:hAnsi="Times New Roman" w:cs="Times New Roman"/>
                <w:sz w:val="22"/>
                <w:szCs w:val="22"/>
              </w:rPr>
              <w:t>205,613,620 (2.rf)</w:t>
            </w:r>
          </w:p>
        </w:tc>
      </w:tr>
      <w:tr>
        <w:tblPrEx>
          <w:tblLayout w:type="fixed"/>
          <w:tblCellMar>
            <w:top w:w="14" w:type="dxa"/>
            <w:left w:w="0" w:type="dxa"/>
            <w:bottom w:w="14" w:type="dxa"/>
            <w:right w:w="14" w:type="dxa"/>
          </w:tblCellMar>
        </w:tblPrEx>
        <w:tc>
          <w:tcPr>
            <w:tcW w:w="3419"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pPr>
            <w:r>
              <w:rPr>
                <w:rFonts w:ascii="Times New Roman" w:hAnsi="Times New Roman" w:cs="Times New Roman"/>
                <w:sz w:val="22"/>
                <w:szCs w:val="22"/>
              </w:rPr>
              <w:t>Cleavage site</w:t>
            </w:r>
          </w:p>
        </w:tc>
        <w:tc>
          <w:tcPr>
            <w:tcW w:w="3015" w:type="dxa"/>
            <w:tcBorders>
              <w:top w:val="single" w:color="999999" w:sz="4" w:space="0"/>
              <w:left w:val="single" w:color="999999" w:sz="4" w:space="0"/>
              <w:bottom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205,657,851 (3.rf)</w:t>
            </w:r>
          </w:p>
        </w:tc>
        <w:tc>
          <w:tcPr>
            <w:tcW w:w="3246"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sz w:val="22"/>
                <w:szCs w:val="22"/>
              </w:rPr>
              <w:t>205,607,943 (3.rf)</w:t>
            </w:r>
          </w:p>
        </w:tc>
      </w:tr>
    </w:tbl>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pStyle w:val="4"/>
        <w:shd w:val="clear" w:color="auto" w:fill="FFFFFF"/>
        <w:overflowPunct/>
        <w:spacing w:before="0" w:after="0" w:line="480" w:lineRule="auto"/>
        <w:ind w:left="0" w:firstLine="0"/>
      </w:pPr>
      <w:bookmarkStart w:id="6" w:name="_b8bgg1xuquhh"/>
      <w:bookmarkEnd w:id="6"/>
      <w:r>
        <w:rPr>
          <w:rFonts w:ascii="Times New Roman" w:hAnsi="Times New Roman" w:cs="Times New Roman"/>
          <w:i/>
          <w:color w:val="000000"/>
        </w:rPr>
        <w:t>SLC45A3-ELK4</w:t>
      </w:r>
      <w:r>
        <w:rPr>
          <w:rFonts w:ascii="Times New Roman" w:hAnsi="Times New Roman" w:cs="Times New Roman"/>
          <w:color w:val="000000"/>
        </w:rPr>
        <w:t xml:space="preserve"> confirmation in bulk sequenced </w:t>
      </w:r>
      <w:r>
        <w:rPr>
          <w:rFonts w:ascii="Times New Roman" w:hAnsi="Times New Roman" w:cs="Times New Roman"/>
        </w:rPr>
        <w:t xml:space="preserve">RNA of the </w:t>
      </w:r>
      <w:r>
        <w:rPr>
          <w:rFonts w:ascii="Times New Roman" w:hAnsi="Times New Roman" w:cs="Times New Roman"/>
          <w:color w:val="000000"/>
        </w:rPr>
        <w:t xml:space="preserve">clinical </w:t>
      </w:r>
      <w:r>
        <w:rPr>
          <w:rFonts w:ascii="Times New Roman" w:hAnsi="Times New Roman" w:cs="Times New Roman"/>
        </w:rPr>
        <w:t>samples</w:t>
      </w:r>
      <w:r>
        <w:rPr>
          <w:rFonts w:ascii="Times New Roman" w:hAnsi="Times New Roman" w:cs="Times New Roman"/>
          <w:color w:val="000000"/>
        </w:rPr>
        <w:t xml:space="preserve"> </w:t>
      </w:r>
    </w:p>
    <w:p>
      <w:pPr>
        <w:pStyle w:val="4"/>
        <w:shd w:val="clear" w:color="auto" w:fill="FFFFFF"/>
        <w:overflowPunct/>
        <w:spacing w:before="0" w:after="0" w:line="480" w:lineRule="auto"/>
        <w:ind w:left="0" w:firstLine="0"/>
        <w:rPr>
          <w:rFonts w:ascii="Times New Roman" w:hAnsi="Times New Roman" w:cs="Times New Roman"/>
          <w:color w:val="000000"/>
        </w:rPr>
      </w:pPr>
    </w:p>
    <w:p>
      <w:pPr>
        <w:overflowPunct/>
        <w:spacing w:line="480" w:lineRule="auto"/>
      </w:pPr>
      <w:r>
        <w:rPr>
          <w:rFonts w:ascii="Times New Roman" w:hAnsi="Times New Roman" w:cs="Times New Roman"/>
          <w:b/>
          <w:sz w:val="22"/>
          <w:szCs w:val="22"/>
        </w:rPr>
        <w:t>Table S15.</w:t>
      </w:r>
      <w:r>
        <w:rPr>
          <w:rFonts w:ascii="Times New Roman" w:hAnsi="Times New Roman" w:cs="Times New Roman"/>
          <w:b/>
          <w:bCs/>
          <w:sz w:val="22"/>
          <w:szCs w:val="22"/>
        </w:rPr>
        <w:t xml:space="preserve"> Encompassing and spanning reads in the alignment using Tophat2</w:t>
      </w:r>
      <w:r>
        <w:rPr>
          <w:rFonts w:ascii="Times New Roman" w:hAnsi="Times New Roman" w:cs="Times New Roman"/>
          <w:sz w:val="22"/>
          <w:szCs w:val="22"/>
        </w:rPr>
        <w:t>. In total, the cis-SAGe could be confirmed in 8 of the 12 tissue samples. The samples 1.1, 2.3, 3.1, and 4.1, where the cis-SAGe could not be identified in bulk sequenced data, a very low coverage at the two fusion points was observed.</w:t>
      </w:r>
    </w:p>
    <w:tbl>
      <w:tblPr>
        <w:tblStyle w:val="10"/>
        <w:tblW w:w="9719" w:type="dxa"/>
        <w:tblInd w:w="-138" w:type="dxa"/>
        <w:tblLayout w:type="fixed"/>
        <w:tblCellMar>
          <w:top w:w="14" w:type="dxa"/>
          <w:left w:w="0" w:type="dxa"/>
          <w:bottom w:w="14" w:type="dxa"/>
          <w:right w:w="14" w:type="dxa"/>
        </w:tblCellMar>
      </w:tblPr>
      <w:tblGrid>
        <w:gridCol w:w="853"/>
        <w:gridCol w:w="1545"/>
        <w:gridCol w:w="1543"/>
        <w:gridCol w:w="1560"/>
        <w:gridCol w:w="1371"/>
        <w:gridCol w:w="1365"/>
        <w:gridCol w:w="1482"/>
      </w:tblGrid>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Sample</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 reads at 1:205,659,488</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 reads at 1:205,661,860</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 reads at 1:205,623,890</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 xml:space="preserve"># encom- passing reads </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spacing w:line="480" w:lineRule="auto"/>
            </w:pPr>
            <w:r>
              <w:rPr>
                <w:rFonts w:ascii="Times New Roman" w:hAnsi="Times New Roman" w:cs="Times New Roman"/>
              </w:rPr>
              <w:t xml:space="preserve"># spanning reads </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rPr>
              <w:t>#v ariants detected with Fusioncatcher [28]</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111111" w:sz="6" w:space="0"/>
            </w:tcBorders>
            <w:shd w:val="clear" w:color="auto" w:fill="FFFFFF"/>
            <w:noWrap w:val="0"/>
            <w:vAlign w:val="top"/>
          </w:tcPr>
          <w:p>
            <w:pPr>
              <w:keepNext/>
              <w:widowControl w:val="0"/>
              <w:shd w:val="clear" w:color="auto" w:fill="FFFFFF"/>
              <w:overflowPunct/>
              <w:snapToGrid w:val="0"/>
              <w:spacing w:line="480" w:lineRule="auto"/>
              <w:rPr>
                <w:rFonts w:ascii="Times New Roman" w:hAnsi="Times New Roman" w:cs="Times New Roman"/>
              </w:rPr>
            </w:pPr>
          </w:p>
        </w:tc>
        <w:tc>
          <w:tcPr>
            <w:tcW w:w="1545"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w:t>
            </w:r>
          </w:p>
        </w:tc>
        <w:tc>
          <w:tcPr>
            <w:tcW w:w="1543"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w:t>
            </w:r>
          </w:p>
        </w:tc>
        <w:tc>
          <w:tcPr>
            <w:tcW w:w="1560"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ELK4</w:t>
            </w:r>
          </w:p>
        </w:tc>
        <w:tc>
          <w:tcPr>
            <w:tcW w:w="1371"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SLC45A3 -ELK4</w:t>
            </w:r>
          </w:p>
        </w:tc>
        <w:tc>
          <w:tcPr>
            <w:tcW w:w="1365"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SLC45A3 -ELK4</w:t>
            </w:r>
          </w:p>
        </w:tc>
        <w:tc>
          <w:tcPr>
            <w:tcW w:w="1482" w:type="dxa"/>
            <w:tcBorders>
              <w:top w:val="single" w:color="999999" w:sz="6" w:space="0"/>
              <w:left w:val="single" w:color="999999" w:sz="6" w:space="0"/>
              <w:bottom w:val="single" w:color="111111"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1.1</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88</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149</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color w:val="336633"/>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color w:val="336633"/>
              </w:rPr>
              <w:t>0</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rPr>
                <w:rFonts w:ascii="Times New Roman" w:hAnsi="Times New Roman" w:cs="Times New Roman"/>
              </w:rPr>
            </w:pPr>
          </w:p>
        </w:tc>
      </w:tr>
      <w:tr>
        <w:tblPrEx>
          <w:tblLayout w:type="fixed"/>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0000"/>
              </w:rPr>
              <w:t>1.2</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1149</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2353</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27</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12</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rPr>
              <w:t>1.3</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155</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244</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14</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2.1</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125</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173</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2.3</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70</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93</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rPr>
                <w:rFonts w:ascii="Times New Roman" w:hAnsi="Times New Roman" w:cs="Times New Roman"/>
              </w:rPr>
            </w:pPr>
          </w:p>
        </w:tc>
      </w:tr>
      <w:tr>
        <w:tblPrEx>
          <w:tblLayout w:type="fixed"/>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0000"/>
              </w:rPr>
              <w:t>2.4</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832</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1528</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3.1</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76</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12</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3.2</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165</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272</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0000"/>
              </w:rPr>
              <w:t>3.3</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1538</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2753</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17</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9</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w:t>
            </w:r>
          </w:p>
        </w:tc>
      </w:tr>
      <w:tr>
        <w:tblPrEx>
          <w:tblLayout w:type="fixed"/>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4.1</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57</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79</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4.2</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123</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172</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85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4.3</w:t>
            </w:r>
          </w:p>
        </w:tc>
        <w:tc>
          <w:tcPr>
            <w:tcW w:w="154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168</w:t>
            </w:r>
          </w:p>
        </w:tc>
        <w:tc>
          <w:tcPr>
            <w:tcW w:w="1543"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291</w:t>
            </w:r>
          </w:p>
        </w:tc>
        <w:tc>
          <w:tcPr>
            <w:tcW w:w="156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w:t>
            </w:r>
          </w:p>
        </w:tc>
        <w:tc>
          <w:tcPr>
            <w:tcW w:w="1371"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w:t>
            </w:r>
          </w:p>
        </w:tc>
        <w:tc>
          <w:tcPr>
            <w:tcW w:w="1482"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w:t>
            </w:r>
          </w:p>
        </w:tc>
      </w:tr>
    </w:tbl>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Table S16. Encompassing and spanning reads in the alignment using STAR.</w:t>
      </w:r>
      <w:r>
        <w:rPr>
          <w:rFonts w:ascii="Times New Roman" w:hAnsi="Times New Roman" w:cs="Times New Roman"/>
          <w:sz w:val="22"/>
          <w:szCs w:val="22"/>
        </w:rPr>
        <w:t xml:space="preserve"> The cis-SAGe could be confirmed in 9 of the 12 tissue samples, one more sample as in the alignment using Tophat2 (Table S18). This additional sample 2.3 had one encompassing read.</w:t>
      </w:r>
    </w:p>
    <w:tbl>
      <w:tblPr>
        <w:tblStyle w:val="10"/>
        <w:tblW w:w="9689" w:type="dxa"/>
        <w:tblInd w:w="-138" w:type="dxa"/>
        <w:tblLayout w:type="fixed"/>
        <w:tblCellMar>
          <w:top w:w="14" w:type="dxa"/>
          <w:left w:w="0" w:type="dxa"/>
          <w:bottom w:w="14" w:type="dxa"/>
          <w:right w:w="14" w:type="dxa"/>
        </w:tblCellMar>
      </w:tblPr>
      <w:tblGrid>
        <w:gridCol w:w="900"/>
        <w:gridCol w:w="1515"/>
        <w:gridCol w:w="1530"/>
        <w:gridCol w:w="1510"/>
        <w:gridCol w:w="1394"/>
        <w:gridCol w:w="1365"/>
        <w:gridCol w:w="1475"/>
      </w:tblGrid>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color w:val="000000"/>
              </w:rPr>
              <w:t>Sample</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color w:val="000000"/>
              </w:rPr>
              <w:t># reads at 1:205,659,488</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color w:val="000000"/>
              </w:rPr>
              <w:t># reads at 1:205,661,860</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overflowPunct/>
              <w:snapToGrid w:val="0"/>
              <w:spacing w:line="480" w:lineRule="auto"/>
              <w:jc w:val="center"/>
            </w:pPr>
            <w:r>
              <w:rPr>
                <w:rFonts w:ascii="Times New Roman" w:hAnsi="Times New Roman" w:cs="Times New Roman"/>
                <w:color w:val="000000"/>
              </w:rPr>
              <w:t># reads at 1:205,623,890</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 xml:space="preserve"># encom- passing reads </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 xml:space="preserve"># spanning reads </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 variants detected with Fusioncatcher</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111111" w:sz="6" w:space="0"/>
            </w:tcBorders>
            <w:shd w:val="clear" w:color="auto" w:fill="FFFFFF"/>
            <w:noWrap w:val="0"/>
            <w:vAlign w:val="top"/>
          </w:tcPr>
          <w:p>
            <w:pPr>
              <w:keepNext/>
              <w:widowControl w:val="0"/>
              <w:shd w:val="clear" w:color="auto" w:fill="FFFFFF"/>
              <w:overflowPunct/>
              <w:snapToGrid w:val="0"/>
              <w:spacing w:line="480" w:lineRule="auto"/>
              <w:jc w:val="center"/>
              <w:rPr>
                <w:rFonts w:ascii="Times New Roman" w:hAnsi="Times New Roman" w:cs="Times New Roman"/>
              </w:rPr>
            </w:pPr>
          </w:p>
        </w:tc>
        <w:tc>
          <w:tcPr>
            <w:tcW w:w="1515"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w:t>
            </w:r>
          </w:p>
        </w:tc>
        <w:tc>
          <w:tcPr>
            <w:tcW w:w="1530"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w:t>
            </w:r>
          </w:p>
        </w:tc>
        <w:tc>
          <w:tcPr>
            <w:tcW w:w="1510"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ELK4</w:t>
            </w:r>
          </w:p>
        </w:tc>
        <w:tc>
          <w:tcPr>
            <w:tcW w:w="1394"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SLC45A3 -ELK4</w:t>
            </w:r>
          </w:p>
        </w:tc>
        <w:tc>
          <w:tcPr>
            <w:tcW w:w="1365" w:type="dxa"/>
            <w:tcBorders>
              <w:top w:val="single" w:color="999999" w:sz="6" w:space="0"/>
              <w:left w:val="single" w:color="999999" w:sz="6" w:space="0"/>
              <w:bottom w:val="single" w:color="111111"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i/>
              </w:rPr>
              <w:t>SLC45A3 -ELK4</w:t>
            </w:r>
          </w:p>
        </w:tc>
        <w:tc>
          <w:tcPr>
            <w:tcW w:w="1475" w:type="dxa"/>
            <w:tcBorders>
              <w:top w:val="single" w:color="999999" w:sz="6" w:space="0"/>
              <w:left w:val="single" w:color="999999" w:sz="6" w:space="0"/>
              <w:bottom w:val="single" w:color="111111" w:sz="6" w:space="0"/>
              <w:right w:val="single" w:color="999999" w:sz="6"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1.1</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184</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329</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rPr>
            </w:pPr>
          </w:p>
        </w:tc>
      </w:tr>
      <w:tr>
        <w:tblPrEx>
          <w:tblLayout w:type="fixed"/>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0000"/>
              </w:rPr>
              <w:t>1.2</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875</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1598</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21</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9</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rPr>
              <w:t>1.3</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803</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1227</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18</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2.1</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334</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508</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10</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4</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2</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2.3</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110</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177</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top"/>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rPr>
            </w:pPr>
          </w:p>
        </w:tc>
      </w:tr>
      <w:tr>
        <w:tblPrEx>
          <w:tblLayout w:type="fixed"/>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4125"/>
              </w:rPr>
              <w:t>2.4</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612</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1035</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13</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3.1</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153</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260</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14</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top"/>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3.2</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1063</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1699</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11</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6</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b/>
                <w:color w:val="CC4125"/>
              </w:rPr>
              <w:t>3.3</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871</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1474</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17</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2</w:t>
            </w:r>
          </w:p>
        </w:tc>
      </w:tr>
      <w:tr>
        <w:tblPrEx>
          <w:tblLayout w:type="fixed"/>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4.1</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85</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155</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0</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rPr>
                <w:rFonts w:ascii="Times New Roman" w:hAnsi="Times New Roman" w:cs="Times New Roman"/>
              </w:rPr>
            </w:pP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4.2</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341</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577</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8</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1</w:t>
            </w:r>
          </w:p>
        </w:tc>
      </w:tr>
      <w:tr>
        <w:tblPrEx>
          <w:tblLayout w:type="fixed"/>
          <w:tblCellMar>
            <w:top w:w="14" w:type="dxa"/>
            <w:left w:w="0" w:type="dxa"/>
            <w:bottom w:w="14" w:type="dxa"/>
            <w:right w:w="14" w:type="dxa"/>
          </w:tblCellMar>
        </w:tblPrEx>
        <w:tc>
          <w:tcPr>
            <w:tcW w:w="90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center"/>
            </w:pPr>
            <w:r>
              <w:rPr>
                <w:rFonts w:ascii="Times New Roman" w:hAnsi="Times New Roman" w:cs="Times New Roman"/>
              </w:rPr>
              <w:t>4.3</w:t>
            </w:r>
          </w:p>
        </w:tc>
        <w:tc>
          <w:tcPr>
            <w:tcW w:w="151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1365</w:t>
            </w:r>
          </w:p>
        </w:tc>
        <w:tc>
          <w:tcPr>
            <w:tcW w:w="153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2110</w:t>
            </w:r>
          </w:p>
        </w:tc>
        <w:tc>
          <w:tcPr>
            <w:tcW w:w="1510"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19</w:t>
            </w:r>
          </w:p>
        </w:tc>
        <w:tc>
          <w:tcPr>
            <w:tcW w:w="1394"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10</w:t>
            </w:r>
          </w:p>
        </w:tc>
        <w:tc>
          <w:tcPr>
            <w:tcW w:w="1365" w:type="dxa"/>
            <w:tcBorders>
              <w:top w:val="single" w:color="999999" w:sz="6" w:space="0"/>
              <w:left w:val="single" w:color="999999" w:sz="6" w:space="0"/>
              <w:bottom w:val="single" w:color="999999" w:sz="6" w:space="0"/>
            </w:tcBorders>
            <w:shd w:val="clear" w:color="auto" w:fill="FFFFFF"/>
            <w:noWrap w:val="0"/>
            <w:vAlign w:val="center"/>
          </w:tcPr>
          <w:p>
            <w:pPr>
              <w:keepNext/>
              <w:widowControl w:val="0"/>
              <w:shd w:val="clear" w:color="auto" w:fill="FFFFFF"/>
              <w:overflowPunct/>
              <w:snapToGrid w:val="0"/>
              <w:spacing w:line="480" w:lineRule="auto"/>
              <w:jc w:val="right"/>
            </w:pPr>
            <w:r>
              <w:rPr>
                <w:rFonts w:ascii="Times New Roman" w:hAnsi="Times New Roman" w:cs="Times New Roman"/>
              </w:rPr>
              <w:t>7</w:t>
            </w:r>
          </w:p>
        </w:tc>
        <w:tc>
          <w:tcPr>
            <w:tcW w:w="1475" w:type="dxa"/>
            <w:tcBorders>
              <w:top w:val="single" w:color="999999" w:sz="6" w:space="0"/>
              <w:left w:val="single" w:color="999999" w:sz="6" w:space="0"/>
              <w:bottom w:val="single" w:color="999999" w:sz="6" w:space="0"/>
              <w:right w:val="single" w:color="999999" w:sz="6"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2</w:t>
            </w:r>
          </w:p>
        </w:tc>
      </w:tr>
    </w:tbl>
    <w:p>
      <w:pPr>
        <w:overflowPunct/>
        <w:spacing w:line="480" w:lineRule="auto"/>
        <w:rPr>
          <w:rFonts w:ascii="Times New Roman" w:hAnsi="Times New Roman" w:cs="Times New Roman"/>
          <w:sz w:val="22"/>
          <w:szCs w:val="22"/>
        </w:rPr>
      </w:pPr>
    </w:p>
    <w:p>
      <w:pPr>
        <w:pStyle w:val="4"/>
        <w:overflowPunct/>
        <w:spacing w:before="0" w:after="0" w:line="480" w:lineRule="auto"/>
        <w:ind w:left="0" w:firstLine="0"/>
      </w:pPr>
      <w:bookmarkStart w:id="7" w:name="_ve9xah5vg31g"/>
      <w:bookmarkEnd w:id="7"/>
      <w:r>
        <w:rPr>
          <w:rFonts w:ascii="Times New Roman" w:hAnsi="Times New Roman" w:cs="Times New Roman"/>
          <w:i/>
        </w:rPr>
        <w:t xml:space="preserve">SLC45A3-ELK4 </w:t>
      </w:r>
      <w:r>
        <w:rPr>
          <w:rFonts w:ascii="Times New Roman" w:hAnsi="Times New Roman" w:cs="Times New Roman"/>
        </w:rPr>
        <w:t xml:space="preserve">variants </w:t>
      </w:r>
    </w:p>
    <w:p>
      <w:pPr>
        <w:shd w:val="clear" w:color="auto" w:fill="FFFFFF"/>
        <w:overflowPunct/>
        <w:spacing w:line="480" w:lineRule="auto"/>
      </w:pPr>
      <w:r>
        <w:rPr>
          <w:rFonts w:ascii="Times New Roman" w:hAnsi="Times New Roman" w:cs="Times New Roman"/>
          <w:b/>
          <w:sz w:val="22"/>
          <w:szCs w:val="22"/>
        </w:rPr>
        <w:drawing>
          <wp:anchor distT="0" distB="0" distL="0" distR="0" simplePos="0" relativeHeight="251659264" behindDoc="0" locked="0" layoutInCell="1" allowOverlap="1">
            <wp:simplePos x="0" y="0"/>
            <wp:positionH relativeFrom="column">
              <wp:align>center</wp:align>
            </wp:positionH>
            <wp:positionV relativeFrom="paragraph">
              <wp:posOffset>635</wp:posOffset>
            </wp:positionV>
            <wp:extent cx="6132195" cy="2012950"/>
            <wp:effectExtent l="0" t="0" r="20955" b="13970"/>
            <wp:wrapSquare wrapText="larges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pic:cNvPicPr>
                  </pic:nvPicPr>
                  <pic:blipFill>
                    <a:blip r:embed="rId9"/>
                    <a:stretch>
                      <a:fillRect/>
                    </a:stretch>
                  </pic:blipFill>
                  <pic:spPr>
                    <a:xfrm>
                      <a:off x="0" y="0"/>
                      <a:ext cx="6132195" cy="2012950"/>
                    </a:xfrm>
                    <a:prstGeom prst="rect">
                      <a:avLst/>
                    </a:prstGeom>
                    <a:solidFill>
                      <a:srgbClr val="FFFFFF"/>
                    </a:solidFill>
                    <a:ln>
                      <a:noFill/>
                    </a:ln>
                  </pic:spPr>
                </pic:pic>
              </a:graphicData>
            </a:graphic>
          </wp:anchor>
        </w:drawing>
      </w:r>
      <w:r>
        <w:rPr>
          <w:rFonts w:ascii="Times New Roman" w:hAnsi="Times New Roman" w:cs="Times New Roman"/>
          <w:b/>
          <w:sz w:val="22"/>
          <w:szCs w:val="22"/>
        </w:rPr>
        <w:t>Figure S1.</w:t>
      </w:r>
      <w:r>
        <w:rPr>
          <w:rFonts w:ascii="Times New Roman" w:hAnsi="Times New Roman" w:cs="Times New Roman"/>
          <w:sz w:val="22"/>
          <w:szCs w:val="22"/>
        </w:rPr>
        <w:t xml:space="preserve"> </w:t>
      </w:r>
      <w:r>
        <w:rPr>
          <w:rFonts w:ascii="Times New Roman" w:hAnsi="Times New Roman" w:cs="Times New Roman"/>
          <w:b/>
          <w:bCs/>
          <w:sz w:val="22"/>
          <w:szCs w:val="22"/>
        </w:rPr>
        <w:t xml:space="preserve">Cis-SAGe </w:t>
      </w:r>
      <w:r>
        <w:rPr>
          <w:rFonts w:ascii="Times New Roman" w:hAnsi="Times New Roman" w:cs="Times New Roman"/>
          <w:b/>
          <w:bCs/>
          <w:i/>
          <w:sz w:val="22"/>
          <w:szCs w:val="22"/>
        </w:rPr>
        <w:t xml:space="preserve">SLC45A3-ELK4 </w:t>
      </w:r>
      <w:r>
        <w:rPr>
          <w:rFonts w:ascii="Times New Roman" w:hAnsi="Times New Roman" w:cs="Times New Roman"/>
          <w:b/>
          <w:bCs/>
          <w:sz w:val="22"/>
          <w:szCs w:val="22"/>
        </w:rPr>
        <w:t xml:space="preserve">variants. </w:t>
      </w:r>
      <w:r>
        <w:rPr>
          <w:rFonts w:ascii="Times New Roman" w:hAnsi="Times New Roman" w:cs="Times New Roman"/>
          <w:sz w:val="22"/>
          <w:szCs w:val="22"/>
        </w:rPr>
        <w:t xml:space="preserve">Two fusion variants were detected in bulk sequenced RNA of  the prostate tissue samples: two fusion points in </w:t>
      </w:r>
      <w:r>
        <w:rPr>
          <w:rFonts w:ascii="Times New Roman" w:hAnsi="Times New Roman" w:cs="Times New Roman"/>
          <w:i/>
          <w:sz w:val="22"/>
          <w:szCs w:val="22"/>
        </w:rPr>
        <w:t>SLC45A3</w:t>
      </w:r>
      <w:r>
        <w:rPr>
          <w:rFonts w:ascii="Times New Roman" w:hAnsi="Times New Roman" w:cs="Times New Roman"/>
          <w:sz w:val="22"/>
          <w:szCs w:val="22"/>
        </w:rPr>
        <w:t xml:space="preserve"> on Chr1:205661860 (exon 4) and Chr1:205659488 (exon 5) and one fusion point in </w:t>
      </w:r>
      <w:r>
        <w:rPr>
          <w:rFonts w:ascii="Times New Roman" w:hAnsi="Times New Roman" w:cs="Times New Roman"/>
          <w:i/>
          <w:sz w:val="22"/>
          <w:szCs w:val="22"/>
        </w:rPr>
        <w:t>ELK4</w:t>
      </w:r>
      <w:r>
        <w:rPr>
          <w:rFonts w:ascii="Times New Roman" w:hAnsi="Times New Roman" w:cs="Times New Roman"/>
          <w:sz w:val="22"/>
          <w:szCs w:val="22"/>
        </w:rPr>
        <w:t xml:space="preserve"> on chr1:205623890 (exon 2).</w:t>
      </w:r>
    </w:p>
    <w:p>
      <w:pPr>
        <w:shd w:val="clear" w:color="auto" w:fill="FFFFFF"/>
        <w:overflowPunct/>
        <w:spacing w:line="480" w:lineRule="auto"/>
      </w:pPr>
    </w:p>
    <w:p>
      <w:pPr>
        <w:overflowPunct/>
        <w:spacing w:line="480" w:lineRule="auto"/>
      </w:pPr>
      <w:r>
        <w:rPr>
          <w:rFonts w:ascii="Times New Roman" w:hAnsi="Times New Roman" w:cs="Times New Roman"/>
          <w:b/>
          <w:sz w:val="22"/>
          <w:szCs w:val="22"/>
        </w:rPr>
        <w:t xml:space="preserve">Table S17. Cis-SAGe </w:t>
      </w:r>
      <w:r>
        <w:rPr>
          <w:rFonts w:ascii="Times New Roman" w:hAnsi="Times New Roman" w:cs="Times New Roman"/>
          <w:b/>
          <w:i/>
          <w:sz w:val="22"/>
          <w:szCs w:val="22"/>
        </w:rPr>
        <w:t>SLC45A3-ELK4</w:t>
      </w:r>
      <w:r>
        <w:rPr>
          <w:rFonts w:ascii="Times New Roman" w:hAnsi="Times New Roman" w:cs="Times New Roman"/>
          <w:b/>
          <w:sz w:val="22"/>
          <w:szCs w:val="22"/>
        </w:rPr>
        <w:t xml:space="preserve"> variants in the 12 clinical tissue samples.</w:t>
      </w:r>
    </w:p>
    <w:tbl>
      <w:tblPr>
        <w:tblStyle w:val="10"/>
        <w:tblW w:w="9638" w:type="dxa"/>
        <w:tblInd w:w="-126" w:type="dxa"/>
        <w:tblLayout w:type="fixed"/>
        <w:tblCellMar>
          <w:top w:w="14" w:type="dxa"/>
          <w:left w:w="0" w:type="dxa"/>
          <w:bottom w:w="14" w:type="dxa"/>
          <w:right w:w="14" w:type="dxa"/>
        </w:tblCellMar>
      </w:tblPr>
      <w:tblGrid>
        <w:gridCol w:w="1971"/>
        <w:gridCol w:w="2976"/>
        <w:gridCol w:w="2534"/>
        <w:gridCol w:w="2157"/>
      </w:tblGrid>
      <w:tr>
        <w:tblPrEx>
          <w:tblLayout w:type="fixed"/>
          <w:tblCellMar>
            <w:top w:w="14" w:type="dxa"/>
            <w:left w:w="0" w:type="dxa"/>
            <w:bottom w:w="14" w:type="dxa"/>
            <w:right w:w="14" w:type="dxa"/>
          </w:tblCellMar>
        </w:tblPrEx>
        <w:tc>
          <w:tcPr>
            <w:tcW w:w="1971" w:type="dxa"/>
            <w:tcBorders>
              <w:top w:val="single" w:color="999999" w:sz="4" w:space="0"/>
              <w:left w:val="single" w:color="999999" w:sz="4" w:space="0"/>
              <w:bottom w:val="single" w:color="111111"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Fusion points</w:t>
            </w:r>
          </w:p>
        </w:tc>
        <w:tc>
          <w:tcPr>
            <w:tcW w:w="2976" w:type="dxa"/>
            <w:tcBorders>
              <w:top w:val="single" w:color="999999" w:sz="4" w:space="0"/>
              <w:left w:val="single" w:color="999999"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i/>
              </w:rPr>
              <w:t>SLC45A3</w:t>
            </w:r>
          </w:p>
        </w:tc>
        <w:tc>
          <w:tcPr>
            <w:tcW w:w="2534" w:type="dxa"/>
            <w:tcBorders>
              <w:top w:val="single" w:color="999999" w:sz="4" w:space="0"/>
              <w:left w:val="single" w:color="999999" w:sz="4" w:space="0"/>
              <w:bottom w:val="single" w:color="111111"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i/>
              </w:rPr>
              <w:t>ELK4</w:t>
            </w:r>
          </w:p>
        </w:tc>
        <w:tc>
          <w:tcPr>
            <w:tcW w:w="2157" w:type="dxa"/>
            <w:tcBorders>
              <w:top w:val="single" w:color="999999" w:sz="4" w:space="0"/>
              <w:left w:val="single" w:color="999999" w:sz="4" w:space="0"/>
              <w:bottom w:val="single" w:color="111111" w:sz="4" w:space="0"/>
              <w:right w:val="single" w:color="999999" w:sz="4" w:space="0"/>
            </w:tcBorders>
            <w:shd w:val="clear" w:color="auto" w:fill="FFFFFF"/>
            <w:noWrap w:val="0"/>
            <w:vAlign w:val="center"/>
          </w:tcPr>
          <w:p>
            <w:pPr>
              <w:widowControl w:val="0"/>
              <w:overflowPunct/>
              <w:snapToGrid w:val="0"/>
              <w:spacing w:line="480" w:lineRule="auto"/>
              <w:jc w:val="center"/>
            </w:pPr>
            <w:r>
              <w:rPr>
                <w:rFonts w:ascii="Times New Roman" w:hAnsi="Times New Roman" w:cs="Times New Roman"/>
              </w:rPr>
              <w:t>Distance</w:t>
            </w:r>
          </w:p>
          <w:p>
            <w:pPr>
              <w:widowControl w:val="0"/>
              <w:overflowPunct/>
              <w:snapToGrid w:val="0"/>
              <w:spacing w:line="480" w:lineRule="auto"/>
              <w:jc w:val="center"/>
            </w:pPr>
            <w:r>
              <w:rPr>
                <w:rFonts w:ascii="Times New Roman" w:hAnsi="Times New Roman" w:cs="Times New Roman"/>
              </w:rPr>
              <w:t>[bp]</w:t>
            </w:r>
          </w:p>
        </w:tc>
      </w:tr>
      <w:tr>
        <w:tblPrEx>
          <w:tblLayout w:type="fixed"/>
          <w:tblCellMar>
            <w:top w:w="14" w:type="dxa"/>
            <w:left w:w="0" w:type="dxa"/>
            <w:bottom w:w="14" w:type="dxa"/>
            <w:right w:w="14" w:type="dxa"/>
          </w:tblCellMar>
        </w:tblPrEx>
        <w:tc>
          <w:tcPr>
            <w:tcW w:w="1971" w:type="dxa"/>
            <w:tcBorders>
              <w:top w:val="single" w:color="999999" w:sz="4" w:space="0"/>
              <w:left w:val="single" w:color="999999" w:sz="4" w:space="0"/>
              <w:bottom w:val="single" w:color="999999" w:sz="4" w:space="0"/>
            </w:tcBorders>
            <w:shd w:val="clear" w:color="auto" w:fill="FFFFFF"/>
            <w:noWrap w:val="0"/>
            <w:vAlign w:val="top"/>
          </w:tcPr>
          <w:p>
            <w:pPr>
              <w:widowControl w:val="0"/>
              <w:numPr>
                <w:ilvl w:val="0"/>
                <w:numId w:val="4"/>
              </w:numPr>
              <w:overflowPunct/>
              <w:snapToGrid w:val="0"/>
              <w:spacing w:line="480" w:lineRule="auto"/>
              <w:ind w:left="180" w:right="-180" w:hanging="89"/>
            </w:pPr>
            <w:r>
              <w:rPr>
                <w:rFonts w:ascii="Times New Roman" w:hAnsi="Times New Roman" w:cs="Times New Roman"/>
              </w:rPr>
              <w:t xml:space="preserve">I-a   e4e2 </w:t>
            </w:r>
          </w:p>
          <w:p>
            <w:pPr>
              <w:widowControl w:val="0"/>
              <w:overflowPunct/>
              <w:snapToGrid w:val="0"/>
              <w:spacing w:line="480" w:lineRule="auto"/>
              <w:ind w:right="-180"/>
            </w:pPr>
            <w:r>
              <w:rPr>
                <w:rFonts w:ascii="Times New Roman" w:hAnsi="Times New Roman" w:eastAsia="Times New Roman" w:cs="Times New Roman"/>
              </w:rPr>
              <w:t xml:space="preserve">               </w:t>
            </w:r>
          </w:p>
          <w:p>
            <w:pPr>
              <w:widowControl w:val="0"/>
              <w:numPr>
                <w:ilvl w:val="0"/>
                <w:numId w:val="4"/>
              </w:numPr>
              <w:overflowPunct/>
              <w:snapToGrid w:val="0"/>
              <w:spacing w:line="480" w:lineRule="auto"/>
              <w:ind w:left="180" w:right="-180" w:hanging="180"/>
            </w:pPr>
            <w:r>
              <w:rPr>
                <w:rFonts w:ascii="Times New Roman" w:hAnsi="Times New Roman" w:cs="Times New Roman"/>
              </w:rPr>
              <w:t xml:space="preserve">II-a  e5e2 </w:t>
            </w:r>
          </w:p>
        </w:tc>
        <w:tc>
          <w:tcPr>
            <w:tcW w:w="2976" w:type="dxa"/>
            <w:tcBorders>
              <w:top w:val="single" w:color="999999" w:sz="4" w:space="0"/>
              <w:left w:val="single" w:color="999999" w:sz="4" w:space="0"/>
              <w:bottom w:val="single" w:color="999999" w:sz="4" w:space="0"/>
            </w:tcBorders>
            <w:shd w:val="clear" w:color="auto" w:fill="FFFFFF"/>
            <w:noWrap w:val="0"/>
            <w:vAlign w:val="top"/>
          </w:tcPr>
          <w:p>
            <w:pPr>
              <w:widowControl w:val="0"/>
              <w:numPr>
                <w:ilvl w:val="0"/>
                <w:numId w:val="5"/>
              </w:numPr>
              <w:overflowPunct/>
              <w:snapToGrid w:val="0"/>
              <w:spacing w:line="480" w:lineRule="auto"/>
              <w:ind w:left="180" w:hanging="89"/>
            </w:pPr>
            <w:r>
              <w:rPr>
                <w:rFonts w:ascii="Times New Roman" w:hAnsi="Times New Roman" w:cs="Times New Roman"/>
              </w:rPr>
              <w:t xml:space="preserve">I   Chr1:205,661,860 </w:t>
            </w:r>
          </w:p>
          <w:p>
            <w:pPr>
              <w:widowControl w:val="0"/>
              <w:overflowPunct/>
              <w:snapToGrid w:val="0"/>
              <w:spacing w:line="480" w:lineRule="auto"/>
            </w:pPr>
            <w:r>
              <w:rPr>
                <w:rFonts w:ascii="Times New Roman" w:hAnsi="Times New Roman" w:eastAsia="Times New Roman" w:cs="Times New Roman"/>
              </w:rPr>
              <w:t xml:space="preserve">           </w:t>
            </w:r>
            <w:r>
              <w:rPr>
                <w:rFonts w:ascii="Times New Roman" w:hAnsi="Times New Roman" w:cs="Times New Roman"/>
              </w:rPr>
              <w:t>(after exon 4)</w:t>
            </w:r>
          </w:p>
          <w:p>
            <w:pPr>
              <w:widowControl w:val="0"/>
              <w:numPr>
                <w:ilvl w:val="0"/>
                <w:numId w:val="5"/>
              </w:numPr>
              <w:overflowPunct/>
              <w:snapToGrid w:val="0"/>
              <w:spacing w:line="480" w:lineRule="auto"/>
              <w:ind w:left="180" w:hanging="89"/>
            </w:pPr>
            <w:r>
              <w:rPr>
                <w:rFonts w:ascii="Times New Roman" w:hAnsi="Times New Roman" w:cs="Times New Roman"/>
              </w:rPr>
              <w:t>II  Chr1:205,659,488</w:t>
            </w:r>
          </w:p>
          <w:p>
            <w:pPr>
              <w:widowControl w:val="0"/>
              <w:overflowPunct/>
              <w:snapToGrid w:val="0"/>
              <w:spacing w:line="480" w:lineRule="auto"/>
            </w:pPr>
            <w:r>
              <w:rPr>
                <w:rFonts w:ascii="Times New Roman" w:hAnsi="Times New Roman" w:eastAsia="Times New Roman" w:cs="Times New Roman"/>
              </w:rPr>
              <w:t xml:space="preserve">           </w:t>
            </w:r>
            <w:r>
              <w:rPr>
                <w:rFonts w:ascii="Times New Roman" w:hAnsi="Times New Roman" w:cs="Times New Roman"/>
              </w:rPr>
              <w:t>(within exon 5)</w:t>
            </w:r>
          </w:p>
        </w:tc>
        <w:tc>
          <w:tcPr>
            <w:tcW w:w="2534" w:type="dxa"/>
            <w:tcBorders>
              <w:top w:val="single" w:color="999999" w:sz="4" w:space="0"/>
              <w:left w:val="single" w:color="999999" w:sz="4" w:space="0"/>
              <w:bottom w:val="single" w:color="999999" w:sz="4" w:space="0"/>
            </w:tcBorders>
            <w:shd w:val="clear" w:color="auto" w:fill="FFFFFF"/>
            <w:noWrap w:val="0"/>
            <w:vAlign w:val="top"/>
          </w:tcPr>
          <w:p>
            <w:pPr>
              <w:widowControl w:val="0"/>
              <w:numPr>
                <w:ilvl w:val="0"/>
                <w:numId w:val="6"/>
              </w:numPr>
              <w:overflowPunct/>
              <w:snapToGrid w:val="0"/>
              <w:spacing w:line="480" w:lineRule="auto"/>
              <w:ind w:left="180" w:hanging="89"/>
            </w:pPr>
            <w:r>
              <w:rPr>
                <w:rFonts w:ascii="Times New Roman" w:hAnsi="Times New Roman" w:eastAsia="Times New Roman" w:cs="Times New Roman"/>
              </w:rPr>
              <w:t xml:space="preserve"> </w:t>
            </w:r>
            <w:r>
              <w:rPr>
                <w:rFonts w:ascii="Times New Roman" w:hAnsi="Times New Roman" w:cs="Times New Roman"/>
              </w:rPr>
              <w:t xml:space="preserve">a   Chr1:205,623,890 </w:t>
            </w:r>
          </w:p>
          <w:p>
            <w:pPr>
              <w:widowControl w:val="0"/>
              <w:overflowPunct/>
              <w:snapToGrid w:val="0"/>
              <w:spacing w:line="480" w:lineRule="auto"/>
            </w:pPr>
            <w:r>
              <w:rPr>
                <w:rFonts w:ascii="Times New Roman" w:hAnsi="Times New Roman" w:eastAsia="Times New Roman" w:cs="Times New Roman"/>
              </w:rPr>
              <w:t xml:space="preserve">             </w:t>
            </w:r>
            <w:r>
              <w:rPr>
                <w:rFonts w:ascii="Times New Roman" w:hAnsi="Times New Roman" w:cs="Times New Roman"/>
              </w:rPr>
              <w:t>(before exon 2)</w:t>
            </w:r>
          </w:p>
        </w:tc>
        <w:tc>
          <w:tcPr>
            <w:tcW w:w="2157" w:type="dxa"/>
            <w:tcBorders>
              <w:top w:val="single" w:color="999999" w:sz="4" w:space="0"/>
              <w:left w:val="single" w:color="999999" w:sz="4" w:space="0"/>
              <w:bottom w:val="single" w:color="999999" w:sz="4" w:space="0"/>
              <w:right w:val="single" w:color="999999" w:sz="4" w:space="0"/>
            </w:tcBorders>
            <w:shd w:val="clear" w:color="auto" w:fill="FFFFFF"/>
            <w:noWrap w:val="0"/>
            <w:vAlign w:val="top"/>
          </w:tcPr>
          <w:p>
            <w:pPr>
              <w:widowControl w:val="0"/>
              <w:overflowPunct/>
              <w:snapToGrid w:val="0"/>
              <w:spacing w:line="480" w:lineRule="auto"/>
              <w:jc w:val="right"/>
            </w:pPr>
            <w:r>
              <w:rPr>
                <w:rFonts w:ascii="Times New Roman" w:hAnsi="Times New Roman" w:cs="Times New Roman"/>
              </w:rPr>
              <w:t xml:space="preserve">37,970 </w:t>
            </w:r>
          </w:p>
          <w:p>
            <w:pPr>
              <w:widowControl w:val="0"/>
              <w:overflowPunct/>
              <w:snapToGrid w:val="0"/>
              <w:spacing w:line="480" w:lineRule="auto"/>
              <w:jc w:val="right"/>
              <w:rPr>
                <w:rFonts w:ascii="Times New Roman" w:hAnsi="Times New Roman" w:cs="Times New Roman"/>
              </w:rPr>
            </w:pPr>
          </w:p>
          <w:p>
            <w:pPr>
              <w:widowControl w:val="0"/>
              <w:overflowPunct/>
              <w:snapToGrid w:val="0"/>
              <w:spacing w:line="480" w:lineRule="auto"/>
              <w:jc w:val="right"/>
            </w:pPr>
            <w:r>
              <w:rPr>
                <w:rFonts w:ascii="Times New Roman" w:hAnsi="Times New Roman" w:cs="Times New Roman"/>
              </w:rPr>
              <w:t>35,598</w:t>
            </w:r>
          </w:p>
        </w:tc>
      </w:tr>
    </w:tbl>
    <w:p>
      <w:pPr>
        <w:pStyle w:val="4"/>
        <w:overflowPunct/>
        <w:spacing w:before="0" w:after="0" w:line="480" w:lineRule="auto"/>
        <w:ind w:left="0" w:firstLine="0"/>
      </w:pPr>
      <w:bookmarkStart w:id="8" w:name="_45k63pui5je3"/>
      <w:bookmarkEnd w:id="8"/>
      <w:r>
        <w:rPr>
          <w:rFonts w:ascii="Times New Roman" w:hAnsi="Times New Roman" w:cs="Times New Roman"/>
          <w:i/>
        </w:rPr>
        <w:t xml:space="preserve">SLC45A3-ELK4 </w:t>
      </w:r>
      <w:r>
        <w:rPr>
          <w:rFonts w:ascii="Times New Roman" w:hAnsi="Times New Roman" w:cs="Times New Roman"/>
        </w:rPr>
        <w:t>localisation in the remaining clinical tissue samples</w:t>
      </w:r>
    </w:p>
    <w:p>
      <w:pPr>
        <w:pStyle w:val="4"/>
        <w:overflowPunct/>
        <w:spacing w:before="0" w:after="0" w:line="480" w:lineRule="auto"/>
        <w:ind w:left="0" w:firstLine="0"/>
        <w:rPr>
          <w:rFonts w:ascii="Times New Roman" w:hAnsi="Times New Roman" w:cs="Times New Roman"/>
        </w:rPr>
      </w:pPr>
      <w:r>
        <w:drawing>
          <wp:anchor distT="0" distB="0" distL="0" distR="0" simplePos="0" relativeHeight="251660288" behindDoc="0" locked="0" layoutInCell="1" allowOverlap="1">
            <wp:simplePos x="0" y="0"/>
            <wp:positionH relativeFrom="column">
              <wp:align>center</wp:align>
            </wp:positionH>
            <wp:positionV relativeFrom="paragraph">
              <wp:posOffset>635</wp:posOffset>
            </wp:positionV>
            <wp:extent cx="6132195" cy="8626475"/>
            <wp:effectExtent l="0" t="0" r="20955" b="12065"/>
            <wp:wrapSquare wrapText="larges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6132195" cy="8626475"/>
                    </a:xfrm>
                    <a:prstGeom prst="rect">
                      <a:avLst/>
                    </a:prstGeom>
                    <a:solidFill>
                      <a:srgbClr val="FFFFFF"/>
                    </a:solidFill>
                    <a:ln>
                      <a:noFill/>
                    </a:ln>
                  </pic:spPr>
                </pic:pic>
              </a:graphicData>
            </a:graphic>
          </wp:anchor>
        </w:drawing>
      </w:r>
      <w:r>
        <w:drawing>
          <wp:anchor distT="0" distB="0" distL="0" distR="0" simplePos="0" relativeHeight="251661312" behindDoc="0" locked="0" layoutInCell="1" allowOverlap="1">
            <wp:simplePos x="0" y="0"/>
            <wp:positionH relativeFrom="column">
              <wp:align>center</wp:align>
            </wp:positionH>
            <wp:positionV relativeFrom="paragraph">
              <wp:posOffset>635</wp:posOffset>
            </wp:positionV>
            <wp:extent cx="6132195" cy="8626475"/>
            <wp:effectExtent l="0" t="0" r="20955" b="12065"/>
            <wp:wrapSquare wrapText="largest"/>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pic:cNvPicPr>
                  </pic:nvPicPr>
                  <pic:blipFill>
                    <a:blip r:embed="rId10"/>
                    <a:stretch>
                      <a:fillRect/>
                    </a:stretch>
                  </pic:blipFill>
                  <pic:spPr>
                    <a:xfrm>
                      <a:off x="0" y="0"/>
                      <a:ext cx="6132195" cy="8626475"/>
                    </a:xfrm>
                    <a:prstGeom prst="rect">
                      <a:avLst/>
                    </a:prstGeom>
                    <a:solidFill>
                      <a:srgbClr val="FFFFFF"/>
                    </a:solidFill>
                    <a:ln>
                      <a:noFill/>
                    </a:ln>
                  </pic:spPr>
                </pic:pic>
              </a:graphicData>
            </a:graphic>
          </wp:anchor>
        </w:drawing>
      </w:r>
    </w:p>
    <w:p>
      <w:pPr>
        <w:shd w:val="clear" w:color="auto" w:fill="FFFFFF"/>
        <w:overflowPunct/>
        <w:spacing w:line="480" w:lineRule="auto"/>
      </w:pPr>
      <w:r>
        <w:rPr>
          <w:rFonts w:ascii="Times New Roman" w:hAnsi="Times New Roman" w:cs="Times New Roman"/>
          <w:b/>
          <w:sz w:val="22"/>
          <w:szCs w:val="22"/>
        </w:rPr>
        <w:t xml:space="preserve">Figure S2. Factor activity maps compared to cis-SAGe occurrence for the twelve clinical tissue samples. </w:t>
      </w:r>
      <w:r>
        <w:rPr>
          <w:rFonts w:ascii="Times New Roman" w:hAnsi="Times New Roman" w:cs="Times New Roman"/>
          <w:sz w:val="22"/>
          <w:szCs w:val="22"/>
        </w:rPr>
        <w:t xml:space="preserve">Activity maps for transcriptomics factors “Normal glands”, “Inflammation”, “Normal and PIN glands” and “Cancer” were compared to cis-SAGe </w:t>
      </w:r>
      <w:r>
        <w:rPr>
          <w:rFonts w:ascii="Times New Roman" w:hAnsi="Times New Roman" w:cs="Times New Roman"/>
          <w:i/>
          <w:sz w:val="22"/>
          <w:szCs w:val="22"/>
        </w:rPr>
        <w:t>SLC45A3-ELK4</w:t>
      </w:r>
      <w:r>
        <w:rPr>
          <w:rFonts w:ascii="Times New Roman" w:hAnsi="Times New Roman" w:cs="Times New Roman"/>
          <w:sz w:val="22"/>
          <w:szCs w:val="22"/>
        </w:rPr>
        <w:t xml:space="preserve"> occurrence. The factor activity maps were based on a joined approach for 12 samples. </w:t>
      </w:r>
    </w:p>
    <w:p>
      <w:pPr>
        <w:shd w:val="clear" w:color="auto" w:fill="FFFFFF"/>
        <w:overflowPunct/>
        <w:spacing w:line="480" w:lineRule="auto"/>
        <w:rPr>
          <w:rFonts w:cs="Times New Roman"/>
        </w:rPr>
      </w:pPr>
    </w:p>
    <w:p>
      <w:pPr>
        <w:pStyle w:val="4"/>
        <w:shd w:val="clear" w:color="auto" w:fill="FFFFFF"/>
        <w:overflowPunct/>
        <w:spacing w:before="0" w:after="0" w:line="480" w:lineRule="auto"/>
        <w:ind w:left="0" w:firstLine="0"/>
      </w:pPr>
      <w:bookmarkStart w:id="9" w:name="_sgno50j7b5gj"/>
      <w:bookmarkEnd w:id="9"/>
      <w:r>
        <w:rPr>
          <w:rFonts w:ascii="Times New Roman" w:hAnsi="Times New Roman" w:cs="Times New Roman"/>
        </w:rPr>
        <w:t>Differentially expressed genes and p</w:t>
      </w:r>
      <w:r>
        <w:rPr>
          <w:rFonts w:ascii="Times New Roman" w:hAnsi="Times New Roman" w:cs="Times New Roman"/>
          <w:color w:val="000000"/>
        </w:rPr>
        <w:t xml:space="preserve">athway annotation </w:t>
      </w:r>
    </w:p>
    <w:p>
      <w:pPr>
        <w:overflowPunct/>
        <w:spacing w:line="480" w:lineRule="auto"/>
      </w:pPr>
      <w:r>
        <w:rPr>
          <w:rFonts w:ascii="Times New Roman" w:hAnsi="Times New Roman" w:cs="Times New Roman"/>
          <w:sz w:val="22"/>
          <w:szCs w:val="22"/>
        </w:rPr>
        <w:t xml:space="preserve">For an in-depth comparison of different intensities of a fusion transcript </w:t>
      </w:r>
      <w:r>
        <w:rPr>
          <w:rFonts w:ascii="Times New Roman" w:hAnsi="Times New Roman" w:cs="Times New Roman"/>
          <w:i/>
          <w:sz w:val="22"/>
          <w:szCs w:val="22"/>
        </w:rPr>
        <w:t xml:space="preserve">SLC45A3-ELK4 </w:t>
      </w:r>
      <w:r>
        <w:rPr>
          <w:rFonts w:ascii="Times New Roman" w:hAnsi="Times New Roman" w:cs="Times New Roman"/>
          <w:sz w:val="22"/>
          <w:szCs w:val="22"/>
        </w:rPr>
        <w:t xml:space="preserve">occurrence or absence in sample 1.2, the sample with the highest data quality among the tissue samples, three comparisons were performed (Figure S3): </w:t>
      </w:r>
    </w:p>
    <w:p>
      <w:pPr>
        <w:overflowPunct/>
        <w:spacing w:line="480" w:lineRule="auto"/>
      </w:pPr>
      <w:r>
        <w:rPr>
          <w:rFonts w:ascii="Times New Roman" w:hAnsi="Times New Roman" w:cs="Times New Roman"/>
          <w:sz w:val="22"/>
          <w:szCs w:val="22"/>
        </w:rPr>
        <w:t xml:space="preserve">(i) </w:t>
      </w:r>
      <w:r>
        <w:rPr>
          <w:rFonts w:ascii="Times New Roman" w:hAnsi="Times New Roman" w:cs="Times New Roman"/>
          <w:sz w:val="22"/>
          <w:szCs w:val="22"/>
        </w:rPr>
        <w:tab/>
      </w:r>
      <w:r>
        <w:rPr>
          <w:rFonts w:ascii="Times New Roman" w:hAnsi="Times New Roman" w:cs="Times New Roman"/>
          <w:sz w:val="22"/>
          <w:szCs w:val="22"/>
        </w:rPr>
        <w:t xml:space="preserve">Mild absence versus strong absence </w:t>
      </w:r>
    </w:p>
    <w:p>
      <w:pPr>
        <w:overflowPunct/>
        <w:spacing w:line="480" w:lineRule="auto"/>
      </w:pPr>
      <w:r>
        <w:rPr>
          <w:rFonts w:ascii="Times New Roman" w:hAnsi="Times New Roman" w:cs="Times New Roman"/>
          <w:sz w:val="22"/>
          <w:szCs w:val="22"/>
        </w:rPr>
        <w:t>(ii)</w:t>
      </w:r>
      <w:r>
        <w:rPr>
          <w:rFonts w:ascii="Times New Roman" w:hAnsi="Times New Roman" w:cs="Times New Roman"/>
          <w:sz w:val="22"/>
          <w:szCs w:val="22"/>
        </w:rPr>
        <w:tab/>
      </w:r>
      <w:r>
        <w:rPr>
          <w:rFonts w:ascii="Times New Roman" w:hAnsi="Times New Roman" w:cs="Times New Roman"/>
          <w:sz w:val="22"/>
          <w:szCs w:val="22"/>
        </w:rPr>
        <w:t>Strong absence versus strong occurrence</w:t>
      </w:r>
    </w:p>
    <w:p>
      <w:pPr>
        <w:overflowPunct/>
        <w:spacing w:line="480" w:lineRule="auto"/>
      </w:pPr>
      <w:r>
        <w:rPr>
          <w:rFonts w:ascii="Times New Roman" w:hAnsi="Times New Roman" w:cs="Times New Roman"/>
          <w:sz w:val="22"/>
          <w:szCs w:val="22"/>
        </w:rPr>
        <w:t>(iii)</w:t>
      </w:r>
      <w:r>
        <w:rPr>
          <w:rFonts w:ascii="Times New Roman" w:hAnsi="Times New Roman" w:cs="Times New Roman"/>
          <w:sz w:val="22"/>
          <w:szCs w:val="22"/>
        </w:rPr>
        <w:tab/>
      </w:r>
      <w:r>
        <w:rPr>
          <w:rFonts w:ascii="Times New Roman" w:hAnsi="Times New Roman" w:cs="Times New Roman"/>
          <w:sz w:val="22"/>
          <w:szCs w:val="22"/>
        </w:rPr>
        <w:t>Strong occurrence versus mild occurrence</w:t>
      </w:r>
    </w:p>
    <w:p>
      <w:pPr>
        <w:overflowPunct/>
        <w:spacing w:line="480" w:lineRule="auto"/>
        <w:rPr>
          <w:rFonts w:ascii="Times New Roman" w:hAnsi="Times New Roman" w:cs="Times New Roman"/>
          <w:sz w:val="22"/>
          <w:szCs w:val="22"/>
        </w:rPr>
      </w:pPr>
    </w:p>
    <w:p>
      <w:pPr>
        <w:overflowPunct/>
        <w:spacing w:line="480" w:lineRule="auto"/>
        <w:rPr>
          <w:rFonts w:ascii="Times New Roman" w:hAnsi="Times New Roman" w:cs="Times New Roman"/>
          <w:sz w:val="22"/>
          <w:szCs w:val="22"/>
        </w:rPr>
      </w:pPr>
      <w:r>
        <w:rPr>
          <w:rFonts w:ascii="Times New Roman" w:hAnsi="Times New Roman" w:cs="Times New Roman"/>
          <w:sz w:val="22"/>
          <w:szCs w:val="22"/>
        </w:rPr>
        <w:t>To assign a spot to the groups “strong” or “mild”, these C-score thresholds were applied regardless of an annotation as stroma or epithelial:</w:t>
      </w:r>
    </w:p>
    <w:p>
      <w:pPr>
        <w:pageBreakBefore w:val="0"/>
        <w:numPr>
          <w:ilvl w:val="0"/>
          <w:numId w:val="0"/>
        </w:numPr>
        <w:tabs>
          <w:tab w:val="left" w:pos="542"/>
          <w:tab w:val="left" w:pos="2849"/>
        </w:tabs>
        <w:overflowPunct w:val="0"/>
        <w:bidi w:val="0"/>
        <w:snapToGrid/>
        <w:spacing w:before="0" w:after="0" w:line="480" w:lineRule="auto"/>
        <w:ind w:left="0" w:right="0" w:firstLine="0"/>
        <w:jc w:val="left"/>
        <w:textAlignment w:val="auto"/>
        <w:outlineLvl w:val="0"/>
        <w:rPr>
          <w:rFonts w:ascii="Times New Roman" w:hAnsi="Times New Roman"/>
          <w:sz w:val="20"/>
          <w:szCs w:val="20"/>
        </w:rPr>
      </w:pPr>
      <w:r>
        <w:rPr>
          <w:rFonts w:ascii="Times New Roman" w:hAnsi="Times New Roman" w:cs="Times New Roman"/>
          <w:sz w:val="22"/>
          <w:szCs w:val="22"/>
        </w:rPr>
        <w:t>(i)</w:t>
      </w:r>
      <w:r>
        <w:rPr>
          <w:rFonts w:ascii="Times New Roman" w:hAnsi="Times New Roman" w:cs="Times New Roman"/>
          <w:sz w:val="22"/>
          <w:szCs w:val="22"/>
        </w:rPr>
        <w:tab/>
      </w:r>
      <w:r>
        <w:rPr>
          <w:rFonts w:ascii="Times New Roman" w:hAnsi="Times New Roman" w:cs="Times New Roman"/>
          <w:sz w:val="22"/>
          <w:szCs w:val="22"/>
        </w:rPr>
        <w:t>Strong absence</w:t>
      </w:r>
      <w:r>
        <w:rPr>
          <w:rFonts w:ascii="Times New Roman" w:hAnsi="Times New Roman" w:cs="Times New Roman"/>
          <w:sz w:val="22"/>
          <w:szCs w:val="22"/>
        </w:rPr>
        <w:tab/>
      </w:r>
      <m:oMath>
        <m:r>
          <m:rPr/>
          <w:rPr>
            <w:rFonts w:ascii="Cambria Math" w:hAnsi="Cambria Math"/>
            <w:sz w:val="20"/>
            <w:szCs w:val="20"/>
          </w:rPr>
          <m:t>˗2.0&lt;C˗score</m:t>
        </m:r>
      </m:oMath>
    </w:p>
    <w:p>
      <w:pPr>
        <w:pageBreakBefore w:val="0"/>
        <w:numPr>
          <w:ilvl w:val="0"/>
          <w:numId w:val="0"/>
        </w:numPr>
        <w:tabs>
          <w:tab w:val="left" w:pos="542"/>
          <w:tab w:val="left" w:pos="2849"/>
        </w:tabs>
        <w:overflowPunct w:val="0"/>
        <w:bidi w:val="0"/>
        <w:snapToGrid/>
        <w:spacing w:before="0" w:after="0" w:line="480" w:lineRule="auto"/>
        <w:ind w:left="0" w:right="0" w:firstLine="0"/>
        <w:jc w:val="left"/>
        <w:textAlignment w:val="auto"/>
        <w:outlineLvl w:val="0"/>
        <w:rPr>
          <w:rFonts w:ascii="Times New Roman" w:hAnsi="Times New Roman"/>
          <w:sz w:val="22"/>
          <w:szCs w:val="22"/>
        </w:rPr>
      </w:pPr>
      <w:r>
        <w:rPr>
          <w:rFonts w:ascii="Times New Roman" w:hAnsi="Times New Roman" w:cs="Times New Roman"/>
          <w:sz w:val="22"/>
          <w:szCs w:val="22"/>
        </w:rPr>
        <w:t>(ii)</w:t>
      </w:r>
      <w:r>
        <w:rPr>
          <w:rFonts w:ascii="Times New Roman" w:hAnsi="Times New Roman" w:cs="Times New Roman"/>
          <w:sz w:val="22"/>
          <w:szCs w:val="22"/>
        </w:rPr>
        <w:tab/>
      </w:r>
      <w:r>
        <w:rPr>
          <w:rFonts w:ascii="Times New Roman" w:hAnsi="Times New Roman" w:cs="Times New Roman"/>
          <w:sz w:val="22"/>
          <w:szCs w:val="22"/>
        </w:rPr>
        <w:t>Mild absence</w:t>
      </w:r>
      <w:r>
        <w:rPr>
          <w:rFonts w:ascii="Times New Roman" w:hAnsi="Times New Roman" w:cs="Times New Roman"/>
          <w:sz w:val="22"/>
          <w:szCs w:val="22"/>
        </w:rPr>
        <w:tab/>
      </w:r>
      <m:oMath>
        <m:r>
          <m:rPr/>
          <w:rPr>
            <w:rFonts w:ascii="Cambria Math" w:hAnsi="Cambria Math"/>
            <w:sz w:val="20"/>
            <w:szCs w:val="20"/>
          </w:rPr>
          <m:t>˗1.0&lt;C˗score&lt;˗MSD</m:t>
        </m:r>
      </m:oMath>
      <w:r>
        <w:rPr>
          <w:rFonts w:ascii="Times New Roman" w:hAnsi="Times New Roman" w:cs="Times New Roman"/>
          <w:sz w:val="22"/>
          <w:szCs w:val="22"/>
        </w:rPr>
        <w:t xml:space="preserve"> </w:t>
      </w:r>
    </w:p>
    <w:p>
      <w:pPr>
        <w:pageBreakBefore w:val="0"/>
        <w:numPr>
          <w:ilvl w:val="0"/>
          <w:numId w:val="0"/>
        </w:numPr>
        <w:tabs>
          <w:tab w:val="left" w:pos="542"/>
          <w:tab w:val="left" w:pos="2849"/>
        </w:tabs>
        <w:overflowPunct w:val="0"/>
        <w:bidi w:val="0"/>
        <w:snapToGrid/>
        <w:spacing w:before="0" w:after="0" w:line="480" w:lineRule="auto"/>
        <w:ind w:left="0" w:right="0" w:firstLine="0"/>
        <w:jc w:val="left"/>
        <w:textAlignment w:val="auto"/>
        <w:outlineLvl w:val="0"/>
        <w:rPr>
          <w:rFonts w:ascii="Times New Roman" w:hAnsi="Times New Roman"/>
          <w:sz w:val="22"/>
          <w:szCs w:val="22"/>
        </w:rPr>
      </w:pPr>
      <w:r>
        <w:rPr>
          <w:rFonts w:ascii="Times New Roman" w:hAnsi="Times New Roman" w:cs="Times New Roman"/>
          <w:sz w:val="22"/>
          <w:szCs w:val="22"/>
        </w:rPr>
        <w:t>(iii)</w:t>
      </w:r>
      <w:r>
        <w:rPr>
          <w:rFonts w:ascii="Times New Roman" w:hAnsi="Times New Roman" w:cs="Times New Roman"/>
          <w:sz w:val="22"/>
          <w:szCs w:val="22"/>
        </w:rPr>
        <w:tab/>
      </w:r>
      <w:r>
        <w:rPr>
          <w:rFonts w:ascii="Times New Roman" w:hAnsi="Times New Roman" w:cs="Times New Roman"/>
          <w:sz w:val="22"/>
          <w:szCs w:val="22"/>
        </w:rPr>
        <w:t>Mild occurrence</w:t>
      </w:r>
      <w:r>
        <w:rPr>
          <w:rFonts w:ascii="Times New Roman" w:hAnsi="Times New Roman" w:cs="Times New Roman"/>
          <w:sz w:val="22"/>
          <w:szCs w:val="22"/>
        </w:rPr>
        <w:tab/>
      </w:r>
      <w:bookmarkStart w:id="10" w:name="__DdeLink__129757_878174971"/>
      <m:oMath>
        <m:r>
          <m:rPr/>
          <w:rPr>
            <w:rFonts w:ascii="Cambria Math" w:hAnsi="Cambria Math"/>
          </w:rPr>
          <m:t>MSD&lt;C−score&lt;1.0</m:t>
        </m:r>
      </m:oMath>
      <w:bookmarkEnd w:id="10"/>
      <w:r>
        <w:rPr>
          <w:rFonts w:ascii="Times New Roman" w:hAnsi="Times New Roman" w:cs="Times New Roman"/>
          <w:sz w:val="22"/>
          <w:szCs w:val="22"/>
        </w:rPr>
        <w:t xml:space="preserve"> </w:t>
      </w:r>
    </w:p>
    <w:p>
      <w:pPr>
        <w:pageBreakBefore w:val="0"/>
        <w:numPr>
          <w:ilvl w:val="0"/>
          <w:numId w:val="0"/>
        </w:numPr>
        <w:tabs>
          <w:tab w:val="left" w:pos="542"/>
          <w:tab w:val="left" w:pos="2849"/>
        </w:tabs>
        <w:overflowPunct w:val="0"/>
        <w:bidi w:val="0"/>
        <w:snapToGrid/>
        <w:spacing w:before="0" w:after="0" w:line="480" w:lineRule="auto"/>
        <w:ind w:left="0" w:right="0" w:firstLine="0"/>
        <w:jc w:val="left"/>
        <w:textAlignment w:val="auto"/>
        <w:outlineLvl w:val="0"/>
        <w:rPr>
          <w:rFonts w:ascii="Times New Roman" w:hAnsi="Times New Roman"/>
          <w:sz w:val="22"/>
          <w:szCs w:val="22"/>
        </w:rPr>
      </w:pPr>
      <w:r>
        <w:rPr>
          <w:rFonts w:ascii="Times New Roman" w:hAnsi="Times New Roman" w:cs="Times New Roman"/>
          <w:sz w:val="22"/>
          <w:szCs w:val="22"/>
        </w:rPr>
        <w:t>(iv)</w:t>
      </w:r>
      <w:r>
        <w:rPr>
          <w:rFonts w:ascii="Times New Roman" w:hAnsi="Times New Roman" w:cs="Times New Roman"/>
          <w:sz w:val="22"/>
          <w:szCs w:val="22"/>
        </w:rPr>
        <w:tab/>
      </w:r>
      <w:r>
        <w:rPr>
          <w:rFonts w:ascii="Times New Roman" w:hAnsi="Times New Roman" w:cs="Times New Roman"/>
          <w:sz w:val="22"/>
          <w:szCs w:val="22"/>
        </w:rPr>
        <w:t>Strong occurrence</w:t>
      </w:r>
      <w:r>
        <w:rPr>
          <w:rFonts w:ascii="Times New Roman" w:hAnsi="Times New Roman" w:cs="Times New Roman"/>
          <w:sz w:val="22"/>
          <w:szCs w:val="22"/>
        </w:rPr>
        <w:tab/>
      </w:r>
      <m:oMath>
        <m:r>
          <m:rPr/>
          <w:rPr>
            <w:rFonts w:ascii="Cambria Math" w:hAnsi="Cambria Math"/>
          </w:rPr>
          <m:t>2.0&lt;</m:t>
        </m:r>
        <w:bookmarkStart w:id="16" w:name="_GoBack"/>
        <w:bookmarkEnd w:id="16"/>
        <m:r>
          <m:rPr/>
          <w:rPr>
            <w:rFonts w:ascii="Cambria Math" w:hAnsi="Cambria Math"/>
          </w:rPr>
          <m:t>C−score</m:t>
        </m:r>
      </m:oMath>
      <w:r>
        <w:rPr>
          <w:rFonts w:ascii="Times New Roman" w:hAnsi="Times New Roman" w:cs="Times New Roman"/>
          <w:sz w:val="22"/>
          <w:szCs w:val="22"/>
        </w:rPr>
        <w:t xml:space="preserve"> </w:t>
      </w: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pPr>
      <w:r>
        <w:rPr>
          <w:rFonts w:eastAsia="Arial"/>
          <w:b/>
        </w:rPr>
        <w:drawing>
          <wp:anchor distT="0" distB="0" distL="0" distR="0" simplePos="0" relativeHeight="6144" behindDoc="0" locked="0" layoutInCell="1" allowOverlap="1">
            <wp:simplePos x="0" y="0"/>
            <wp:positionH relativeFrom="column">
              <wp:posOffset>0</wp:posOffset>
            </wp:positionH>
            <wp:positionV relativeFrom="paragraph">
              <wp:posOffset>-6546850</wp:posOffset>
            </wp:positionV>
            <wp:extent cx="6134100" cy="8667115"/>
            <wp:effectExtent l="0" t="0" r="19050" b="19685"/>
            <wp:wrapSquare wrapText="largest"/>
            <wp:docPr id="6"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pic:cNvPicPr>
                      <a:picLocks noChangeAspect="1" noChangeArrowheads="1"/>
                    </pic:cNvPicPr>
                  </pic:nvPicPr>
                  <pic:blipFill>
                    <a:blip r:embed="rId11"/>
                    <a:stretch>
                      <a:fillRect/>
                    </a:stretch>
                  </pic:blipFill>
                  <pic:spPr>
                    <a:xfrm>
                      <a:off x="0" y="0"/>
                      <a:ext cx="6134100" cy="8667115"/>
                    </a:xfrm>
                    <a:prstGeom prst="rect">
                      <a:avLst/>
                    </a:prstGeom>
                  </pic:spPr>
                </pic:pic>
              </a:graphicData>
            </a:graphic>
          </wp:anchor>
        </w:drawing>
      </w:r>
      <w:r>
        <w:rPr>
          <w:rFonts w:ascii="Times New Roman" w:hAnsi="Times New Roman" w:cs="Times New Roman"/>
          <w:b/>
          <w:sz w:val="22"/>
          <w:szCs w:val="22"/>
        </w:rPr>
        <w:t>Figure S3.</w:t>
      </w:r>
      <w:r>
        <w:rPr>
          <w:rFonts w:ascii="Times New Roman" w:hAnsi="Times New Roman" w:cs="Times New Roman"/>
          <w:sz w:val="22"/>
          <w:szCs w:val="22"/>
        </w:rPr>
        <w:t xml:space="preserve"> Differential expression and pathway annotation of cis-SAGe occurence for sample 1.2. Epithelial areas were dominant in this sample (Berglund et al., 2018).</w:t>
      </w:r>
      <w:r>
        <w:rPr>
          <w:rFonts w:ascii="Times New Roman" w:hAnsi="Times New Roman" w:cs="Times New Roman"/>
          <w:b/>
          <w:sz w:val="22"/>
          <w:szCs w:val="22"/>
        </w:rPr>
        <w:t xml:space="preserve"> A</w:t>
      </w:r>
      <w:r>
        <w:rPr>
          <w:rFonts w:ascii="Times New Roman" w:hAnsi="Times New Roman" w:cs="Times New Roman"/>
          <w:sz w:val="22"/>
          <w:szCs w:val="22"/>
        </w:rPr>
        <w:t xml:space="preserve">  Depending on the C-score, four groups of spots were defined. Each of the four groups represents two levels (mild, strong) of cis-SAGe occurrence or absence. </w:t>
      </w:r>
      <w:r>
        <w:rPr>
          <w:rFonts w:ascii="Times New Roman" w:hAnsi="Times New Roman" w:cs="Times New Roman"/>
          <w:b/>
          <w:sz w:val="22"/>
          <w:szCs w:val="22"/>
        </w:rPr>
        <w:t xml:space="preserve">B - D </w:t>
      </w:r>
      <w:r>
        <w:rPr>
          <w:rFonts w:ascii="Times New Roman" w:hAnsi="Times New Roman" w:eastAsia="Sawasdee" w:cs="Times New Roman"/>
          <w:sz w:val="22"/>
          <w:szCs w:val="22"/>
        </w:rPr>
        <w:t>Significantly d</w:t>
      </w:r>
      <w:r>
        <w:rPr>
          <w:rFonts w:ascii="Times New Roman" w:hAnsi="Times New Roman" w:cs="Times New Roman"/>
          <w:sz w:val="22"/>
          <w:szCs w:val="22"/>
        </w:rPr>
        <w:t xml:space="preserve">ifferentially expressed genes (FDR, q &lt; 0.1) obtained from the comparisons of the four groups are presented. Significantly differentially expressed genes were submitted to PathwAX on the KEGG database. Enriched pathways are shown. </w:t>
      </w:r>
      <w:r>
        <w:rPr>
          <w:rFonts w:ascii="Times New Roman" w:hAnsi="Times New Roman" w:cs="Times New Roman"/>
          <w:b/>
          <w:sz w:val="22"/>
          <w:szCs w:val="22"/>
        </w:rPr>
        <w:t>B</w:t>
      </w:r>
      <w:r>
        <w:rPr>
          <w:rFonts w:ascii="Times New Roman" w:hAnsi="Times New Roman" w:cs="Times New Roman"/>
          <w:sz w:val="22"/>
          <w:szCs w:val="22"/>
        </w:rPr>
        <w:t xml:space="preserve"> Differential expression analysis and pathway annotation for the comparison of mild absence and strong absence. </w:t>
      </w:r>
      <w:r>
        <w:rPr>
          <w:rFonts w:ascii="Times New Roman" w:hAnsi="Times New Roman" w:cs="Times New Roman"/>
          <w:b/>
          <w:sz w:val="22"/>
          <w:szCs w:val="22"/>
        </w:rPr>
        <w:t>C</w:t>
      </w:r>
      <w:r>
        <w:rPr>
          <w:rFonts w:ascii="Times New Roman" w:hAnsi="Times New Roman" w:cs="Times New Roman"/>
          <w:sz w:val="22"/>
          <w:szCs w:val="22"/>
        </w:rPr>
        <w:t xml:space="preserve"> Differential expression analysis and pathway annotation for the comparison of strong absence and strong occurrence. </w:t>
      </w:r>
      <w:r>
        <w:rPr>
          <w:rFonts w:ascii="Times New Roman" w:hAnsi="Times New Roman" w:cs="Times New Roman"/>
          <w:b/>
          <w:sz w:val="22"/>
          <w:szCs w:val="22"/>
        </w:rPr>
        <w:t xml:space="preserve">D </w:t>
      </w:r>
      <w:r>
        <w:rPr>
          <w:rFonts w:ascii="Times New Roman" w:hAnsi="Times New Roman" w:cs="Times New Roman"/>
          <w:sz w:val="22"/>
          <w:szCs w:val="22"/>
        </w:rPr>
        <w:t>Differential expression analysis and pathway annotation for the comparison of strong occurrence and mild occurrence.</w:t>
      </w:r>
    </w:p>
    <w:p>
      <w:pPr>
        <w:shd w:val="clear" w:color="auto" w:fill="FFFFFF"/>
        <w:overflowPunct/>
        <w:spacing w:line="480" w:lineRule="auto"/>
      </w:pPr>
    </w:p>
    <w:p>
      <w:pPr>
        <w:spacing w:line="480" w:lineRule="auto"/>
      </w:pPr>
      <w:bookmarkStart w:id="11" w:name="_js7smvpx4owt"/>
      <w:bookmarkEnd w:id="11"/>
      <w:r>
        <w:rPr>
          <w:rFonts w:ascii="Times New Roman" w:hAnsi="Times New Roman" w:cs="Times New Roman"/>
          <w:b/>
          <w:bCs/>
          <w:sz w:val="22"/>
          <w:szCs w:val="22"/>
        </w:rPr>
        <w:t>Comparison of mild absence and strong absence</w:t>
      </w:r>
    </w:p>
    <w:p>
      <w:pPr>
        <w:spacing w:line="480" w:lineRule="auto"/>
      </w:pPr>
      <w:r>
        <w:rPr>
          <w:rFonts w:ascii="Times New Roman" w:hAnsi="Times New Roman" w:cs="Times New Roman"/>
          <w:sz w:val="22"/>
          <w:szCs w:val="22"/>
        </w:rPr>
        <w:t xml:space="preserve">In spots with low </w:t>
      </w:r>
      <w:r>
        <w:rPr>
          <w:rFonts w:ascii="Times New Roman" w:hAnsi="Times New Roman" w:cs="Times New Roman"/>
          <w:i/>
          <w:sz w:val="22"/>
          <w:szCs w:val="22"/>
        </w:rPr>
        <w:t>SLC45A3</w:t>
      </w:r>
      <w:r>
        <w:rPr>
          <w:rFonts w:ascii="Times New Roman" w:hAnsi="Times New Roman" w:cs="Times New Roman"/>
          <w:sz w:val="22"/>
          <w:szCs w:val="22"/>
        </w:rPr>
        <w:t xml:space="preserve"> expression (light blue), the genes </w:t>
      </w:r>
      <w:r>
        <w:rPr>
          <w:rFonts w:ascii="Times New Roman" w:hAnsi="Times New Roman" w:cs="Times New Roman"/>
          <w:i/>
          <w:sz w:val="22"/>
          <w:szCs w:val="22"/>
        </w:rPr>
        <w:t>PTPRA</w:t>
      </w:r>
      <w:r>
        <w:rPr>
          <w:rFonts w:ascii="Times New Roman" w:hAnsi="Times New Roman" w:cs="Times New Roman"/>
          <w:sz w:val="22"/>
          <w:szCs w:val="22"/>
        </w:rPr>
        <w:t xml:space="preserve"> and </w:t>
      </w:r>
      <w:r>
        <w:rPr>
          <w:rFonts w:ascii="Times New Roman" w:hAnsi="Times New Roman" w:cs="Times New Roman"/>
          <w:i/>
          <w:sz w:val="22"/>
          <w:szCs w:val="22"/>
        </w:rPr>
        <w:t>TGFB1I1</w:t>
      </w:r>
      <w:r>
        <w:rPr>
          <w:rFonts w:ascii="Times New Roman" w:hAnsi="Times New Roman" w:cs="Times New Roman"/>
          <w:sz w:val="22"/>
          <w:szCs w:val="22"/>
        </w:rPr>
        <w:t xml:space="preserve"> are upregulated. </w:t>
      </w:r>
      <w:r>
        <w:rPr>
          <w:rFonts w:ascii="Times New Roman" w:hAnsi="Times New Roman" w:cs="Times New Roman"/>
          <w:i/>
          <w:sz w:val="22"/>
          <w:szCs w:val="22"/>
        </w:rPr>
        <w:t>PTPRA</w:t>
      </w:r>
      <w:r>
        <w:rPr>
          <w:rFonts w:ascii="Times New Roman" w:hAnsi="Times New Roman" w:cs="Times New Roman"/>
          <w:sz w:val="22"/>
          <w:szCs w:val="22"/>
        </w:rPr>
        <w:t xml:space="preserve"> is a signalling molecule involved in cell growth, proliferation and oncogenic transformation [48]. </w:t>
      </w:r>
      <w:r>
        <w:rPr>
          <w:rFonts w:ascii="Times New Roman" w:hAnsi="Times New Roman" w:cs="Times New Roman"/>
          <w:i/>
          <w:sz w:val="22"/>
          <w:szCs w:val="22"/>
        </w:rPr>
        <w:t>TGFB1I1</w:t>
      </w:r>
      <w:r>
        <w:rPr>
          <w:rFonts w:ascii="Times New Roman" w:hAnsi="Times New Roman" w:cs="Times New Roman"/>
          <w:sz w:val="22"/>
          <w:szCs w:val="22"/>
        </w:rPr>
        <w:t xml:space="preserve"> is a coactivator of AR and thus, plays a role in prostate cancer progression [49]. Notably, in the group of strong absence (dark blue), </w:t>
      </w:r>
      <w:r>
        <w:rPr>
          <w:rFonts w:ascii="Times New Roman" w:hAnsi="Times New Roman" w:cs="Times New Roman"/>
          <w:i/>
          <w:sz w:val="22"/>
          <w:szCs w:val="22"/>
        </w:rPr>
        <w:t>KLK3</w:t>
      </w:r>
      <w:r>
        <w:rPr>
          <w:rFonts w:ascii="Times New Roman" w:hAnsi="Times New Roman" w:cs="Times New Roman"/>
          <w:sz w:val="22"/>
          <w:szCs w:val="22"/>
        </w:rPr>
        <w:t xml:space="preserve"> and </w:t>
      </w:r>
      <w:r>
        <w:rPr>
          <w:rFonts w:ascii="Times New Roman" w:hAnsi="Times New Roman" w:cs="Times New Roman"/>
          <w:i/>
          <w:sz w:val="22"/>
          <w:szCs w:val="22"/>
        </w:rPr>
        <w:t>KLK2</w:t>
      </w:r>
      <w:r>
        <w:rPr>
          <w:rFonts w:ascii="Times New Roman" w:hAnsi="Times New Roman" w:cs="Times New Roman"/>
          <w:sz w:val="22"/>
          <w:szCs w:val="22"/>
        </w:rPr>
        <w:t xml:space="preserve"> are co-expressed with </w:t>
      </w:r>
      <w:r>
        <w:rPr>
          <w:rFonts w:ascii="Times New Roman" w:hAnsi="Times New Roman" w:cs="Times New Roman"/>
          <w:i/>
          <w:sz w:val="22"/>
          <w:szCs w:val="22"/>
        </w:rPr>
        <w:t>SLC45A3</w:t>
      </w:r>
      <w:r>
        <w:rPr>
          <w:rFonts w:ascii="Times New Roman" w:hAnsi="Times New Roman" w:cs="Times New Roman"/>
          <w:sz w:val="22"/>
          <w:szCs w:val="22"/>
        </w:rPr>
        <w:t xml:space="preserve">. Both genes, </w:t>
      </w:r>
      <w:r>
        <w:rPr>
          <w:rFonts w:ascii="Times New Roman" w:hAnsi="Times New Roman" w:cs="Times New Roman"/>
          <w:i/>
          <w:sz w:val="22"/>
          <w:szCs w:val="22"/>
        </w:rPr>
        <w:t>KLK3</w:t>
      </w:r>
      <w:r>
        <w:rPr>
          <w:rFonts w:ascii="Times New Roman" w:hAnsi="Times New Roman" w:cs="Times New Roman"/>
          <w:sz w:val="22"/>
          <w:szCs w:val="22"/>
        </w:rPr>
        <w:t xml:space="preserve"> and </w:t>
      </w:r>
      <w:r>
        <w:rPr>
          <w:rFonts w:ascii="Times New Roman" w:hAnsi="Times New Roman" w:cs="Times New Roman"/>
          <w:i/>
          <w:sz w:val="22"/>
          <w:szCs w:val="22"/>
        </w:rPr>
        <w:t>KLK2</w:t>
      </w:r>
      <w:r>
        <w:rPr>
          <w:rFonts w:ascii="Times New Roman" w:hAnsi="Times New Roman" w:cs="Times New Roman"/>
          <w:sz w:val="22"/>
          <w:szCs w:val="22"/>
        </w:rPr>
        <w:t xml:space="preserve">, are </w:t>
      </w:r>
      <w:r>
        <w:rPr>
          <w:rFonts w:ascii="Times New Roman" w:hAnsi="Times New Roman" w:cs="Times New Roman"/>
          <w:i/>
          <w:sz w:val="22"/>
          <w:szCs w:val="22"/>
        </w:rPr>
        <w:t>AR</w:t>
      </w:r>
      <w:r>
        <w:rPr>
          <w:rFonts w:ascii="Times New Roman" w:hAnsi="Times New Roman" w:cs="Times New Roman"/>
          <w:sz w:val="22"/>
          <w:szCs w:val="22"/>
        </w:rPr>
        <w:t>-regulated and often upregulated in prostate cancer [50]. The activated pathway Citrate cycle (TCA cycle) is a typical phenomena of malignant transformation in prostate cancer mirroring a shift towards citrate oxidation to meet the higher energy demands of prostate cancer cells [51]. Areas of strong cis-SAGe absence (dark blue) show higher activation of the pathways protein processing in endoplasmic reticulum and lysosome. The pathway lysosome comprises digestive processes of macromolecules [52]. This indicates higher transcriptional stress, elevated levels of misfolded proteins and misfolded protein digestion.</w:t>
      </w:r>
    </w:p>
    <w:p>
      <w:pPr>
        <w:spacing w:line="480" w:lineRule="auto"/>
        <w:rPr>
          <w:rFonts w:ascii="Times New Roman" w:hAnsi="Times New Roman" w:cs="Times New Roman"/>
          <w:sz w:val="22"/>
          <w:szCs w:val="22"/>
        </w:rPr>
      </w:pPr>
    </w:p>
    <w:p>
      <w:pPr>
        <w:spacing w:line="480" w:lineRule="auto"/>
      </w:pPr>
      <w:bookmarkStart w:id="12" w:name="_45k99648xsdz"/>
      <w:bookmarkEnd w:id="12"/>
      <w:r>
        <w:rPr>
          <w:rFonts w:ascii="Times New Roman" w:hAnsi="Times New Roman" w:cs="Times New Roman"/>
          <w:b/>
          <w:bCs/>
          <w:color w:val="000000"/>
          <w:sz w:val="22"/>
          <w:szCs w:val="22"/>
        </w:rPr>
        <w:t>Comparison of strong absence and strong occurrence</w:t>
      </w:r>
    </w:p>
    <w:p>
      <w:pPr>
        <w:spacing w:line="480" w:lineRule="auto"/>
      </w:pPr>
      <w:r>
        <w:rPr>
          <w:rFonts w:ascii="Times New Roman" w:hAnsi="Times New Roman" w:cs="Times New Roman"/>
          <w:sz w:val="22"/>
          <w:szCs w:val="22"/>
        </w:rPr>
        <w:t xml:space="preserve">Significantly upregulated genes in areas with strong absence are </w:t>
      </w:r>
      <w:r>
        <w:rPr>
          <w:rFonts w:ascii="Times New Roman" w:hAnsi="Times New Roman" w:cs="Times New Roman"/>
          <w:i/>
          <w:sz w:val="22"/>
          <w:szCs w:val="22"/>
        </w:rPr>
        <w:t>RACK1</w:t>
      </w:r>
      <w:r>
        <w:rPr>
          <w:rFonts w:ascii="Times New Roman" w:hAnsi="Times New Roman" w:cs="Times New Roman"/>
          <w:sz w:val="22"/>
          <w:szCs w:val="22"/>
        </w:rPr>
        <w:t xml:space="preserve">, </w:t>
      </w:r>
      <w:r>
        <w:rPr>
          <w:rFonts w:ascii="Times New Roman" w:hAnsi="Times New Roman" w:cs="Times New Roman"/>
          <w:i/>
          <w:sz w:val="22"/>
          <w:szCs w:val="22"/>
        </w:rPr>
        <w:t>ACTG2</w:t>
      </w:r>
      <w:r>
        <w:rPr>
          <w:rFonts w:ascii="Times New Roman" w:hAnsi="Times New Roman" w:cs="Times New Roman"/>
          <w:sz w:val="22"/>
          <w:szCs w:val="22"/>
        </w:rPr>
        <w:t xml:space="preserve">, </w:t>
      </w:r>
      <w:r>
        <w:rPr>
          <w:rFonts w:ascii="Times New Roman" w:hAnsi="Times New Roman" w:cs="Times New Roman"/>
          <w:i/>
          <w:sz w:val="22"/>
          <w:szCs w:val="22"/>
        </w:rPr>
        <w:t>KLK3</w:t>
      </w:r>
      <w:r>
        <w:rPr>
          <w:rFonts w:ascii="Times New Roman" w:hAnsi="Times New Roman" w:cs="Times New Roman"/>
          <w:sz w:val="22"/>
          <w:szCs w:val="22"/>
        </w:rPr>
        <w:t xml:space="preserve"> and </w:t>
      </w:r>
      <w:r>
        <w:rPr>
          <w:rFonts w:ascii="Times New Roman" w:hAnsi="Times New Roman" w:cs="Times New Roman"/>
          <w:i/>
          <w:sz w:val="22"/>
          <w:szCs w:val="22"/>
        </w:rPr>
        <w:t>KLK2</w:t>
      </w:r>
      <w:r>
        <w:rPr>
          <w:rFonts w:ascii="Times New Roman" w:hAnsi="Times New Roman" w:cs="Times New Roman"/>
          <w:sz w:val="22"/>
          <w:szCs w:val="22"/>
        </w:rPr>
        <w:t xml:space="preserve">. These genes are also significantly upregulated in areas with absent </w:t>
      </w:r>
      <w:r>
        <w:rPr>
          <w:rFonts w:ascii="Times New Roman" w:hAnsi="Times New Roman" w:cs="Times New Roman"/>
          <w:i/>
          <w:sz w:val="22"/>
          <w:szCs w:val="22"/>
        </w:rPr>
        <w:t>SLC45A3-ELK4</w:t>
      </w:r>
      <w:r>
        <w:rPr>
          <w:rFonts w:ascii="Times New Roman" w:hAnsi="Times New Roman" w:cs="Times New Roman"/>
          <w:sz w:val="22"/>
          <w:szCs w:val="22"/>
        </w:rPr>
        <w:t xml:space="preserve"> in sample 3.3 (Figure 4). The pathway protein processing in endoplasmic reticulum is activated in both areas with strong absence and strong occurrence. As in Figure 4, the pathways Lysosome and Phagosome are activated in areas of strong absence. The pathway phagosome is linked to inflammation [53]. </w:t>
      </w:r>
    </w:p>
    <w:p>
      <w:pPr>
        <w:spacing w:line="480" w:lineRule="auto"/>
        <w:rPr>
          <w:rFonts w:ascii="Times New Roman" w:hAnsi="Times New Roman" w:cs="Times New Roman"/>
          <w:sz w:val="22"/>
          <w:szCs w:val="22"/>
        </w:rPr>
      </w:pPr>
    </w:p>
    <w:p>
      <w:pPr>
        <w:spacing w:line="480" w:lineRule="auto"/>
      </w:pPr>
      <w:bookmarkStart w:id="13" w:name="_t8eiscq7apkq"/>
      <w:bookmarkEnd w:id="13"/>
      <w:r>
        <w:rPr>
          <w:rFonts w:ascii="Times New Roman" w:hAnsi="Times New Roman" w:cs="Times New Roman"/>
          <w:b/>
          <w:bCs/>
          <w:sz w:val="22"/>
          <w:szCs w:val="22"/>
        </w:rPr>
        <w:t>Comparison of strong occurrence and mild occurrence</w:t>
      </w:r>
    </w:p>
    <w:p>
      <w:pPr>
        <w:spacing w:line="480" w:lineRule="auto"/>
      </w:pPr>
      <w:r>
        <w:rPr>
          <w:rFonts w:ascii="Times New Roman" w:hAnsi="Times New Roman" w:cs="Times New Roman"/>
          <w:sz w:val="22"/>
          <w:szCs w:val="22"/>
        </w:rPr>
        <w:t xml:space="preserve">In areas with mild cis-SAGe occurrence, only three significantly upregulated genes were observed, i.e. </w:t>
      </w:r>
      <w:r>
        <w:rPr>
          <w:rFonts w:ascii="Times New Roman" w:hAnsi="Times New Roman" w:cs="Times New Roman"/>
          <w:i/>
          <w:sz w:val="22"/>
          <w:szCs w:val="22"/>
        </w:rPr>
        <w:t>MARK2</w:t>
      </w:r>
      <w:r>
        <w:rPr>
          <w:rFonts w:ascii="Times New Roman" w:hAnsi="Times New Roman" w:cs="Times New Roman"/>
          <w:sz w:val="22"/>
          <w:szCs w:val="22"/>
        </w:rPr>
        <w:t xml:space="preserve">, </w:t>
      </w:r>
      <w:r>
        <w:rPr>
          <w:rFonts w:ascii="Times New Roman" w:hAnsi="Times New Roman" w:cs="Times New Roman"/>
          <w:i/>
          <w:sz w:val="22"/>
          <w:szCs w:val="22"/>
        </w:rPr>
        <w:t>HSPA8</w:t>
      </w:r>
      <w:r>
        <w:rPr>
          <w:rFonts w:ascii="Times New Roman" w:hAnsi="Times New Roman" w:cs="Times New Roman"/>
          <w:sz w:val="22"/>
          <w:szCs w:val="22"/>
        </w:rPr>
        <w:t xml:space="preserve"> and </w:t>
      </w:r>
      <w:r>
        <w:rPr>
          <w:rFonts w:ascii="Times New Roman" w:hAnsi="Times New Roman" w:cs="Times New Roman"/>
          <w:i/>
          <w:sz w:val="22"/>
          <w:szCs w:val="22"/>
        </w:rPr>
        <w:t>COA3</w:t>
      </w:r>
      <w:r>
        <w:rPr>
          <w:rFonts w:ascii="Times New Roman" w:hAnsi="Times New Roman" w:cs="Times New Roman"/>
          <w:sz w:val="22"/>
          <w:szCs w:val="22"/>
        </w:rPr>
        <w:t>. The pathways protein processing in endoplasmic reticulum and PI3K-Akt signalling are slightly activated. The latter is linked to disease progression, poor outcome and resistance to androgen deprivation therapy [41].</w:t>
      </w:r>
    </w:p>
    <w:p>
      <w:pPr>
        <w:pStyle w:val="4"/>
        <w:overflowPunct/>
        <w:spacing w:before="0" w:after="0" w:line="480" w:lineRule="auto"/>
        <w:ind w:left="0" w:firstLine="0"/>
        <w:rPr>
          <w:rFonts w:ascii="Times New Roman" w:hAnsi="Times New Roman" w:cs="Times New Roman"/>
          <w:sz w:val="22"/>
          <w:szCs w:val="22"/>
        </w:rPr>
      </w:pPr>
    </w:p>
    <w:p>
      <w:pPr>
        <w:pStyle w:val="4"/>
        <w:overflowPunct/>
        <w:spacing w:before="0" w:after="0" w:line="480" w:lineRule="auto"/>
        <w:ind w:left="0" w:firstLine="0"/>
      </w:pPr>
      <w:bookmarkStart w:id="14" w:name="_elobhx3gr83"/>
      <w:bookmarkEnd w:id="14"/>
      <w:r>
        <w:rPr>
          <w:rFonts w:ascii="Times New Roman" w:hAnsi="Times New Roman" w:cs="Times New Roman"/>
          <w:sz w:val="22"/>
          <w:szCs w:val="22"/>
        </w:rPr>
        <w:t>C-scores distributions for the 12 clinical tissue samples</w:t>
      </w:r>
    </w:p>
    <w:p>
      <w:pPr>
        <w:shd w:val="clear" w:color="auto" w:fill="FFFFFF"/>
        <w:overflowPunct/>
        <w:spacing w:line="480" w:lineRule="auto"/>
        <w:rPr>
          <w:rFonts w:ascii="Times New Roman" w:hAnsi="Times New Roman" w:cs="Times New Roman"/>
          <w:b/>
          <w:sz w:val="22"/>
          <w:szCs w:val="22"/>
        </w:rPr>
      </w:pPr>
    </w:p>
    <w:p>
      <w:pPr>
        <w:shd w:val="clear" w:color="auto" w:fill="FFFFFF"/>
        <w:overflowPunct/>
        <w:spacing w:line="480" w:lineRule="auto"/>
        <w:rPr>
          <w:rFonts w:ascii="Times New Roman" w:hAnsi="Times New Roman" w:cs="Times New Roman"/>
          <w:b/>
          <w:sz w:val="22"/>
          <w:szCs w:val="22"/>
        </w:rPr>
      </w:pPr>
      <w:r>
        <w:drawing>
          <wp:anchor distT="0" distB="0" distL="0" distR="0" simplePos="0" relativeHeight="251662336" behindDoc="0" locked="0" layoutInCell="1" allowOverlap="1">
            <wp:simplePos x="0" y="0"/>
            <wp:positionH relativeFrom="column">
              <wp:align>center</wp:align>
            </wp:positionH>
            <wp:positionV relativeFrom="paragraph">
              <wp:posOffset>635</wp:posOffset>
            </wp:positionV>
            <wp:extent cx="6132195" cy="8114665"/>
            <wp:effectExtent l="0" t="0" r="20955" b="17145"/>
            <wp:wrapSquare wrapText="largest"/>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pic:cNvPicPr>
                      <a:picLocks noChangeAspect="1"/>
                    </pic:cNvPicPr>
                  </pic:nvPicPr>
                  <pic:blipFill>
                    <a:blip r:embed="rId12"/>
                    <a:stretch>
                      <a:fillRect/>
                    </a:stretch>
                  </pic:blipFill>
                  <pic:spPr>
                    <a:xfrm>
                      <a:off x="0" y="0"/>
                      <a:ext cx="6132195" cy="8114665"/>
                    </a:xfrm>
                    <a:prstGeom prst="rect">
                      <a:avLst/>
                    </a:prstGeom>
                    <a:solidFill>
                      <a:srgbClr val="FFFFFF"/>
                    </a:solidFill>
                    <a:ln>
                      <a:noFill/>
                    </a:ln>
                  </pic:spPr>
                </pic:pic>
              </a:graphicData>
            </a:graphic>
          </wp:anchor>
        </w:drawing>
      </w:r>
    </w:p>
    <w:p>
      <w:pPr>
        <w:shd w:val="clear" w:color="auto" w:fill="FFFFFF"/>
        <w:overflowPunct/>
        <w:spacing w:line="480" w:lineRule="auto"/>
      </w:pPr>
      <w:r>
        <w:rPr>
          <w:rFonts w:ascii="Times New Roman" w:hAnsi="Times New Roman" w:cs="Times New Roman"/>
          <w:b/>
          <w:sz w:val="22"/>
          <w:szCs w:val="22"/>
        </w:rPr>
        <w:t xml:space="preserve">Figure S4. </w:t>
      </w:r>
      <w:r>
        <w:rPr>
          <w:rFonts w:ascii="Times New Roman" w:hAnsi="Times New Roman" w:cs="Times New Roman"/>
          <w:sz w:val="22"/>
          <w:szCs w:val="22"/>
        </w:rPr>
        <w:t>Distribution of C-scores. In each sample, except in sample 1.2 with very high ST data quality, a peak occured between 0.35 and 0.8. The peak arised if a C-score for a spot was calculated with a parental gene expression of 0 and a parental gene mean expression in a sample below 1. The minimal detectable signal (MSD) was set to the C-score frequency maximum. Red lines at the y-axis indicate the data points.</w:t>
      </w:r>
    </w:p>
    <w:p>
      <w:pPr>
        <w:pStyle w:val="4"/>
        <w:spacing w:before="0" w:after="0" w:line="480" w:lineRule="auto"/>
        <w:ind w:left="0" w:firstLine="0"/>
        <w:rPr>
          <w:rFonts w:ascii="Times New Roman" w:hAnsi="Times New Roman" w:cs="Times New Roman"/>
        </w:rPr>
      </w:pPr>
    </w:p>
    <w:p>
      <w:pPr>
        <w:pStyle w:val="4"/>
        <w:spacing w:before="0" w:after="0" w:line="480" w:lineRule="auto"/>
        <w:ind w:left="0" w:firstLine="0"/>
      </w:pPr>
      <w:bookmarkStart w:id="15" w:name="_qcex6xgz8d8r"/>
      <w:bookmarkEnd w:id="15"/>
      <w:r>
        <w:rPr>
          <w:rFonts w:ascii="Times New Roman" w:hAnsi="Times New Roman" w:cs="Times New Roman"/>
        </w:rPr>
        <w:t xml:space="preserve">Non-canonical DNA-structures </w:t>
      </w:r>
    </w:p>
    <w:p>
      <w:pPr>
        <w:overflowPunct/>
        <w:spacing w:line="480" w:lineRule="auto"/>
      </w:pPr>
      <w:r>
        <w:rPr>
          <w:rFonts w:ascii="Times New Roman" w:hAnsi="Times New Roman" w:cs="Times New Roman"/>
          <w:sz w:val="22"/>
          <w:szCs w:val="22"/>
        </w:rPr>
        <w:t xml:space="preserve">A pre-mRNA, resulting from a failure in transcription initiation or termination, would contain all exons of both parental genes. However, in the studied samples, only fragments of the parental genes were observed, that is, not all exons of the parental genes were transcribed. This indicates that the transcription process neglects the corrupted sequence (Figure 1). </w:t>
      </w:r>
    </w:p>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sz w:val="22"/>
          <w:szCs w:val="22"/>
        </w:rPr>
        <w:t xml:space="preserve">If the corrupted sequence starts or ends within an intron, the neighbouring exons are spliced and the fusion point is identified at the first or last base of these exons. However, if a fusion point was detected within an exon, the fusion point is in fact at this position. The fusion point of the 5´ gene of the cis-SAGe </w:t>
      </w:r>
      <w:r>
        <w:rPr>
          <w:rFonts w:ascii="Times New Roman" w:hAnsi="Times New Roman" w:cs="Times New Roman"/>
          <w:i/>
          <w:sz w:val="22"/>
          <w:szCs w:val="22"/>
        </w:rPr>
        <w:t>SLC45A3</w:t>
      </w:r>
      <w:r>
        <w:rPr>
          <w:rFonts w:ascii="Times New Roman" w:hAnsi="Times New Roman" w:cs="Times New Roman"/>
          <w:sz w:val="22"/>
          <w:szCs w:val="22"/>
        </w:rPr>
        <w:t xml:space="preserve"> happens within exon 5 (Chr1:205,659,488). </w:t>
      </w:r>
    </w:p>
    <w:p>
      <w:pPr>
        <w:overflowPunct/>
        <w:spacing w:line="480" w:lineRule="auto"/>
        <w:rPr>
          <w:rFonts w:ascii="Times New Roman" w:hAnsi="Times New Roman" w:cs="Times New Roman"/>
          <w:sz w:val="22"/>
          <w:szCs w:val="22"/>
        </w:rPr>
      </w:pPr>
    </w:p>
    <w:p>
      <w:pPr>
        <w:overflowPunct/>
        <w:spacing w:line="480" w:lineRule="auto"/>
      </w:pPr>
      <w:r>
        <w:rPr>
          <w:rFonts w:ascii="Times New Roman" w:hAnsi="Times New Roman" w:cs="Times New Roman"/>
          <w:b/>
          <w:sz w:val="22"/>
          <w:szCs w:val="22"/>
        </w:rPr>
        <w:t>Table S18.</w:t>
      </w:r>
      <w:r>
        <w:rPr>
          <w:rFonts w:ascii="Times New Roman" w:hAnsi="Times New Roman" w:cs="Times New Roman"/>
          <w:sz w:val="22"/>
          <w:szCs w:val="22"/>
        </w:rPr>
        <w:t xml:space="preserve"> An i-Motif was found 7 bp downstream of the fusion point of the intra-exonic fusion point of the cis-SAGe </w:t>
      </w:r>
      <w:r>
        <w:rPr>
          <w:rFonts w:ascii="Times New Roman" w:hAnsi="Times New Roman" w:cs="Times New Roman"/>
          <w:i/>
          <w:sz w:val="22"/>
          <w:szCs w:val="22"/>
        </w:rPr>
        <w:t>SLC45A3-ELK4</w:t>
      </w:r>
      <w:r>
        <w:rPr>
          <w:rFonts w:ascii="Times New Roman" w:hAnsi="Times New Roman" w:cs="Times New Roman"/>
          <w:sz w:val="22"/>
          <w:szCs w:val="22"/>
        </w:rPr>
        <w:t xml:space="preserve"> detected in the 12 clinical tissue samples. These non-canonical DNA structures are only a few nucleotides long (~10 nt) and regulate transcription by blocking [43].</w:t>
      </w:r>
    </w:p>
    <w:tbl>
      <w:tblPr>
        <w:tblStyle w:val="10"/>
        <w:tblW w:w="9184" w:type="dxa"/>
        <w:tblInd w:w="-35" w:type="dxa"/>
        <w:tblLayout w:type="fixed"/>
        <w:tblCellMar>
          <w:top w:w="100" w:type="dxa"/>
          <w:left w:w="75" w:type="dxa"/>
          <w:bottom w:w="100" w:type="dxa"/>
          <w:right w:w="100" w:type="dxa"/>
        </w:tblCellMar>
      </w:tblPr>
      <w:tblGrid>
        <w:gridCol w:w="1289"/>
        <w:gridCol w:w="1110"/>
        <w:gridCol w:w="1830"/>
        <w:gridCol w:w="885"/>
        <w:gridCol w:w="2430"/>
        <w:gridCol w:w="1640"/>
      </w:tblGrid>
      <w:tr>
        <w:tblPrEx>
          <w:tblLayout w:type="fixed"/>
          <w:tblCellMar>
            <w:top w:w="100" w:type="dxa"/>
            <w:left w:w="75" w:type="dxa"/>
            <w:bottom w:w="100" w:type="dxa"/>
            <w:right w:w="100" w:type="dxa"/>
          </w:tblCellMar>
        </w:tblPrEx>
        <w:trPr>
          <w:trHeight w:val="440" w:hRule="atLeast"/>
        </w:trPr>
        <w:tc>
          <w:tcPr>
            <w:tcW w:w="128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Chimeric transcript</w:t>
            </w:r>
          </w:p>
        </w:tc>
        <w:tc>
          <w:tcPr>
            <w:tcW w:w="111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 xml:space="preserve">Parental gene </w:t>
            </w:r>
          </w:p>
        </w:tc>
        <w:tc>
          <w:tcPr>
            <w:tcW w:w="183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Fusion point according to FusionCatcher</w:t>
            </w:r>
          </w:p>
        </w:tc>
        <w:tc>
          <w:tcPr>
            <w:tcW w:w="88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Strand</w:t>
            </w:r>
          </w:p>
        </w:tc>
        <w:tc>
          <w:tcPr>
            <w:tcW w:w="243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Motif sequence on genome</w:t>
            </w:r>
          </w:p>
        </w:tc>
        <w:tc>
          <w:tcPr>
            <w:tcW w:w="1640"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Non-canonical DNA structure</w:t>
            </w:r>
          </w:p>
        </w:tc>
      </w:tr>
      <w:tr>
        <w:tblPrEx>
          <w:tblLayout w:type="fixed"/>
          <w:tblCellMar>
            <w:top w:w="100" w:type="dxa"/>
            <w:left w:w="75" w:type="dxa"/>
            <w:bottom w:w="100" w:type="dxa"/>
            <w:right w:w="100" w:type="dxa"/>
          </w:tblCellMar>
        </w:tblPrEx>
        <w:trPr>
          <w:trHeight w:val="440" w:hRule="atLeast"/>
        </w:trPr>
        <w:tc>
          <w:tcPr>
            <w:tcW w:w="1289"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i/>
              </w:rPr>
              <w:t>SLC45A3- ELK4</w:t>
            </w:r>
          </w:p>
        </w:tc>
        <w:tc>
          <w:tcPr>
            <w:tcW w:w="111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SLC45A3</w:t>
            </w:r>
          </w:p>
        </w:tc>
        <w:tc>
          <w:tcPr>
            <w:tcW w:w="183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Chr1:205,659,488</w:t>
            </w:r>
          </w:p>
        </w:tc>
        <w:tc>
          <w:tcPr>
            <w:tcW w:w="885"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reverse</w:t>
            </w:r>
          </w:p>
        </w:tc>
        <w:tc>
          <w:tcPr>
            <w:tcW w:w="2430" w:type="dxa"/>
            <w:tcBorders>
              <w:top w:val="single" w:color="CCCCCC" w:sz="4" w:space="0"/>
              <w:left w:val="single" w:color="CCCCCC" w:sz="4" w:space="0"/>
              <w:bottom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eastAsia="Times New Roman" w:cs="Times New Roman"/>
              </w:rPr>
              <w:t xml:space="preserve"> </w:t>
            </w:r>
            <w:r>
              <w:rPr>
                <w:rFonts w:ascii="Times New Roman" w:hAnsi="Times New Roman" w:cs="Times New Roman"/>
                <w:color w:val="CC4125"/>
              </w:rPr>
              <w:t>C</w:t>
            </w:r>
            <w:r>
              <w:rPr>
                <w:rFonts w:ascii="Times New Roman" w:hAnsi="Times New Roman" w:cs="Times New Roman"/>
                <w:color w:val="3C78D8"/>
              </w:rPr>
              <w:t>A</w:t>
            </w:r>
            <w:r>
              <w:rPr>
                <w:rFonts w:ascii="Times New Roman" w:hAnsi="Times New Roman" w:cs="Times New Roman"/>
                <w:color w:val="CC4125"/>
              </w:rPr>
              <w:t>C</w:t>
            </w:r>
            <w:r>
              <w:rPr>
                <w:rFonts w:ascii="Times New Roman" w:hAnsi="Times New Roman" w:cs="Times New Roman"/>
                <w:b/>
                <w:color w:val="CC4125"/>
                <w:u w:val="single"/>
              </w:rPr>
              <w:t>CC</w:t>
            </w:r>
            <w:r>
              <w:rPr>
                <w:rFonts w:ascii="Times New Roman" w:hAnsi="Times New Roman" w:cs="Times New Roman"/>
                <w:b/>
                <w:color w:val="3C78D8"/>
                <w:u w:val="single"/>
              </w:rPr>
              <w:t>A</w:t>
            </w:r>
            <w:r>
              <w:rPr>
                <w:rFonts w:ascii="Times New Roman" w:hAnsi="Times New Roman" w:cs="Times New Roman"/>
                <w:b/>
                <w:color w:val="CC4125"/>
                <w:u w:val="single"/>
              </w:rPr>
              <w:t>CC</w:t>
            </w:r>
            <w:r>
              <w:rPr>
                <w:rFonts w:ascii="Times New Roman" w:hAnsi="Times New Roman" w:cs="Times New Roman"/>
                <w:b/>
                <w:color w:val="3C78D8"/>
                <w:u w:val="single"/>
              </w:rPr>
              <w:t>A</w:t>
            </w:r>
            <w:r>
              <w:rPr>
                <w:rFonts w:ascii="Times New Roman" w:hAnsi="Times New Roman" w:cs="Times New Roman"/>
                <w:b/>
                <w:color w:val="CC4125"/>
                <w:u w:val="single"/>
              </w:rPr>
              <w:t>CC</w:t>
            </w:r>
            <w:r>
              <w:rPr>
                <w:rFonts w:ascii="Times New Roman" w:hAnsi="Times New Roman" w:cs="Times New Roman"/>
                <w:b/>
                <w:color w:val="3C78D8"/>
                <w:u w:val="single"/>
              </w:rPr>
              <w:t>A</w:t>
            </w:r>
            <w:r>
              <w:rPr>
                <w:rFonts w:ascii="Times New Roman" w:hAnsi="Times New Roman" w:cs="Times New Roman"/>
                <w:color w:val="CC4125"/>
              </w:rPr>
              <w:t>C</w:t>
            </w:r>
            <w:r>
              <w:rPr>
                <w:rFonts w:ascii="Times New Roman" w:hAnsi="Times New Roman" w:cs="Times New Roman"/>
                <w:color w:val="3C78D8"/>
              </w:rPr>
              <w:t>A</w:t>
            </w:r>
            <w:r>
              <w:rPr>
                <w:rFonts w:ascii="Times New Roman" w:hAnsi="Times New Roman" w:cs="Times New Roman"/>
                <w:color w:val="CC4125"/>
              </w:rPr>
              <w:t>C</w:t>
            </w:r>
          </w:p>
        </w:tc>
        <w:tc>
          <w:tcPr>
            <w:tcW w:w="1640" w:type="dxa"/>
            <w:tcBorders>
              <w:top w:val="single" w:color="CCCCCC" w:sz="4" w:space="0"/>
              <w:left w:val="single" w:color="CCCCCC" w:sz="4" w:space="0"/>
              <w:bottom w:val="single" w:color="CCCCCC" w:sz="4" w:space="0"/>
              <w:right w:val="single" w:color="CCCCCC" w:sz="4" w:space="0"/>
            </w:tcBorders>
            <w:shd w:val="clear" w:color="auto" w:fill="FFFFFF"/>
            <w:noWrap w:val="0"/>
            <w:vAlign w:val="center"/>
          </w:tcPr>
          <w:p>
            <w:pPr>
              <w:widowControl w:val="0"/>
              <w:overflowPunct/>
              <w:snapToGrid w:val="0"/>
              <w:spacing w:line="480" w:lineRule="auto"/>
            </w:pPr>
            <w:r>
              <w:rPr>
                <w:rFonts w:ascii="Times New Roman" w:hAnsi="Times New Roman" w:cs="Times New Roman"/>
              </w:rPr>
              <w:t>i-Motif</w:t>
            </w:r>
          </w:p>
          <w:p>
            <w:pPr>
              <w:widowControl w:val="0"/>
              <w:overflowPunct/>
              <w:snapToGrid w:val="0"/>
              <w:spacing w:line="480" w:lineRule="auto"/>
            </w:pPr>
            <w:r>
              <w:rPr>
                <w:rFonts w:ascii="Times New Roman" w:hAnsi="Times New Roman" w:cs="Times New Roman"/>
              </w:rPr>
              <w:t>(CCA)</w:t>
            </w:r>
            <w:r>
              <w:rPr>
                <w:rFonts w:ascii="Times New Roman" w:hAnsi="Times New Roman" w:cs="Times New Roman"/>
                <w:vertAlign w:val="subscript"/>
              </w:rPr>
              <w:t>3</w:t>
            </w:r>
          </w:p>
        </w:tc>
      </w:tr>
    </w:tbl>
    <w:p/>
    <w:sectPr>
      <w:footerReference r:id="rId7" w:type="first"/>
      <w:footerReference r:id="rId5" w:type="default"/>
      <w:footerReference r:id="rId6" w:type="even"/>
      <w:pgSz w:w="11906" w:h="16838"/>
      <w:pgMar w:top="1123" w:right="1123" w:bottom="1123" w:left="1123" w:header="720" w:footer="720" w:gutter="0"/>
      <w:lnNumType w:countBy="1" w:restart="continuous"/>
      <w:pgNumType w:start="1"/>
      <w:cols w:space="720" w:num="1"/>
      <w:docGrid w:linePitch="249" w:charSpace="16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方正书宋_GBK"/>
    <w:panose1 w:val="00000000000000000000"/>
    <w:charset w:val="86"/>
    <w:family w:val="auto"/>
    <w:pitch w:val="default"/>
    <w:sig w:usb0="00000000" w:usb1="00000000" w:usb2="00000000" w:usb3="00000000" w:csb0="00000000" w:csb1="00000000"/>
  </w:font>
  <w:font w:name="Wingdings">
    <w:altName w:val="MT Extra"/>
    <w:panose1 w:val="05000000000000000000"/>
    <w:charset w:val="00"/>
    <w:family w:val="auto"/>
    <w:pitch w:val="default"/>
    <w:sig w:usb0="00000000" w:usb1="10000000" w:usb2="00000000" w:usb3="00000000" w:csb0="80000000" w:csb1="00000000"/>
  </w:font>
  <w:font w:name="Arial">
    <w:panose1 w:val="020B0604020202020204"/>
    <w:charset w:val="86"/>
    <w:family w:val="swiss"/>
    <w:pitch w:val="default"/>
    <w:sig w:usb0="00007A87" w:usb1="80000000" w:usb2="00000008" w:usb3="00000000" w:csb0="400001FF" w:csb1="FFFF0000"/>
  </w:font>
  <w:font w:name="黑体">
    <w:altName w:val="方正黑体_GB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Trebuchet MS"/>
    <w:panose1 w:val="020F0502020204030204"/>
    <w:charset w:val="00"/>
    <w:family w:val="swiss"/>
    <w:pitch w:val="default"/>
    <w:sig w:usb0="00000000" w:usb1="00000000" w:usb2="00000001" w:usb3="00000000" w:csb0="0000019F" w:csb1="00000000"/>
  </w:font>
  <w:font w:name="SimSun">
    <w:altName w:val="方正书宋_GBK"/>
    <w:panose1 w:val="02010600030101010101"/>
    <w:charset w:val="86"/>
    <w:family w:val="auto"/>
    <w:pitch w:val="default"/>
    <w:sig w:usb0="00000000" w:usb1="00000000" w:usb2="00000016" w:usb3="00000000" w:csb0="00040001" w:csb1="00000000"/>
  </w:font>
  <w:font w:name="Sawasdee">
    <w:panose1 w:val="02000503000000000000"/>
    <w:charset w:val="00"/>
    <w:family w:val="auto"/>
    <w:pitch w:val="default"/>
    <w:sig w:usb0="8100006F" w:usb1="5000200A" w:usb2="00000000" w:usb3="00000000" w:csb0="00010001" w:csb1="00000000"/>
  </w:font>
  <w:font w:name="Symbol">
    <w:altName w:val="MT Extra"/>
    <w:panose1 w:val="05050102010706020507"/>
    <w:charset w:val="00"/>
    <w:family w:val="roman"/>
    <w:pitch w:val="default"/>
    <w:sig w:usb0="00000000" w:usb1="00000000" w:usb2="00000000" w:usb3="00000000" w:csb0="80000000" w:csb1="00000000"/>
  </w:font>
  <w:font w:name="Wingdings 2">
    <w:altName w:val="aakar"/>
    <w:panose1 w:val="05020102010507070707"/>
    <w:charset w:val="00"/>
    <w:family w:val="roman"/>
    <w:pitch w:val="default"/>
    <w:sig w:usb0="00000000" w:usb1="00000000" w:usb2="00000000" w:usb3="00000000" w:csb0="80000000" w:csb1="00000000"/>
  </w:font>
  <w:font w:name="OpenSymbol">
    <w:panose1 w:val="05010000000000000000"/>
    <w:charset w:val="00"/>
    <w:family w:val="auto"/>
    <w:pitch w:val="default"/>
    <w:sig w:usb0="800000AF" w:usb1="1001ECEA" w:usb2="00000000" w:usb3="00000000" w:csb0="00000001" w:csb1="00000000"/>
  </w:font>
  <w:font w:name="Cambria Math">
    <w:altName w:val="DejaVu Math TeX Gyre"/>
    <w:panose1 w:val="00000000000000000000"/>
    <w:charset w:val="00"/>
    <w:family w:val="auto"/>
    <w:pitch w:val="default"/>
    <w:sig w:usb0="00000000" w:usb1="00000000" w:usb2="00000000" w:usb3="00000000" w:csb0="00000000" w:csb1="00000000"/>
  </w:font>
  <w:font w:name="Abyssinica SIL">
    <w:panose1 w:val="02000603020000020004"/>
    <w:charset w:val="00"/>
    <w:family w:val="auto"/>
    <w:pitch w:val="default"/>
    <w:sig w:usb0="800000EF" w:usb1="5000A04B" w:usb2="00000828" w:usb3="00000000" w:csb0="20000001" w:csb1="00000000"/>
  </w:font>
  <w:font w:name="DejaVa Sans">
    <w:altName w:val="Gubbi"/>
    <w:panose1 w:val="00000000000000000000"/>
    <w:charset w:val="00"/>
    <w:family w:val="auto"/>
    <w:pitch w:val="default"/>
    <w:sig w:usb0="00000000" w:usb1="00000000" w:usb2="00000000" w:usb3="00000000" w:csb0="00000000" w:csb1="00000000"/>
  </w:font>
  <w:font w:name="Gubbi">
    <w:panose1 w:val="00000400000000000000"/>
    <w:charset w:val="00"/>
    <w:family w:val="auto"/>
    <w:pitch w:val="default"/>
    <w:sig w:usb0="00400000" w:usb1="00000000" w:usb2="00000000" w:usb3="00000000" w:csb0="00000000" w:csb1="00000000"/>
  </w:font>
  <w:font w:name="MT Extra">
    <w:panose1 w:val="05050102010205020202"/>
    <w:charset w:val="00"/>
    <w:family w:val="auto"/>
    <w:pitch w:val="default"/>
    <w:sig w:usb0="8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ind w:right="360"/>
      <w:jc w:val="right"/>
    </w:pPr>
  </w:p>
  <w:p>
    <w:pP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none"/>
      <w:pStyle w:val="2"/>
      <w:suff w:val="nothing"/>
      <w:lvlText w:val=""/>
      <w:lvlJc w:val="left"/>
      <w:pPr>
        <w:tabs>
          <w:tab w:val="left" w:pos="0"/>
        </w:tabs>
        <w:ind w:left="432" w:hanging="432"/>
      </w:pPr>
    </w:lvl>
    <w:lvl w:ilvl="1" w:tentative="0">
      <w:start w:val="1"/>
      <w:numFmt w:val="none"/>
      <w:pStyle w:val="4"/>
      <w:suff w:val="nothing"/>
      <w:lvlText w:val=""/>
      <w:lvlJc w:val="left"/>
      <w:pPr>
        <w:tabs>
          <w:tab w:val="left" w:pos="0"/>
        </w:tabs>
        <w:ind w:left="576" w:hanging="576"/>
      </w:pPr>
    </w:lvl>
    <w:lvl w:ilvl="2" w:tentative="0">
      <w:start w:val="1"/>
      <w:numFmt w:val="none"/>
      <w:suff w:val="nothing"/>
      <w:lvlText w:val=""/>
      <w:lvlJc w:val="left"/>
      <w:pPr>
        <w:tabs>
          <w:tab w:val="left" w:pos="0"/>
        </w:tabs>
        <w:ind w:left="720" w:hanging="720"/>
      </w:pPr>
    </w:lvl>
    <w:lvl w:ilvl="3" w:tentative="0">
      <w:start w:val="1"/>
      <w:numFmt w:val="none"/>
      <w:suff w:val="nothing"/>
      <w:lvlText w:val=""/>
      <w:lvlJc w:val="left"/>
      <w:pPr>
        <w:tabs>
          <w:tab w:val="left" w:pos="0"/>
        </w:tabs>
        <w:ind w:left="864" w:hanging="864"/>
      </w:pPr>
    </w:lvl>
    <w:lvl w:ilvl="4" w:tentative="0">
      <w:start w:val="1"/>
      <w:numFmt w:val="none"/>
      <w:suff w:val="nothing"/>
      <w:lvlText w:val=""/>
      <w:lvlJc w:val="left"/>
      <w:pPr>
        <w:tabs>
          <w:tab w:val="left" w:pos="0"/>
        </w:tabs>
        <w:ind w:left="1008" w:hanging="1008"/>
      </w:pPr>
    </w:lvl>
    <w:lvl w:ilvl="5" w:tentative="0">
      <w:start w:val="1"/>
      <w:numFmt w:val="none"/>
      <w:suff w:val="nothing"/>
      <w:lvlText w:val=""/>
      <w:lvlJc w:val="left"/>
      <w:pPr>
        <w:tabs>
          <w:tab w:val="left" w:pos="0"/>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00000002"/>
    <w:multiLevelType w:val="multilevel"/>
    <w:tmpl w:val="00000002"/>
    <w:lvl w:ilvl="0" w:tentative="0">
      <w:start w:val="1"/>
      <w:numFmt w:val="bullet"/>
      <w:lvlText w:val=""/>
      <w:lvlJc w:val="left"/>
      <w:pPr>
        <w:tabs>
          <w:tab w:val="left" w:pos="0"/>
        </w:tabs>
        <w:ind w:left="720" w:hanging="360"/>
      </w:pPr>
      <w:rPr>
        <w:rFonts w:ascii="Symbol" w:hAnsi="Symbol" w:cs="Symbol"/>
        <w:sz w:val="22"/>
        <w:szCs w:val="22"/>
      </w:rPr>
    </w:lvl>
    <w:lvl w:ilvl="1" w:tentative="0">
      <w:start w:val="1"/>
      <w:numFmt w:val="bullet"/>
      <w:lvlText w:val=""/>
      <w:lvlJc w:val="left"/>
      <w:pPr>
        <w:tabs>
          <w:tab w:val="left" w:pos="0"/>
        </w:tabs>
        <w:ind w:left="1440" w:hanging="360"/>
      </w:pPr>
      <w:rPr>
        <w:rFonts w:ascii="Wingdings 2" w:hAnsi="Wingdings 2" w:cs="Wingdings 2"/>
        <w:u w:val="none"/>
      </w:rPr>
    </w:lvl>
    <w:lvl w:ilvl="2" w:tentative="0">
      <w:start w:val="1"/>
      <w:numFmt w:val="bullet"/>
      <w:lvlText w:val="■"/>
      <w:lvlJc w:val="left"/>
      <w:pPr>
        <w:tabs>
          <w:tab w:val="left" w:pos="0"/>
        </w:tabs>
        <w:ind w:left="2160" w:hanging="360"/>
      </w:pPr>
      <w:rPr>
        <w:rFonts w:ascii="OpenSymbol" w:hAnsi="OpenSymbol" w:cs="OpenSymbol"/>
        <w:u w:val="none"/>
      </w:rPr>
    </w:lvl>
    <w:lvl w:ilvl="3" w:tentative="0">
      <w:start w:val="1"/>
      <w:numFmt w:val="bullet"/>
      <w:lvlText w:val=""/>
      <w:lvlJc w:val="left"/>
      <w:pPr>
        <w:tabs>
          <w:tab w:val="left" w:pos="0"/>
        </w:tabs>
        <w:ind w:left="2880" w:hanging="360"/>
      </w:pPr>
      <w:rPr>
        <w:rFonts w:ascii="Wingdings" w:hAnsi="Wingdings" w:cs="Wingdings"/>
        <w:u w:val="none"/>
      </w:rPr>
    </w:lvl>
    <w:lvl w:ilvl="4" w:tentative="0">
      <w:start w:val="1"/>
      <w:numFmt w:val="bullet"/>
      <w:lvlText w:val=""/>
      <w:lvlJc w:val="left"/>
      <w:pPr>
        <w:tabs>
          <w:tab w:val="left" w:pos="0"/>
        </w:tabs>
        <w:ind w:left="3600" w:hanging="360"/>
      </w:pPr>
      <w:rPr>
        <w:rFonts w:ascii="Wingdings 2" w:hAnsi="Wingdings 2" w:cs="Wingdings 2"/>
        <w:u w:val="none"/>
      </w:rPr>
    </w:lvl>
    <w:lvl w:ilvl="5" w:tentative="0">
      <w:start w:val="1"/>
      <w:numFmt w:val="bullet"/>
      <w:lvlText w:val="■"/>
      <w:lvlJc w:val="left"/>
      <w:pPr>
        <w:tabs>
          <w:tab w:val="left" w:pos="0"/>
        </w:tabs>
        <w:ind w:left="4320" w:hanging="360"/>
      </w:pPr>
      <w:rPr>
        <w:rFonts w:ascii="OpenSymbol" w:hAnsi="OpenSymbol" w:cs="OpenSymbol"/>
        <w:u w:val="none"/>
      </w:rPr>
    </w:lvl>
    <w:lvl w:ilvl="6" w:tentative="0">
      <w:start w:val="1"/>
      <w:numFmt w:val="bullet"/>
      <w:lvlText w:val=""/>
      <w:lvlJc w:val="left"/>
      <w:pPr>
        <w:tabs>
          <w:tab w:val="left" w:pos="0"/>
        </w:tabs>
        <w:ind w:left="5040" w:hanging="360"/>
      </w:pPr>
      <w:rPr>
        <w:rFonts w:ascii="Wingdings" w:hAnsi="Wingdings" w:cs="Wingdings"/>
        <w:u w:val="none"/>
      </w:rPr>
    </w:lvl>
    <w:lvl w:ilvl="7" w:tentative="0">
      <w:start w:val="1"/>
      <w:numFmt w:val="bullet"/>
      <w:lvlText w:val=""/>
      <w:lvlJc w:val="left"/>
      <w:pPr>
        <w:tabs>
          <w:tab w:val="left" w:pos="0"/>
        </w:tabs>
        <w:ind w:left="5760" w:hanging="360"/>
      </w:pPr>
      <w:rPr>
        <w:rFonts w:ascii="Wingdings 2" w:hAnsi="Wingdings 2" w:cs="Wingdings 2"/>
        <w:u w:val="none"/>
      </w:rPr>
    </w:lvl>
    <w:lvl w:ilvl="8" w:tentative="0">
      <w:start w:val="1"/>
      <w:numFmt w:val="bullet"/>
      <w:lvlText w:val="■"/>
      <w:lvlJc w:val="left"/>
      <w:pPr>
        <w:tabs>
          <w:tab w:val="left" w:pos="0"/>
        </w:tabs>
        <w:ind w:left="6480" w:hanging="360"/>
      </w:pPr>
      <w:rPr>
        <w:rFonts w:ascii="OpenSymbol" w:hAnsi="OpenSymbol" w:cs="OpenSymbol"/>
        <w:u w:val="none"/>
      </w:rPr>
    </w:lvl>
  </w:abstractNum>
  <w:abstractNum w:abstractNumId="2">
    <w:nsid w:val="00000003"/>
    <w:multiLevelType w:val="multilevel"/>
    <w:tmpl w:val="00000003"/>
    <w:lvl w:ilvl="0" w:tentative="0">
      <w:start w:val="1"/>
      <w:numFmt w:val="bullet"/>
      <w:lvlText w:val=""/>
      <w:lvlJc w:val="left"/>
      <w:pPr>
        <w:tabs>
          <w:tab w:val="left" w:pos="0"/>
        </w:tabs>
        <w:ind w:left="720" w:hanging="360"/>
      </w:pPr>
      <w:rPr>
        <w:rFonts w:ascii="Symbol" w:hAnsi="Symbol" w:cs="Symbol"/>
        <w:sz w:val="22"/>
      </w:rPr>
    </w:lvl>
    <w:lvl w:ilvl="1" w:tentative="0">
      <w:start w:val="1"/>
      <w:numFmt w:val="bullet"/>
      <w:lvlText w:val=""/>
      <w:lvlJc w:val="left"/>
      <w:pPr>
        <w:tabs>
          <w:tab w:val="left" w:pos="0"/>
        </w:tabs>
        <w:ind w:left="1440" w:hanging="360"/>
      </w:pPr>
      <w:rPr>
        <w:rFonts w:ascii="Wingdings 2" w:hAnsi="Wingdings 2" w:cs="Wingdings 2"/>
        <w:u w:val="none"/>
      </w:rPr>
    </w:lvl>
    <w:lvl w:ilvl="2" w:tentative="0">
      <w:start w:val="1"/>
      <w:numFmt w:val="bullet"/>
      <w:lvlText w:val="■"/>
      <w:lvlJc w:val="left"/>
      <w:pPr>
        <w:tabs>
          <w:tab w:val="left" w:pos="0"/>
        </w:tabs>
        <w:ind w:left="2160" w:hanging="360"/>
      </w:pPr>
      <w:rPr>
        <w:rFonts w:ascii="OpenSymbol" w:hAnsi="OpenSymbol" w:cs="OpenSymbol"/>
        <w:u w:val="none"/>
      </w:rPr>
    </w:lvl>
    <w:lvl w:ilvl="3" w:tentative="0">
      <w:start w:val="1"/>
      <w:numFmt w:val="bullet"/>
      <w:lvlText w:val=""/>
      <w:lvlJc w:val="left"/>
      <w:pPr>
        <w:tabs>
          <w:tab w:val="left" w:pos="0"/>
        </w:tabs>
        <w:ind w:left="2880" w:hanging="360"/>
      </w:pPr>
      <w:rPr>
        <w:rFonts w:ascii="Wingdings" w:hAnsi="Wingdings" w:cs="Wingdings"/>
        <w:u w:val="none"/>
      </w:rPr>
    </w:lvl>
    <w:lvl w:ilvl="4" w:tentative="0">
      <w:start w:val="1"/>
      <w:numFmt w:val="bullet"/>
      <w:lvlText w:val=""/>
      <w:lvlJc w:val="left"/>
      <w:pPr>
        <w:tabs>
          <w:tab w:val="left" w:pos="0"/>
        </w:tabs>
        <w:ind w:left="3600" w:hanging="360"/>
      </w:pPr>
      <w:rPr>
        <w:rFonts w:ascii="Wingdings 2" w:hAnsi="Wingdings 2" w:cs="Wingdings 2"/>
        <w:u w:val="none"/>
      </w:rPr>
    </w:lvl>
    <w:lvl w:ilvl="5" w:tentative="0">
      <w:start w:val="1"/>
      <w:numFmt w:val="bullet"/>
      <w:lvlText w:val="■"/>
      <w:lvlJc w:val="left"/>
      <w:pPr>
        <w:tabs>
          <w:tab w:val="left" w:pos="0"/>
        </w:tabs>
        <w:ind w:left="4320" w:hanging="360"/>
      </w:pPr>
      <w:rPr>
        <w:rFonts w:ascii="OpenSymbol" w:hAnsi="OpenSymbol" w:cs="OpenSymbol"/>
        <w:u w:val="none"/>
      </w:rPr>
    </w:lvl>
    <w:lvl w:ilvl="6" w:tentative="0">
      <w:start w:val="1"/>
      <w:numFmt w:val="bullet"/>
      <w:lvlText w:val=""/>
      <w:lvlJc w:val="left"/>
      <w:pPr>
        <w:tabs>
          <w:tab w:val="left" w:pos="0"/>
        </w:tabs>
        <w:ind w:left="5040" w:hanging="360"/>
      </w:pPr>
      <w:rPr>
        <w:rFonts w:ascii="Wingdings" w:hAnsi="Wingdings" w:cs="Wingdings"/>
        <w:u w:val="none"/>
      </w:rPr>
    </w:lvl>
    <w:lvl w:ilvl="7" w:tentative="0">
      <w:start w:val="1"/>
      <w:numFmt w:val="bullet"/>
      <w:lvlText w:val=""/>
      <w:lvlJc w:val="left"/>
      <w:pPr>
        <w:tabs>
          <w:tab w:val="left" w:pos="0"/>
        </w:tabs>
        <w:ind w:left="5760" w:hanging="360"/>
      </w:pPr>
      <w:rPr>
        <w:rFonts w:ascii="Wingdings 2" w:hAnsi="Wingdings 2" w:cs="Wingdings 2"/>
        <w:u w:val="none"/>
      </w:rPr>
    </w:lvl>
    <w:lvl w:ilvl="8" w:tentative="0">
      <w:start w:val="1"/>
      <w:numFmt w:val="bullet"/>
      <w:lvlText w:val="■"/>
      <w:lvlJc w:val="left"/>
      <w:pPr>
        <w:tabs>
          <w:tab w:val="left" w:pos="0"/>
        </w:tabs>
        <w:ind w:left="6480" w:hanging="360"/>
      </w:pPr>
      <w:rPr>
        <w:rFonts w:ascii="OpenSymbol" w:hAnsi="OpenSymbol" w:cs="OpenSymbol"/>
        <w:u w:val="none"/>
      </w:rPr>
    </w:lvl>
  </w:abstractNum>
  <w:abstractNum w:abstractNumId="3">
    <w:nsid w:val="00000004"/>
    <w:multiLevelType w:val="multilevel"/>
    <w:tmpl w:val="00000004"/>
    <w:lvl w:ilvl="0" w:tentative="0">
      <w:start w:val="1"/>
      <w:numFmt w:val="bullet"/>
      <w:lvlText w:val=""/>
      <w:lvlJc w:val="left"/>
      <w:pPr>
        <w:tabs>
          <w:tab w:val="left" w:pos="0"/>
        </w:tabs>
        <w:ind w:left="720" w:hanging="360"/>
      </w:pPr>
      <w:rPr>
        <w:rFonts w:ascii="Symbol" w:hAnsi="Symbol" w:cs="Symbol"/>
        <w:sz w:val="20"/>
      </w:rPr>
    </w:lvl>
    <w:lvl w:ilvl="1" w:tentative="0">
      <w:start w:val="1"/>
      <w:numFmt w:val="bullet"/>
      <w:lvlText w:val=""/>
      <w:lvlJc w:val="left"/>
      <w:pPr>
        <w:tabs>
          <w:tab w:val="left" w:pos="0"/>
        </w:tabs>
        <w:ind w:left="1440" w:hanging="360"/>
      </w:pPr>
      <w:rPr>
        <w:rFonts w:ascii="Wingdings 2" w:hAnsi="Wingdings 2" w:cs="Wingdings 2"/>
        <w:u w:val="none"/>
      </w:rPr>
    </w:lvl>
    <w:lvl w:ilvl="2" w:tentative="0">
      <w:start w:val="1"/>
      <w:numFmt w:val="bullet"/>
      <w:lvlText w:val="■"/>
      <w:lvlJc w:val="left"/>
      <w:pPr>
        <w:tabs>
          <w:tab w:val="left" w:pos="0"/>
        </w:tabs>
        <w:ind w:left="2160" w:hanging="360"/>
      </w:pPr>
      <w:rPr>
        <w:rFonts w:ascii="OpenSymbol" w:hAnsi="OpenSymbol" w:cs="OpenSymbol"/>
        <w:u w:val="none"/>
      </w:rPr>
    </w:lvl>
    <w:lvl w:ilvl="3" w:tentative="0">
      <w:start w:val="1"/>
      <w:numFmt w:val="bullet"/>
      <w:lvlText w:val=""/>
      <w:lvlJc w:val="left"/>
      <w:pPr>
        <w:tabs>
          <w:tab w:val="left" w:pos="0"/>
        </w:tabs>
        <w:ind w:left="2880" w:hanging="360"/>
      </w:pPr>
      <w:rPr>
        <w:rFonts w:ascii="Wingdings" w:hAnsi="Wingdings" w:cs="Wingdings"/>
        <w:u w:val="none"/>
      </w:rPr>
    </w:lvl>
    <w:lvl w:ilvl="4" w:tentative="0">
      <w:start w:val="1"/>
      <w:numFmt w:val="bullet"/>
      <w:lvlText w:val=""/>
      <w:lvlJc w:val="left"/>
      <w:pPr>
        <w:tabs>
          <w:tab w:val="left" w:pos="0"/>
        </w:tabs>
        <w:ind w:left="3600" w:hanging="360"/>
      </w:pPr>
      <w:rPr>
        <w:rFonts w:ascii="Wingdings 2" w:hAnsi="Wingdings 2" w:cs="Wingdings 2"/>
        <w:u w:val="none"/>
      </w:rPr>
    </w:lvl>
    <w:lvl w:ilvl="5" w:tentative="0">
      <w:start w:val="1"/>
      <w:numFmt w:val="bullet"/>
      <w:lvlText w:val="■"/>
      <w:lvlJc w:val="left"/>
      <w:pPr>
        <w:tabs>
          <w:tab w:val="left" w:pos="0"/>
        </w:tabs>
        <w:ind w:left="4320" w:hanging="360"/>
      </w:pPr>
      <w:rPr>
        <w:rFonts w:ascii="OpenSymbol" w:hAnsi="OpenSymbol" w:cs="OpenSymbol"/>
        <w:u w:val="none"/>
      </w:rPr>
    </w:lvl>
    <w:lvl w:ilvl="6" w:tentative="0">
      <w:start w:val="1"/>
      <w:numFmt w:val="bullet"/>
      <w:lvlText w:val=""/>
      <w:lvlJc w:val="left"/>
      <w:pPr>
        <w:tabs>
          <w:tab w:val="left" w:pos="0"/>
        </w:tabs>
        <w:ind w:left="5040" w:hanging="360"/>
      </w:pPr>
      <w:rPr>
        <w:rFonts w:ascii="Wingdings" w:hAnsi="Wingdings" w:cs="Wingdings"/>
        <w:u w:val="none"/>
      </w:rPr>
    </w:lvl>
    <w:lvl w:ilvl="7" w:tentative="0">
      <w:start w:val="1"/>
      <w:numFmt w:val="bullet"/>
      <w:lvlText w:val=""/>
      <w:lvlJc w:val="left"/>
      <w:pPr>
        <w:tabs>
          <w:tab w:val="left" w:pos="0"/>
        </w:tabs>
        <w:ind w:left="5760" w:hanging="360"/>
      </w:pPr>
      <w:rPr>
        <w:rFonts w:ascii="Wingdings 2" w:hAnsi="Wingdings 2" w:cs="Wingdings 2"/>
        <w:u w:val="none"/>
      </w:rPr>
    </w:lvl>
    <w:lvl w:ilvl="8" w:tentative="0">
      <w:start w:val="1"/>
      <w:numFmt w:val="bullet"/>
      <w:lvlText w:val="■"/>
      <w:lvlJc w:val="left"/>
      <w:pPr>
        <w:tabs>
          <w:tab w:val="left" w:pos="0"/>
        </w:tabs>
        <w:ind w:left="6480" w:hanging="360"/>
      </w:pPr>
      <w:rPr>
        <w:rFonts w:ascii="OpenSymbol" w:hAnsi="OpenSymbol" w:cs="OpenSymbol"/>
        <w:u w:val="none"/>
      </w:rPr>
    </w:lvl>
  </w:abstractNum>
  <w:abstractNum w:abstractNumId="4">
    <w:nsid w:val="00000005"/>
    <w:multiLevelType w:val="multilevel"/>
    <w:tmpl w:val="00000005"/>
    <w:lvl w:ilvl="0" w:tentative="0">
      <w:start w:val="1"/>
      <w:numFmt w:val="bullet"/>
      <w:lvlText w:val=""/>
      <w:lvlJc w:val="left"/>
      <w:pPr>
        <w:tabs>
          <w:tab w:val="left" w:pos="0"/>
        </w:tabs>
        <w:ind w:left="720" w:hanging="360"/>
      </w:pPr>
      <w:rPr>
        <w:rFonts w:ascii="Symbol" w:hAnsi="Symbol" w:cs="Symbol"/>
      </w:rPr>
    </w:lvl>
    <w:lvl w:ilvl="1" w:tentative="0">
      <w:start w:val="1"/>
      <w:numFmt w:val="bullet"/>
      <w:lvlText w:val=""/>
      <w:lvlJc w:val="left"/>
      <w:pPr>
        <w:tabs>
          <w:tab w:val="left" w:pos="0"/>
        </w:tabs>
        <w:ind w:left="1440" w:hanging="360"/>
      </w:pPr>
      <w:rPr>
        <w:rFonts w:ascii="Symbol" w:hAnsi="Symbol" w:cs="Symbol"/>
      </w:rPr>
    </w:lvl>
    <w:lvl w:ilvl="2" w:tentative="0">
      <w:start w:val="1"/>
      <w:numFmt w:val="bullet"/>
      <w:lvlText w:val=""/>
      <w:lvlJc w:val="left"/>
      <w:pPr>
        <w:tabs>
          <w:tab w:val="left" w:pos="0"/>
        </w:tabs>
        <w:ind w:left="2160" w:hanging="360"/>
      </w:pPr>
      <w:rPr>
        <w:rFonts w:ascii="Symbol" w:hAnsi="Symbol" w:cs="Symbol"/>
      </w:rPr>
    </w:lvl>
    <w:lvl w:ilvl="3" w:tentative="0">
      <w:start w:val="1"/>
      <w:numFmt w:val="bullet"/>
      <w:lvlText w:val=""/>
      <w:lvlJc w:val="left"/>
      <w:pPr>
        <w:tabs>
          <w:tab w:val="left" w:pos="0"/>
        </w:tabs>
        <w:ind w:left="2880" w:hanging="360"/>
      </w:pPr>
      <w:rPr>
        <w:rFonts w:ascii="Symbol" w:hAnsi="Symbol" w:cs="Symbol"/>
      </w:rPr>
    </w:lvl>
    <w:lvl w:ilvl="4" w:tentative="0">
      <w:start w:val="1"/>
      <w:numFmt w:val="bullet"/>
      <w:lvlText w:val=""/>
      <w:lvlJc w:val="left"/>
      <w:pPr>
        <w:tabs>
          <w:tab w:val="left" w:pos="0"/>
        </w:tabs>
        <w:ind w:left="3600" w:hanging="360"/>
      </w:pPr>
      <w:rPr>
        <w:rFonts w:ascii="Symbol" w:hAnsi="Symbol" w:cs="Symbol"/>
      </w:rPr>
    </w:lvl>
    <w:lvl w:ilvl="5" w:tentative="0">
      <w:start w:val="1"/>
      <w:numFmt w:val="bullet"/>
      <w:lvlText w:val=""/>
      <w:lvlJc w:val="left"/>
      <w:pPr>
        <w:tabs>
          <w:tab w:val="left" w:pos="0"/>
        </w:tabs>
        <w:ind w:left="4320" w:hanging="360"/>
      </w:pPr>
      <w:rPr>
        <w:rFonts w:ascii="Symbol" w:hAnsi="Symbol" w:cs="Symbol"/>
      </w:rPr>
    </w:lvl>
    <w:lvl w:ilvl="6" w:tentative="0">
      <w:start w:val="1"/>
      <w:numFmt w:val="bullet"/>
      <w:lvlText w:val=""/>
      <w:lvlJc w:val="left"/>
      <w:pPr>
        <w:tabs>
          <w:tab w:val="left" w:pos="0"/>
        </w:tabs>
        <w:ind w:left="5040" w:hanging="360"/>
      </w:pPr>
      <w:rPr>
        <w:rFonts w:ascii="Symbol" w:hAnsi="Symbol" w:cs="Symbol"/>
      </w:rPr>
    </w:lvl>
    <w:lvl w:ilvl="7" w:tentative="0">
      <w:start w:val="1"/>
      <w:numFmt w:val="bullet"/>
      <w:lvlText w:val=""/>
      <w:lvlJc w:val="left"/>
      <w:pPr>
        <w:tabs>
          <w:tab w:val="left" w:pos="0"/>
        </w:tabs>
        <w:ind w:left="5760" w:hanging="360"/>
      </w:pPr>
      <w:rPr>
        <w:rFonts w:ascii="Symbol" w:hAnsi="Symbol" w:cs="Symbol"/>
      </w:rPr>
    </w:lvl>
    <w:lvl w:ilvl="8" w:tentative="0">
      <w:start w:val="1"/>
      <w:numFmt w:val="bullet"/>
      <w:lvlText w:val=""/>
      <w:lvlJc w:val="left"/>
      <w:pPr>
        <w:tabs>
          <w:tab w:val="left" w:pos="0"/>
        </w:tabs>
        <w:ind w:left="6480" w:hanging="360"/>
      </w:pPr>
      <w:rPr>
        <w:rFonts w:ascii="Symbol" w:hAnsi="Symbol" w:cs="Symbol"/>
      </w:rPr>
    </w:lvl>
  </w:abstractNum>
  <w:abstractNum w:abstractNumId="5">
    <w:nsid w:val="00000006"/>
    <w:multiLevelType w:val="multilevel"/>
    <w:tmpl w:val="00000006"/>
    <w:lvl w:ilvl="0" w:tentative="0">
      <w:start w:val="1"/>
      <w:numFmt w:val="bullet"/>
      <w:lvlText w:val=""/>
      <w:lvlJc w:val="left"/>
      <w:pPr>
        <w:tabs>
          <w:tab w:val="left" w:pos="0"/>
        </w:tabs>
        <w:ind w:left="720" w:hanging="360"/>
      </w:pPr>
      <w:rPr>
        <w:rFonts w:ascii="Symbol" w:hAnsi="Symbol" w:cs="Symbol"/>
        <w:sz w:val="20"/>
        <w:szCs w:val="20"/>
      </w:rPr>
    </w:lvl>
    <w:lvl w:ilvl="1" w:tentative="0">
      <w:start w:val="1"/>
      <w:numFmt w:val="bullet"/>
      <w:lvlText w:val=""/>
      <w:lvlJc w:val="left"/>
      <w:pPr>
        <w:tabs>
          <w:tab w:val="left" w:pos="0"/>
        </w:tabs>
        <w:ind w:left="1440" w:hanging="360"/>
      </w:pPr>
      <w:rPr>
        <w:rFonts w:ascii="Symbol" w:hAnsi="Symbol" w:cs="Symbol"/>
        <w:sz w:val="20"/>
        <w:szCs w:val="20"/>
      </w:rPr>
    </w:lvl>
    <w:lvl w:ilvl="2" w:tentative="0">
      <w:start w:val="1"/>
      <w:numFmt w:val="bullet"/>
      <w:lvlText w:val=""/>
      <w:lvlJc w:val="left"/>
      <w:pPr>
        <w:tabs>
          <w:tab w:val="left" w:pos="0"/>
        </w:tabs>
        <w:ind w:left="2160" w:hanging="360"/>
      </w:pPr>
      <w:rPr>
        <w:rFonts w:ascii="Symbol" w:hAnsi="Symbol" w:cs="Symbol"/>
        <w:sz w:val="20"/>
        <w:szCs w:val="20"/>
      </w:rPr>
    </w:lvl>
    <w:lvl w:ilvl="3" w:tentative="0">
      <w:start w:val="1"/>
      <w:numFmt w:val="bullet"/>
      <w:lvlText w:val=""/>
      <w:lvlJc w:val="left"/>
      <w:pPr>
        <w:tabs>
          <w:tab w:val="left" w:pos="0"/>
        </w:tabs>
        <w:ind w:left="2880" w:hanging="360"/>
      </w:pPr>
      <w:rPr>
        <w:rFonts w:ascii="Symbol" w:hAnsi="Symbol" w:cs="Symbol"/>
        <w:sz w:val="20"/>
        <w:szCs w:val="20"/>
      </w:rPr>
    </w:lvl>
    <w:lvl w:ilvl="4" w:tentative="0">
      <w:start w:val="1"/>
      <w:numFmt w:val="bullet"/>
      <w:lvlText w:val=""/>
      <w:lvlJc w:val="left"/>
      <w:pPr>
        <w:tabs>
          <w:tab w:val="left" w:pos="0"/>
        </w:tabs>
        <w:ind w:left="3600" w:hanging="360"/>
      </w:pPr>
      <w:rPr>
        <w:rFonts w:ascii="Symbol" w:hAnsi="Symbol" w:cs="Symbol"/>
        <w:sz w:val="20"/>
        <w:szCs w:val="20"/>
      </w:rPr>
    </w:lvl>
    <w:lvl w:ilvl="5" w:tentative="0">
      <w:start w:val="1"/>
      <w:numFmt w:val="bullet"/>
      <w:lvlText w:val=""/>
      <w:lvlJc w:val="left"/>
      <w:pPr>
        <w:tabs>
          <w:tab w:val="left" w:pos="0"/>
        </w:tabs>
        <w:ind w:left="4320" w:hanging="360"/>
      </w:pPr>
      <w:rPr>
        <w:rFonts w:ascii="Symbol" w:hAnsi="Symbol" w:cs="Symbol"/>
        <w:sz w:val="20"/>
        <w:szCs w:val="20"/>
      </w:rPr>
    </w:lvl>
    <w:lvl w:ilvl="6" w:tentative="0">
      <w:start w:val="1"/>
      <w:numFmt w:val="bullet"/>
      <w:lvlText w:val=""/>
      <w:lvlJc w:val="left"/>
      <w:pPr>
        <w:tabs>
          <w:tab w:val="left" w:pos="0"/>
        </w:tabs>
        <w:ind w:left="5040" w:hanging="360"/>
      </w:pPr>
      <w:rPr>
        <w:rFonts w:ascii="Symbol" w:hAnsi="Symbol" w:cs="Symbol"/>
        <w:sz w:val="20"/>
        <w:szCs w:val="20"/>
      </w:rPr>
    </w:lvl>
    <w:lvl w:ilvl="7" w:tentative="0">
      <w:start w:val="1"/>
      <w:numFmt w:val="bullet"/>
      <w:lvlText w:val=""/>
      <w:lvlJc w:val="left"/>
      <w:pPr>
        <w:tabs>
          <w:tab w:val="left" w:pos="0"/>
        </w:tabs>
        <w:ind w:left="5760" w:hanging="360"/>
      </w:pPr>
      <w:rPr>
        <w:rFonts w:ascii="Symbol" w:hAnsi="Symbol" w:cs="Symbol"/>
        <w:sz w:val="20"/>
        <w:szCs w:val="20"/>
      </w:rPr>
    </w:lvl>
    <w:lvl w:ilvl="8" w:tentative="0">
      <w:start w:val="1"/>
      <w:numFmt w:val="bullet"/>
      <w:lvlText w:val=""/>
      <w:lvlJc w:val="left"/>
      <w:pPr>
        <w:tabs>
          <w:tab w:val="left" w:pos="0"/>
        </w:tabs>
        <w:ind w:left="6480" w:hanging="360"/>
      </w:pPr>
      <w:rPr>
        <w:rFonts w:ascii="Symbol" w:hAnsi="Symbol" w:cs="Symbol"/>
        <w:sz w:val="20"/>
        <w:szCs w:val="20"/>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0F78B5"/>
    <w:rsid w:val="3E0F78B5"/>
    <w:rsid w:val="7F2B6D14"/>
    <w:rsid w:val="7F5B4829"/>
    <w:rsid w:val="B7AA0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suppressAutoHyphens/>
      <w:overflowPunct w:val="0"/>
      <w:bidi w:val="0"/>
      <w:spacing w:line="276" w:lineRule="auto"/>
      <w:jc w:val="left"/>
    </w:pPr>
    <w:rPr>
      <w:rFonts w:ascii="Arial" w:hAnsi="Arial" w:eastAsia="Arial" w:cs="Arial"/>
      <w:color w:val="00000A"/>
      <w:kern w:val="1"/>
      <w:sz w:val="20"/>
      <w:szCs w:val="20"/>
      <w:lang w:val="en" w:eastAsia="zh-CN" w:bidi="hi-IN"/>
    </w:rPr>
  </w:style>
  <w:style w:type="paragraph" w:styleId="2">
    <w:name w:val="heading 1"/>
    <w:basedOn w:val="1"/>
    <w:next w:val="3"/>
    <w:qFormat/>
    <w:uiPriority w:val="0"/>
    <w:pPr>
      <w:keepNext/>
      <w:keepLines/>
      <w:numPr>
        <w:ilvl w:val="0"/>
        <w:numId w:val="1"/>
      </w:numPr>
      <w:spacing w:before="480" w:after="120" w:line="266" w:lineRule="auto"/>
      <w:outlineLvl w:val="0"/>
    </w:pPr>
    <w:rPr>
      <w:b/>
      <w:sz w:val="28"/>
      <w:szCs w:val="28"/>
    </w:rPr>
  </w:style>
  <w:style w:type="paragraph" w:styleId="4">
    <w:name w:val="heading 2"/>
    <w:basedOn w:val="1"/>
    <w:next w:val="3"/>
    <w:qFormat/>
    <w:uiPriority w:val="0"/>
    <w:pPr>
      <w:keepNext/>
      <w:keepLines/>
      <w:numPr>
        <w:ilvl w:val="1"/>
        <w:numId w:val="1"/>
      </w:numPr>
      <w:spacing w:before="600" w:after="120" w:line="266" w:lineRule="auto"/>
      <w:outlineLvl w:val="1"/>
    </w:pPr>
    <w:rPr>
      <w:b/>
      <w:sz w:val="24"/>
      <w:szCs w:val="24"/>
    </w:rPr>
  </w:style>
  <w:style w:type="character" w:default="1" w:styleId="8">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0"/>
    <w:pPr>
      <w:spacing w:before="0" w:after="140" w:line="288" w:lineRule="auto"/>
    </w:pPr>
  </w:style>
  <w:style w:type="paragraph" w:styleId="5">
    <w:name w:val="footer"/>
    <w:basedOn w:val="1"/>
    <w:qFormat/>
    <w:uiPriority w:val="0"/>
    <w:pPr>
      <w:suppressLineNumbers/>
    </w:pPr>
  </w:style>
  <w:style w:type="paragraph" w:styleId="6">
    <w:name w:val="Subtitle"/>
    <w:basedOn w:val="1"/>
    <w:next w:val="3"/>
    <w:qFormat/>
    <w:uiPriority w:val="0"/>
    <w:pPr>
      <w:keepNext/>
      <w:keepLines/>
      <w:spacing w:before="0" w:after="320"/>
    </w:pPr>
    <w:rPr>
      <w:rFonts w:ascii="Arial" w:hAnsi="Arial" w:eastAsia="Arial" w:cs="Arial"/>
      <w:color w:val="666666"/>
      <w:sz w:val="30"/>
      <w:szCs w:val="30"/>
    </w:rPr>
  </w:style>
  <w:style w:type="paragraph" w:styleId="7">
    <w:name w:val="Title"/>
    <w:basedOn w:val="1"/>
    <w:next w:val="3"/>
    <w:qFormat/>
    <w:uiPriority w:val="0"/>
    <w:pPr>
      <w:keepNext/>
      <w:keepLines/>
      <w:spacing w:before="0" w:after="60"/>
    </w:pPr>
    <w:rPr>
      <w:sz w:val="52"/>
      <w:szCs w:val="52"/>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2019-11-05T21:42:00Z</dcterms:created>
  <dc:creator>notebook</dc:creator>
  <cp:lastModifiedBy>notebook</cp:lastModifiedBy>
  <dcterms:modified xsi:type="dcterms:W3CDTF">2019-11-22T11:21:10Z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