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tiff" ContentType="image/tiff"/>
  <Default Extension="jpeg" ContentType="image/jpe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6"/>
      </w:pPr>
      <w:bookmarkStart w:id="110" w:name="_GoBack"/>
      <w:bookmarkEnd w:id="110"/>
      <w:r>
        <w:rPr>
          <w:lang w:val="en-US" w:eastAsia="zh-CN"/>
        </w:rPr>
        <mc:AlternateContent>
          <mc:Choice Requires="wps">
            <w:drawing>
              <wp:anchor distT="180340" distB="0" distL="114300" distR="114300" simplePos="0" relativeHeight="251662336" behindDoc="1" locked="1" layoutInCell="0" allowOverlap="0">
                <wp:simplePos x="0" y="0"/>
                <wp:positionH relativeFrom="column">
                  <wp:posOffset>0</wp:posOffset>
                </wp:positionH>
                <wp:positionV relativeFrom="margin">
                  <wp:posOffset>6146165</wp:posOffset>
                </wp:positionV>
                <wp:extent cx="3159125" cy="1628140"/>
                <wp:effectExtent l="0" t="0" r="3175" b="0"/>
                <wp:wrapTopAndBottom/>
                <wp:docPr id="7"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158837" cy="1627909"/>
                        </a:xfrm>
                        <a:prstGeom prst="rect">
                          <a:avLst/>
                        </a:prstGeom>
                        <a:solidFill>
                          <a:srgbClr val="FFFFFF"/>
                        </a:solidFill>
                        <a:ln w="9525">
                          <a:noFill/>
                          <a:miter lim="800000"/>
                        </a:ln>
                      </wps:spPr>
                      <wps:txbx>
                        <w:txbxContent>
                          <w:p>
                            <w:pPr>
                              <w:pStyle w:val="35"/>
                              <w:pBdr>
                                <w:top w:val="single" w:color="A6A6A6" w:sz="12" w:space="1"/>
                              </w:pBdr>
                            </w:pPr>
                            <w:r>
                              <w:t>School of Chemical Engineering, Dalian University of Technology, Dalian 116024, China</w:t>
                            </w:r>
                          </w:p>
                          <w:p>
                            <w:pPr>
                              <w:pStyle w:val="35"/>
                              <w:pBdr>
                                <w:top w:val="single" w:color="A6A6A6" w:sz="12" w:space="1"/>
                              </w:pBdr>
                            </w:pPr>
                            <w:r>
                              <w:t>Zhengzhou Tobacco Research Institute of CNTC, Zhengzhou 450001, China.</w:t>
                            </w:r>
                            <w:r>
                              <w:rPr>
                                <w:rFonts w:hint="eastAsia"/>
                                <w:lang w:eastAsia="zh-CN"/>
                              </w:rPr>
                              <w:t xml:space="preserve"> E-mail: </w:t>
                            </w:r>
                            <w:r>
                              <w:rPr>
                                <w:lang w:eastAsia="zh-CN"/>
                              </w:rPr>
                              <w:t>yuemingzhao2016@sina.com</w:t>
                            </w:r>
                            <w:r>
                              <w:rPr>
                                <w:rFonts w:hint="eastAsia"/>
                                <w:lang w:eastAsia="zh-CN"/>
                              </w:rPr>
                              <w:t xml:space="preserve">; </w:t>
                            </w:r>
                            <w:r>
                              <w:rPr>
                                <w:lang w:eastAsia="zh-CN"/>
                              </w:rPr>
                              <w:t>jin_lf@126.com</w:t>
                            </w:r>
                            <w:r>
                              <w:rPr>
                                <w:rFonts w:hint="eastAsia"/>
                                <w:lang w:eastAsia="zh-CN"/>
                              </w:rPr>
                              <w:t>; Tel: +86-</w:t>
                            </w:r>
                            <w:r>
                              <w:rPr>
                                <w:lang w:eastAsia="zh-CN"/>
                              </w:rPr>
                              <w:t>13937188218</w:t>
                            </w:r>
                            <w:r>
                              <w:rPr>
                                <w:rFonts w:hint="eastAsia"/>
                                <w:lang w:eastAsia="zh-CN"/>
                              </w:rPr>
                              <w:t>; +86-</w:t>
                            </w:r>
                            <w:r>
                              <w:rPr>
                                <w:lang w:eastAsia="zh-CN"/>
                              </w:rPr>
                              <w:t>13592582785</w:t>
                            </w:r>
                          </w:p>
                          <w:p>
                            <w:pPr>
                              <w:pStyle w:val="35"/>
                              <w:pBdr>
                                <w:top w:val="single" w:color="A6A6A6" w:sz="12" w:space="1"/>
                              </w:pBdr>
                            </w:pPr>
                            <w:r>
                              <w:t>Dalian Institute of Chemical Physics, Chinese Academy of Sciences, Dalian 116023, China</w:t>
                            </w:r>
                          </w:p>
                          <w:p>
                            <w:pPr>
                              <w:pStyle w:val="35"/>
                              <w:pBdr>
                                <w:top w:val="single" w:color="A6A6A6" w:sz="12" w:space="1"/>
                              </w:pBdr>
                            </w:pPr>
                            <w:r>
                              <w:t>Yunnan Academy of Tobacco Agricultural Sciences, Kunming 650021, China</w:t>
                            </w:r>
                          </w:p>
                          <w:p>
                            <w:pPr>
                              <w:pStyle w:val="35"/>
                              <w:pBdr>
                                <w:top w:val="single" w:color="A6A6A6" w:sz="12" w:space="1"/>
                              </w:pBdr>
                            </w:pPr>
                            <w:r>
                              <w:rPr>
                                <w:rFonts w:hint="eastAsia"/>
                              </w:rPr>
                              <w:t xml:space="preserve">Institute of Plant Stress Biology, State Key Laboratory of Cotton Biology, Department of Biology, Henan University, 85 Minglun Street, Kaifeng 475001, China. </w:t>
                            </w:r>
                          </w:p>
                          <w:p>
                            <w:pPr>
                              <w:pStyle w:val="42"/>
                              <w:rPr>
                                <w:lang w:eastAsia="zh-CN"/>
                              </w:rPr>
                            </w:pPr>
                            <w:r>
                              <w:t xml:space="preserve">† </w:t>
                            </w:r>
                            <w:r>
                              <w:rPr>
                                <w:rFonts w:hint="eastAsia"/>
                                <w:lang w:eastAsia="zh-CN"/>
                              </w:rPr>
                              <w:t>These</w:t>
                            </w:r>
                            <w:r>
                              <w:t xml:space="preserve"> authors contributed equally to this work.</w:t>
                            </w:r>
                          </w:p>
                          <w:p>
                            <w:pPr>
                              <w:pStyle w:val="42"/>
                              <w:rPr>
                                <w:lang w:eastAsia="zh-CN"/>
                              </w:rPr>
                            </w:pPr>
                          </w:p>
                        </w:txbxContent>
                      </wps:txbx>
                      <wps:bodyPr rot="0" vert="horz" wrap="square" lIns="0" tIns="36000" rIns="0" bIns="36000" anchor="b" anchorCtr="0">
                        <a:spAutoFit/>
                      </wps:bodyPr>
                    </wps:wsp>
                  </a:graphicData>
                </a:graphic>
                <wp14:sizeRelH relativeFrom="page">
                  <wp14:pctWidth>0</wp14:pctWidth>
                </wp14:sizeRelH>
                <wp14:sizeRelV relativeFrom="margin">
                  <wp14:pctHeight>20000</wp14:pctHeight>
                </wp14:sizeRelV>
              </wp:anchor>
            </w:drawing>
          </mc:Choice>
          <mc:Fallback>
            <w:pict>
              <v:shape id="Text Box 2" o:spid="_x0000_s1026" o:spt="202" type="#_x0000_t202" style="position:absolute;left:0pt;margin-left:0pt;margin-top:483.95pt;height:128.2pt;width:248.75pt;mso-position-vertical-relative:margin;mso-wrap-distance-bottom:0pt;mso-wrap-distance-top:14.2pt;z-index:-251654144;v-text-anchor:bottom;mso-width-relative:page;mso-height-relative:margin;mso-height-percent:200;" fillcolor="#FFFFFF" filled="t" stroked="f" coordsize="21600,21600" o:allowincell="f" o:allowoverlap="f" o:gfxdata="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IQ7wQ9kAAAAJAQAADwAAAAAAAAAB&#10;ACAAAAAiAAAAZHJzL2Rvd25yZXYueG1sUEsBAhQAFAAAAAgAh07iQABczV4PAgAADwQAAA4AAAAA&#10;AAAAAQAgAAAAKAEAAGRycy9lMm9Eb2MueG1sUEsFBgAAAAAGAAYAWQEAAKkFAAAAAA==&#10;">
                <v:fill on="t" focussize="0,0"/>
                <v:stroke on="f" miterlimit="8" joinstyle="miter"/>
                <v:imagedata o:title=""/>
                <o:lock v:ext="edit" aspectratio="t"/>
                <v:textbox inset="0mm,1mm,0mm,1mm" style="mso-fit-shape-to-text:t;">
                  <w:txbxContent>
                    <w:p>
                      <w:pPr>
                        <w:pStyle w:val="35"/>
                        <w:pBdr>
                          <w:top w:val="single" w:color="A6A6A6" w:sz="12" w:space="1"/>
                        </w:pBdr>
                      </w:pPr>
                      <w:r>
                        <w:t>School of Chemical Engineering, Dalian University of Technology, Dalian 116024, China</w:t>
                      </w:r>
                    </w:p>
                    <w:p>
                      <w:pPr>
                        <w:pStyle w:val="35"/>
                        <w:pBdr>
                          <w:top w:val="single" w:color="A6A6A6" w:sz="12" w:space="1"/>
                        </w:pBdr>
                      </w:pPr>
                      <w:r>
                        <w:t>Zhengzhou Tobacco Research Institute of CNTC, Zhengzhou 450001, China.</w:t>
                      </w:r>
                      <w:r>
                        <w:rPr>
                          <w:rFonts w:hint="eastAsia"/>
                          <w:lang w:eastAsia="zh-CN"/>
                        </w:rPr>
                        <w:t xml:space="preserve"> E-mail: </w:t>
                      </w:r>
                      <w:r>
                        <w:rPr>
                          <w:lang w:eastAsia="zh-CN"/>
                        </w:rPr>
                        <w:t>yuemingzhao2016@sina.com</w:t>
                      </w:r>
                      <w:r>
                        <w:rPr>
                          <w:rFonts w:hint="eastAsia"/>
                          <w:lang w:eastAsia="zh-CN"/>
                        </w:rPr>
                        <w:t xml:space="preserve">; </w:t>
                      </w:r>
                      <w:r>
                        <w:rPr>
                          <w:lang w:eastAsia="zh-CN"/>
                        </w:rPr>
                        <w:t>jin_lf@126.com</w:t>
                      </w:r>
                      <w:r>
                        <w:rPr>
                          <w:rFonts w:hint="eastAsia"/>
                          <w:lang w:eastAsia="zh-CN"/>
                        </w:rPr>
                        <w:t>; Tel: +86-</w:t>
                      </w:r>
                      <w:r>
                        <w:rPr>
                          <w:lang w:eastAsia="zh-CN"/>
                        </w:rPr>
                        <w:t>13937188218</w:t>
                      </w:r>
                      <w:r>
                        <w:rPr>
                          <w:rFonts w:hint="eastAsia"/>
                          <w:lang w:eastAsia="zh-CN"/>
                        </w:rPr>
                        <w:t>; +86-</w:t>
                      </w:r>
                      <w:r>
                        <w:rPr>
                          <w:lang w:eastAsia="zh-CN"/>
                        </w:rPr>
                        <w:t>13592582785</w:t>
                      </w:r>
                    </w:p>
                    <w:p>
                      <w:pPr>
                        <w:pStyle w:val="35"/>
                        <w:pBdr>
                          <w:top w:val="single" w:color="A6A6A6" w:sz="12" w:space="1"/>
                        </w:pBdr>
                      </w:pPr>
                      <w:r>
                        <w:t>Dalian Institute of Chemical Physics, Chinese Academy of Sciences, Dalian 116023, China</w:t>
                      </w:r>
                    </w:p>
                    <w:p>
                      <w:pPr>
                        <w:pStyle w:val="35"/>
                        <w:pBdr>
                          <w:top w:val="single" w:color="A6A6A6" w:sz="12" w:space="1"/>
                        </w:pBdr>
                      </w:pPr>
                      <w:r>
                        <w:t>Yunnan Academy of Tobacco Agricultural Sciences, Kunming 650021, China</w:t>
                      </w:r>
                    </w:p>
                    <w:p>
                      <w:pPr>
                        <w:pStyle w:val="35"/>
                        <w:pBdr>
                          <w:top w:val="single" w:color="A6A6A6" w:sz="12" w:space="1"/>
                        </w:pBdr>
                      </w:pPr>
                      <w:r>
                        <w:rPr>
                          <w:rFonts w:hint="eastAsia"/>
                        </w:rPr>
                        <w:t xml:space="preserve">Institute of Plant Stress Biology, State Key Laboratory of Cotton Biology, Department of Biology, Henan University, 85 Minglun Street, Kaifeng 475001, China. </w:t>
                      </w:r>
                    </w:p>
                    <w:p>
                      <w:pPr>
                        <w:pStyle w:val="42"/>
                        <w:rPr>
                          <w:lang w:eastAsia="zh-CN"/>
                        </w:rPr>
                      </w:pPr>
                      <w:r>
                        <w:t xml:space="preserve">† </w:t>
                      </w:r>
                      <w:r>
                        <w:rPr>
                          <w:rFonts w:hint="eastAsia"/>
                          <w:lang w:eastAsia="zh-CN"/>
                        </w:rPr>
                        <w:t>These</w:t>
                      </w:r>
                      <w:r>
                        <w:t xml:space="preserve"> authors contributed equally to this work.</w:t>
                      </w:r>
                    </w:p>
                    <w:p>
                      <w:pPr>
                        <w:pStyle w:val="42"/>
                        <w:rPr>
                          <w:lang w:eastAsia="zh-CN"/>
                        </w:rPr>
                      </w:pPr>
                    </w:p>
                  </w:txbxContent>
                </v:textbox>
                <w10:wrap type="topAndBottom"/>
                <w10:anchorlock/>
              </v:shape>
            </w:pict>
          </mc:Fallback>
        </mc:AlternateContent>
      </w:r>
      <w:r>
        <w:t>Received 00th January 20xx,</w:t>
      </w:r>
    </w:p>
    <w:p>
      <w:pPr>
        <w:pStyle w:val="76"/>
      </w:pPr>
      <w:r>
        <w:t>Accepted 00th January 20xx</w:t>
      </w:r>
    </w:p>
    <w:p>
      <w:pPr>
        <w:pStyle w:val="78"/>
      </w:pPr>
      <w:r>
        <w:t>DOI: 10.1039/x0xx00000x</w:t>
      </w:r>
    </w:p>
    <w:p>
      <w:pPr>
        <w:pStyle w:val="80"/>
      </w:pPr>
    </w:p>
    <w:p>
      <w:pPr>
        <w:pStyle w:val="26"/>
      </w:pPr>
      <w:r>
        <w:br w:type="column"/>
      </w:r>
      <w:bookmarkStart w:id="0" w:name="OLE_LINK4"/>
      <w:bookmarkStart w:id="1" w:name="OLE_LINK20"/>
      <w:r>
        <w:rPr>
          <w:lang w:val="en-US"/>
        </w:rPr>
        <w:t>Overexpression</w:t>
      </w:r>
      <w:bookmarkStart w:id="2" w:name="OLE_LINK95"/>
      <w:bookmarkStart w:id="3" w:name="OLE_LINK96"/>
      <w:r>
        <w:rPr>
          <w:lang w:val="en-US"/>
        </w:rPr>
        <w:t xml:space="preserve"> of</w:t>
      </w:r>
      <w:bookmarkEnd w:id="2"/>
      <w:bookmarkEnd w:id="3"/>
      <w:r>
        <w:rPr>
          <w:lang w:val="en-US"/>
        </w:rPr>
        <w:t xml:space="preserve"> </w:t>
      </w:r>
      <w:r>
        <w:rPr>
          <w:i/>
          <w:lang w:val="en-US"/>
        </w:rPr>
        <w:t>chalcone synthase</w:t>
      </w:r>
      <w:bookmarkStart w:id="4" w:name="OLE_LINK10"/>
      <w:bookmarkStart w:id="5" w:name="OLE_LINK9"/>
      <w:bookmarkStart w:id="6" w:name="OLE_LINK31"/>
      <w:r>
        <w:rPr>
          <w:i/>
          <w:lang w:val="en-US"/>
        </w:rPr>
        <w:t xml:space="preserve"> </w:t>
      </w:r>
      <w:r>
        <w:rPr>
          <w:bCs/>
          <w:lang w:val="en-US"/>
        </w:rPr>
        <w:t xml:space="preserve">gene </w:t>
      </w:r>
      <w:r>
        <w:rPr>
          <w:lang w:val="en-US"/>
        </w:rPr>
        <w:t>improves flavonoid</w:t>
      </w:r>
      <w:bookmarkEnd w:id="4"/>
      <w:bookmarkEnd w:id="5"/>
      <w:bookmarkEnd w:id="6"/>
      <w:r>
        <w:rPr>
          <w:lang w:val="en-US"/>
        </w:rPr>
        <w:t xml:space="preserve"> accumulation and</w:t>
      </w:r>
      <w:bookmarkStart w:id="7" w:name="OLE_LINK89"/>
      <w:bookmarkStart w:id="8" w:name="OLE_LINK48"/>
      <w:bookmarkStart w:id="9" w:name="OLE_LINK118"/>
      <w:bookmarkStart w:id="10" w:name="OLE_LINK119"/>
      <w:r>
        <w:rPr>
          <w:lang w:val="en-US"/>
        </w:rPr>
        <w:t xml:space="preserve"> drought</w:t>
      </w:r>
      <w:bookmarkEnd w:id="7"/>
      <w:bookmarkEnd w:id="8"/>
      <w:r>
        <w:rPr>
          <w:lang w:val="en-US"/>
        </w:rPr>
        <w:t xml:space="preserve"> tolerance</w:t>
      </w:r>
      <w:bookmarkEnd w:id="9"/>
      <w:bookmarkEnd w:id="10"/>
      <w:r>
        <w:rPr>
          <w:lang w:val="en-US"/>
        </w:rPr>
        <w:t xml:space="preserve"> in tobacco</w:t>
      </w:r>
      <w:bookmarkEnd w:id="0"/>
      <w:bookmarkEnd w:id="1"/>
    </w:p>
    <w:p>
      <w:pPr>
        <w:pStyle w:val="28"/>
        <w:rPr>
          <w:rFonts w:cs="Times New Roman"/>
          <w:sz w:val="20"/>
          <w:vertAlign w:val="superscript"/>
        </w:rPr>
      </w:pPr>
      <w:r>
        <w:rPr>
          <w:rFonts w:hint="eastAsia" w:cs="Times New Roman"/>
          <w:bCs/>
          <w:iCs/>
          <w:sz w:val="20"/>
          <w:lang w:val="en-US"/>
        </w:rPr>
        <w:t>Ben Hu,</w:t>
      </w:r>
      <w:r>
        <w:rPr>
          <w:rFonts w:cs="Times New Roman"/>
          <w:bCs/>
          <w:iCs/>
          <w:sz w:val="20"/>
          <w:vertAlign w:val="superscript"/>
        </w:rPr>
        <w:t>†</w:t>
      </w:r>
      <w:r>
        <w:rPr>
          <w:rFonts w:hint="eastAsia" w:cs="Times New Roman"/>
          <w:bCs/>
          <w:iCs/>
          <w:sz w:val="20"/>
          <w:vertAlign w:val="superscript"/>
          <w:lang w:val="en-US" w:eastAsia="zh-CN"/>
        </w:rPr>
        <w:t>a</w:t>
      </w:r>
      <w:r>
        <w:rPr>
          <w:rFonts w:hint="eastAsia" w:cs="Times New Roman"/>
          <w:bCs/>
          <w:iCs/>
          <w:sz w:val="20"/>
          <w:vertAlign w:val="superscript"/>
          <w:lang w:val="en-US"/>
        </w:rPr>
        <w:t>,</w:t>
      </w:r>
      <w:r>
        <w:rPr>
          <w:rFonts w:hint="eastAsia" w:cs="Times New Roman"/>
          <w:bCs/>
          <w:iCs/>
          <w:sz w:val="20"/>
          <w:vertAlign w:val="superscript"/>
          <w:lang w:val="en-US" w:eastAsia="zh-CN"/>
        </w:rPr>
        <w:t>b</w:t>
      </w:r>
      <w:r>
        <w:rPr>
          <w:rFonts w:hint="eastAsia" w:cs="Times New Roman"/>
          <w:bCs/>
          <w:iCs/>
          <w:sz w:val="20"/>
          <w:vertAlign w:val="superscript"/>
          <w:lang w:val="en-US"/>
        </w:rPr>
        <w:t>,</w:t>
      </w:r>
      <w:r>
        <w:rPr>
          <w:rFonts w:hint="eastAsia" w:cs="Times New Roman"/>
          <w:bCs/>
          <w:iCs/>
          <w:sz w:val="20"/>
          <w:vertAlign w:val="superscript"/>
          <w:lang w:val="en-US" w:eastAsia="zh-CN"/>
        </w:rPr>
        <w:t>c</w:t>
      </w:r>
      <w:r>
        <w:rPr>
          <w:rFonts w:hint="eastAsia" w:cs="Times New Roman"/>
          <w:bCs/>
          <w:iCs/>
          <w:sz w:val="20"/>
          <w:lang w:val="en-US"/>
        </w:rPr>
        <w:t xml:space="preserve"> Heng Yao,</w:t>
      </w:r>
      <w:r>
        <w:rPr>
          <w:rFonts w:cs="Times New Roman"/>
          <w:bCs/>
          <w:iCs/>
          <w:sz w:val="20"/>
          <w:vertAlign w:val="superscript"/>
        </w:rPr>
        <w:t>†</w:t>
      </w:r>
      <w:r>
        <w:rPr>
          <w:rFonts w:hint="eastAsia" w:cs="Times New Roman"/>
          <w:bCs/>
          <w:iCs/>
          <w:sz w:val="20"/>
          <w:vertAlign w:val="superscript"/>
          <w:lang w:val="en-US" w:eastAsia="zh-CN"/>
        </w:rPr>
        <w:t>d</w:t>
      </w:r>
      <w:r>
        <w:rPr>
          <w:rFonts w:hint="eastAsia" w:cs="Times New Roman"/>
          <w:bCs/>
          <w:iCs/>
          <w:sz w:val="20"/>
          <w:lang w:val="en-US"/>
        </w:rPr>
        <w:t xml:space="preserve"> Yulong Gao,</w:t>
      </w:r>
      <w:r>
        <w:rPr>
          <w:rFonts w:cs="Times New Roman"/>
          <w:bCs/>
          <w:iCs/>
          <w:sz w:val="20"/>
          <w:vertAlign w:val="superscript"/>
        </w:rPr>
        <w:t>†</w:t>
      </w:r>
      <w:r>
        <w:rPr>
          <w:rFonts w:hint="eastAsia" w:cs="Times New Roman"/>
          <w:bCs/>
          <w:iCs/>
          <w:sz w:val="20"/>
          <w:vertAlign w:val="superscript"/>
          <w:lang w:val="en-US" w:eastAsia="zh-CN"/>
        </w:rPr>
        <w:t>d</w:t>
      </w:r>
      <w:r>
        <w:rPr>
          <w:rFonts w:hint="eastAsia" w:cs="Times New Roman"/>
          <w:bCs/>
          <w:iCs/>
          <w:sz w:val="20"/>
          <w:lang w:val="en-US"/>
        </w:rPr>
        <w:t xml:space="preserve"> Ran Wang,</w:t>
      </w:r>
      <w:r>
        <w:rPr>
          <w:rFonts w:hint="eastAsia" w:cs="Times New Roman"/>
          <w:bCs/>
          <w:iCs/>
          <w:sz w:val="20"/>
          <w:vertAlign w:val="superscript"/>
          <w:lang w:val="en-US" w:eastAsia="zh-CN"/>
        </w:rPr>
        <w:t>b</w:t>
      </w:r>
      <w:r>
        <w:rPr>
          <w:rFonts w:hint="eastAsia" w:cs="Times New Roman"/>
          <w:bCs/>
          <w:iCs/>
          <w:sz w:val="20"/>
          <w:lang w:val="en-US"/>
        </w:rPr>
        <w:t xml:space="preserve"> Feng Li,</w:t>
      </w:r>
      <w:r>
        <w:rPr>
          <w:rFonts w:hint="eastAsia" w:cs="Times New Roman"/>
          <w:bCs/>
          <w:iCs/>
          <w:sz w:val="20"/>
          <w:vertAlign w:val="superscript"/>
          <w:lang w:val="en-US" w:eastAsia="zh-CN"/>
        </w:rPr>
        <w:t>b</w:t>
      </w:r>
      <w:r>
        <w:rPr>
          <w:rFonts w:hint="eastAsia" w:cs="Times New Roman"/>
          <w:bCs/>
          <w:iCs/>
          <w:sz w:val="20"/>
          <w:lang w:val="en-US"/>
        </w:rPr>
        <w:t xml:space="preserve"> Jinggong Guo</w:t>
      </w:r>
      <w:r>
        <w:rPr>
          <w:rFonts w:hint="eastAsia" w:cs="Times New Roman"/>
          <w:bCs/>
          <w:iCs/>
          <w:sz w:val="20"/>
          <w:lang w:val="en-US" w:eastAsia="zh-CN"/>
        </w:rPr>
        <w:t>,</w:t>
      </w:r>
      <w:r>
        <w:rPr>
          <w:rFonts w:hint="eastAsia" w:cs="Times New Roman"/>
          <w:bCs/>
          <w:iCs/>
          <w:sz w:val="20"/>
          <w:vertAlign w:val="superscript"/>
          <w:lang w:val="en-US" w:eastAsia="zh-CN"/>
        </w:rPr>
        <w:t>e</w:t>
      </w:r>
      <w:r>
        <w:rPr>
          <w:rFonts w:hint="eastAsia" w:cs="Times New Roman"/>
          <w:bCs/>
          <w:iCs/>
          <w:sz w:val="20"/>
          <w:lang w:val="en-US"/>
        </w:rPr>
        <w:t xml:space="preserve"> Kun Li</w:t>
      </w:r>
      <w:r>
        <w:rPr>
          <w:rFonts w:hint="eastAsia" w:cs="Times New Roman"/>
          <w:bCs/>
          <w:iCs/>
          <w:sz w:val="20"/>
          <w:lang w:val="en-US" w:eastAsia="zh-CN"/>
        </w:rPr>
        <w:t>,</w:t>
      </w:r>
      <w:r>
        <w:rPr>
          <w:rFonts w:hint="eastAsia" w:cs="Times New Roman"/>
          <w:bCs/>
          <w:iCs/>
          <w:sz w:val="20"/>
          <w:vertAlign w:val="superscript"/>
          <w:lang w:val="en-US" w:eastAsia="zh-CN"/>
        </w:rPr>
        <w:t xml:space="preserve">e </w:t>
      </w:r>
      <w:r>
        <w:rPr>
          <w:rFonts w:hint="eastAsia" w:cs="Times New Roman"/>
          <w:bCs/>
          <w:iCs/>
          <w:sz w:val="20"/>
          <w:lang w:val="en-US"/>
        </w:rPr>
        <w:t>Mingyue Zhao</w:t>
      </w:r>
      <w:r>
        <w:rPr>
          <w:rFonts w:hint="eastAsia" w:cs="Times New Roman"/>
          <w:bCs/>
          <w:iCs/>
          <w:sz w:val="20"/>
          <w:vertAlign w:val="superscript"/>
          <w:lang w:val="en-US" w:eastAsia="zh-CN"/>
        </w:rPr>
        <w:t xml:space="preserve"> </w:t>
      </w:r>
      <w:r>
        <w:rPr>
          <w:rFonts w:hint="eastAsia" w:cs="Times New Roman"/>
          <w:bCs/>
          <w:iCs/>
          <w:sz w:val="20"/>
          <w:lang w:val="en-US"/>
        </w:rPr>
        <w:t>*</w:t>
      </w:r>
      <w:r>
        <w:rPr>
          <w:rFonts w:hint="eastAsia" w:cs="Times New Roman"/>
          <w:bCs/>
          <w:iCs/>
          <w:sz w:val="20"/>
          <w:vertAlign w:val="superscript"/>
          <w:lang w:val="en-US" w:eastAsia="zh-CN"/>
        </w:rPr>
        <w:t>b</w:t>
      </w:r>
      <w:r>
        <w:rPr>
          <w:rFonts w:hint="eastAsia" w:cs="Times New Roman"/>
          <w:bCs/>
          <w:iCs/>
          <w:sz w:val="20"/>
          <w:lang w:val="en-US" w:eastAsia="zh-CN"/>
        </w:rPr>
        <w:t xml:space="preserve"> and</w:t>
      </w:r>
      <w:r>
        <w:rPr>
          <w:rFonts w:hint="eastAsia" w:cs="Times New Roman"/>
          <w:bCs/>
          <w:iCs/>
          <w:sz w:val="20"/>
          <w:lang w:val="en-US"/>
        </w:rPr>
        <w:t xml:space="preserve"> Lifeng Jin</w:t>
      </w:r>
      <w:r>
        <w:rPr>
          <w:rFonts w:hint="eastAsia" w:cs="Times New Roman"/>
          <w:bCs/>
          <w:iCs/>
          <w:sz w:val="20"/>
          <w:vertAlign w:val="superscript"/>
          <w:lang w:val="en-US" w:eastAsia="zh-CN"/>
        </w:rPr>
        <w:t xml:space="preserve"> </w:t>
      </w:r>
      <w:r>
        <w:rPr>
          <w:rFonts w:hint="eastAsia" w:cs="Times New Roman"/>
          <w:bCs/>
          <w:iCs/>
          <w:sz w:val="20"/>
          <w:lang w:val="en-US"/>
        </w:rPr>
        <w:t>*</w:t>
      </w:r>
      <w:r>
        <w:rPr>
          <w:rFonts w:hint="eastAsia" w:cs="Times New Roman"/>
          <w:bCs/>
          <w:iCs/>
          <w:sz w:val="20"/>
          <w:vertAlign w:val="superscript"/>
          <w:lang w:val="en-US" w:eastAsia="zh-CN"/>
        </w:rPr>
        <w:t>b</w:t>
      </w:r>
    </w:p>
    <w:p>
      <w:pPr>
        <w:pStyle w:val="28"/>
        <w:rPr>
          <w:lang w:val="en-US" w:eastAsia="zh-CN"/>
        </w:rPr>
      </w:pPr>
      <w:r>
        <w:rPr>
          <w:lang w:val="en-US"/>
        </w:rPr>
        <w:t xml:space="preserve">Flavonoids are important secondary metabolites in plants that play important roles in maintaining the cellular redox balance of cells. Chalcone synthase (CHS) is the key enzyme in the flavonoid biosynthesis pathway and has been found to monitor changes due to drought stress tolerance. In this study, a </w:t>
      </w:r>
      <w:r>
        <w:rPr>
          <w:i/>
          <w:lang w:val="en-US"/>
        </w:rPr>
        <w:t>CHS</w:t>
      </w:r>
      <w:r>
        <w:rPr>
          <w:lang w:val="en-US"/>
        </w:rPr>
        <w:t xml:space="preserve"> gene in tobacco (</w:t>
      </w:r>
      <w:r>
        <w:rPr>
          <w:i/>
          <w:lang w:val="en-US"/>
        </w:rPr>
        <w:t>Nicotiana tabacum</w:t>
      </w:r>
      <w:r>
        <w:rPr>
          <w:lang w:val="en-US"/>
        </w:rPr>
        <w:t>) was overexpressed. Results revealed that transgenic tobacco plants were more tolerant than control plants to drought stress.</w:t>
      </w:r>
      <w:bookmarkStart w:id="11" w:name="OLE_LINK3"/>
      <w:r>
        <w:rPr>
          <w:lang w:val="en-US"/>
        </w:rPr>
        <w:t xml:space="preserve"> Transcription levels of the key genes involved in the flavonoid pathway and the contents of seven flavonoids significantly increased in transgenic tobacco plants</w:t>
      </w:r>
      <w:bookmarkEnd w:id="11"/>
      <w:r>
        <w:rPr>
          <w:lang w:val="en-US"/>
        </w:rPr>
        <w:t xml:space="preserve"> (</w:t>
      </w:r>
      <w:r>
        <w:rPr>
          <w:i/>
          <w:lang w:val="en-US"/>
        </w:rPr>
        <w:t>p</w:t>
      </w:r>
      <w:r>
        <w:rPr>
          <w:lang w:val="en-US"/>
        </w:rPr>
        <w:t xml:space="preserve"> &lt; 0.01). Overexpression of the </w:t>
      </w:r>
      <w:r>
        <w:rPr>
          <w:i/>
          <w:lang w:val="en-US"/>
        </w:rPr>
        <w:t>CHS</w:t>
      </w:r>
      <w:r>
        <w:rPr>
          <w:lang w:val="en-US"/>
        </w:rPr>
        <w:t xml:space="preserve"> gene led to lower concentrations of the oxidative stress product, malondialdehyde (MDA). Additionally, 11 CHS family genes were mined from the tobacco genome. Based on the phylogenetic tree, these genes split into two groups with eight genes clustered together with the bona fide Arabidopsis CHS gene, suggesting that those tobacco genes are CHS genes. Further phylogenetic analyses indicated that the tobacco CHS genes grouped further into three independent clades with the cloned tobacco CHS gene located within Clade iii. The tobacco CHS family genes exhibited a highly conserved CDS length, pI, and molecular weight of the encoded peptides. All CHS peptides contained two conserved domains, and the genes harbored two or three exons. Based on the results of this study, the </w:t>
      </w:r>
      <w:r>
        <w:rPr>
          <w:i/>
          <w:lang w:val="en-US"/>
        </w:rPr>
        <w:t>NtCHS</w:t>
      </w:r>
      <w:r>
        <w:rPr>
          <w:lang w:val="en-US"/>
        </w:rPr>
        <w:t xml:space="preserve"> gene is considered a possible candidate gene for genetically engineering enhanced drought tolerance and improved responses to oxidative stress in plants.</w:t>
      </w:r>
    </w:p>
    <w:p>
      <w:pPr>
        <w:pStyle w:val="28"/>
        <w:rPr>
          <w:lang w:eastAsia="zh-CN"/>
        </w:rPr>
        <w:sectPr>
          <w:headerReference r:id="rId5" w:type="first"/>
          <w:footerReference r:id="rId8" w:type="first"/>
          <w:headerReference r:id="rId3" w:type="default"/>
          <w:footerReference r:id="rId6" w:type="default"/>
          <w:headerReference r:id="rId4" w:type="even"/>
          <w:footerReference r:id="rId7" w:type="even"/>
          <w:pgSz w:w="11907" w:h="16840"/>
          <w:pgMar w:top="1009" w:right="851" w:bottom="1758" w:left="851" w:header="851" w:footer="1049" w:gutter="0"/>
          <w:cols w:equalWidth="0" w:num="2">
            <w:col w:w="1985" w:space="227"/>
            <w:col w:w="7993"/>
          </w:cols>
          <w:titlePg/>
          <w:docGrid w:linePitch="360" w:charSpace="0"/>
        </w:sectPr>
      </w:pPr>
    </w:p>
    <w:p>
      <w:pPr>
        <w:pStyle w:val="30"/>
      </w:pPr>
      <w:r>
        <w:rPr>
          <w:rFonts w:hint="eastAsia"/>
          <w:lang w:eastAsia="zh-CN"/>
        </w:rPr>
        <w:t>1. Introduction</w:t>
      </w:r>
    </w:p>
    <w:p>
      <w:pPr>
        <w:pStyle w:val="31"/>
        <w:rPr>
          <w:color w:val="000000" w:themeColor="text1"/>
          <w:lang w:val="en-US"/>
          <w14:textFill>
            <w14:solidFill>
              <w14:schemeClr w14:val="tx1"/>
            </w14:solidFill>
          </w14:textFill>
        </w:rPr>
      </w:pPr>
      <w:r>
        <w:rPr>
          <w:lang w:val="en-US"/>
        </w:rPr>
        <w:t>Flavonoids are</w:t>
      </w:r>
      <w:r>
        <w:rPr>
          <w:color w:val="000000" w:themeColor="text1"/>
          <w:lang w:val="en-US"/>
          <w14:textFill>
            <w14:solidFill>
              <w14:schemeClr w14:val="tx1"/>
            </w14:solidFill>
          </w14:textFill>
        </w:rPr>
        <w:t xml:space="preserve"> a group of plant secondary metabolites consisting of two aromatic rings linked by three carbons. Flavonoids play diverse roles in plants, including the control of floral pigmentation, protecting plants from ultraviolet (UV) damage, and regulating the polar transport of auxin. Moreover, flavonoids play important roles in the cellular response to biotic and abiotic stressors.</w:t>
      </w:r>
      <w:r>
        <w:fldChar w:fldCharType="begin"/>
      </w:r>
      <w:r>
        <w:instrText xml:space="preserve"> HYPERLINK \l "_ENREF_1" \o "Domínguez, 2009 #2864"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&lt;EndNote&gt;&lt;Cite&gt;&lt;Author&gt;Domínguez&lt;/Author&gt;&lt;Year&gt;2009&lt;/Year&gt;&lt;RecNum&gt;2864&lt;/RecNum&gt;&lt;DisplayText&gt;&lt;style face="superscript"&gt;1&lt;/style&gt;&lt;/DisplayText&gt;&lt;record&gt;&lt;rec-number&gt;2864&lt;/rec-number&gt;&lt;foreign-keys&gt;&lt;key app="EN" db-id="p5tvrefenpt90reepsx50xesffpw09pt9dwv" timestamp="1568642076"&gt;2864&lt;/key&gt;&lt;/foreign-keys&gt;&lt;ref-type name="Journal Article"&gt;17&lt;/ref-type&gt;&lt;contributors&gt;&lt;authors&gt;&lt;author&gt;Domínguez, Eva&lt;/author&gt;&lt;author&gt;España, Laura&lt;/author&gt;&lt;author&gt;López-Casado, Gloria&lt;/author&gt;&lt;author&gt;Cuartero, Jesús&lt;/author&gt;&lt;author&gt;Heredia, Antonio&lt;/author&gt;&lt;/authors&gt;&lt;/contributors&gt;&lt;titles&gt;&lt;title&gt;Biomechanics of isolated tomato (Solanum lycopersicum) fruit cuticles during ripening: the role of flavonoids&lt;/title&gt;&lt;secondary-title&gt;Functional Plant Biology&lt;/secondary-title&gt;&lt;/titles&gt;&lt;periodical&gt;&lt;full-title&gt;Functional Plant Biology&lt;/full-title&gt;&lt;abbr-1&gt;Funct. Plant Biol.&lt;/abbr-1&gt;&lt;abbr-2&gt;Funct Plant Biol&lt;/abbr-2&gt;&lt;/periodical&gt;&lt;pages&gt;613–620&lt;/pages&gt;&lt;volume&gt;36&lt;/volume&gt;&lt;number&gt;7&lt;/number&gt;&lt;dates&gt;&lt;year&gt;2009&lt;/year&gt;&lt;/dates&gt;&lt;publisher&gt;CSIRO Publishing&lt;/publisher&gt;&lt;isbn&gt;1445-4408&lt;/isbn&gt;&lt;urls&gt;&lt;related-urls&gt;&lt;url&gt;https://dx.doi.org/10.1071/fp09039&lt;/url&gt;&lt;/related-urls&gt;&lt;/urls&gt;&lt;electronic-resource-num&gt;10.1071/fp09039&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1</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To date, the structure and function of many enzymes in the flavonoid pathway have been well characterized in plants, including chalcone synthase (CHS), chalcone isomerase (CHI), flavanone 3-hydroxylase (F3H), dihydroflavonol 4-reductase (DFR), flavonol synthase (FLS), and anthocyanidin synthase (ANS).</w:t>
      </w:r>
      <w:r>
        <w:rPr>
          <w:color w:val="000000" w:themeColor="text1"/>
          <w:lang w:val="en-US"/>
          <w14:textFill>
            <w14:solidFill>
              <w14:schemeClr w14:val="tx1"/>
            </w14:solidFill>
          </w14:textFill>
        </w:rPr>
        <w:fldChar w:fldCharType="begin">
          <w:fldData xml:space="preserve">PEVuZE5vdGU+PENpdGU+PEF1dGhvcj5TdGFmZm9yZDwvQXV0aG9yPjxZZWFyPjE5OTE8L1llYXI+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</w:fldData>
        </w:fldChar>
      </w:r>
      <w:r>
        <w:rPr>
          <w:color w:val="000000" w:themeColor="text1"/>
          <w:lang w:val="en-US"/>
          <w14:textFill>
            <w14:solidFill>
              <w14:schemeClr w14:val="tx1"/>
            </w14:solidFill>
          </w14:textFill>
        </w:rPr>
        <w:instrText xml:space="preserve"> ADDIN EN.CITE </w:instrText>
      </w:r>
      <w:r>
        <w:rPr>
          <w:color w:val="000000" w:themeColor="text1"/>
          <w:lang w:val="en-US"/>
          <w14:textFill>
            <w14:solidFill>
              <w14:schemeClr w14:val="tx1"/>
            </w14:solidFill>
          </w14:textFill>
        </w:rPr>
        <w:fldChar w:fldCharType="begin">
          <w:fldData xml:space="preserve">PEVuZE5vdGU+PENpdGU+PEF1dGhvcj5TdGFmZm9yZDwvQXV0aG9yPjxZZWFyPjE5OTE8L1llYXI+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</w:fldData>
        </w:fldChar>
      </w:r>
      <w:r>
        <w:rPr>
          <w:color w:val="000000" w:themeColor="text1"/>
          <w:lang w:val="en-US"/>
          <w14:textFill>
            <w14:solidFill>
              <w14:schemeClr w14:val="tx1"/>
            </w14:solidFill>
          </w14:textFill>
        </w:rPr>
        <w:instrText xml:space="preserve"> ADDIN EN.CITE.DATA </w:instrText>
      </w:r>
      <w:r>
        <w:rPr>
          <w:color w:val="000000" w:themeColor="text1"/>
          <w14:textFill>
            <w14:solidFill>
              <w14:schemeClr w14:val="tx1"/>
            </w14:solidFill>
          </w14:textFill>
        </w:rPr>
        <w:fldChar w:fldCharType="end"/>
      </w:r>
      <w:r>
        <w:rPr>
          <w:color w:val="000000" w:themeColor="text1"/>
          <w:lang w:val="en-US"/>
          <w14:textFill>
            <w14:solidFill>
              <w14:schemeClr w14:val="tx1"/>
            </w14:solidFill>
          </w14:textFill>
        </w:rPr>
        <w:fldChar w:fldCharType="separate"/>
      </w:r>
      <w:r>
        <w:fldChar w:fldCharType="begin"/>
      </w:r>
      <w:r>
        <w:instrText xml:space="preserve"> HYPERLINK \l "_ENREF_2" \o "Stafford, 1991 #2865" </w:instrText>
      </w:r>
      <w:r>
        <w:fldChar w:fldCharType="separate"/>
      </w:r>
      <w:r>
        <w:rPr>
          <w:rStyle w:val="20"/>
          <w:color w:val="000000" w:themeColor="text1"/>
          <w:u w:val="none"/>
          <w:vertAlign w:val="superscript"/>
          <w:lang w:val="en-US"/>
          <w14:textFill>
            <w14:solidFill>
              <w14:schemeClr w14:val="tx1"/>
            </w14:solidFill>
          </w14:textFill>
        </w:rPr>
        <w:t>2</w:t>
      </w:r>
      <w:r>
        <w:rPr>
          <w:rStyle w:val="20"/>
          <w:color w:val="000000" w:themeColor="text1"/>
          <w:u w:val="none"/>
          <w:vertAlign w:val="superscript"/>
          <w:lang w:val="en-US"/>
          <w14:textFill>
            <w14:solidFill>
              <w14:schemeClr w14:val="tx1"/>
            </w14:solidFill>
          </w14:textFill>
        </w:rPr>
        <w:fldChar w:fldCharType="end"/>
      </w:r>
      <w:r>
        <w:rPr>
          <w:color w:val="000000" w:themeColor="text1"/>
          <w:vertAlign w:val="superscript"/>
          <w:lang w:val="en-US"/>
          <w14:textFill>
            <w14:solidFill>
              <w14:schemeClr w14:val="tx1"/>
            </w14:solidFill>
          </w14:textFill>
        </w:rPr>
        <w:t>,</w:t>
      </w:r>
      <w:r>
        <w:fldChar w:fldCharType="begin"/>
      </w:r>
      <w:r>
        <w:instrText xml:space="preserve"> HYPERLINK \l "_ENREF_3" \o "Shih, 2008 #2866" </w:instrText>
      </w:r>
      <w:r>
        <w:fldChar w:fldCharType="separate"/>
      </w:r>
      <w:r>
        <w:rPr>
          <w:rStyle w:val="20"/>
          <w:color w:val="000000" w:themeColor="text1"/>
          <w:u w:val="none"/>
          <w:vertAlign w:val="superscript"/>
          <w:lang w:val="en-US"/>
          <w14:textFill>
            <w14:solidFill>
              <w14:schemeClr w14:val="tx1"/>
            </w14:solidFill>
          </w14:textFill>
        </w:rPr>
        <w:t>3</w:t>
      </w:r>
      <w:r>
        <w:rPr>
          <w:rStyle w:val="20"/>
          <w:color w:val="000000" w:themeColor="text1"/>
          <w:u w:val="none"/>
          <w:vertAlign w:val="superscript"/>
          <w:lang w:val="en-US"/>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1"/>
        <w:ind w:firstLine="194" w:firstLineChars="100"/>
        <w:rPr>
          <w:color w:val="000000" w:themeColor="text1"/>
          <w:lang w:val="en-US"/>
          <w14:textFill>
            <w14:solidFill>
              <w14:schemeClr w14:val="tx1"/>
            </w14:solidFill>
          </w14:textFill>
        </w:rPr>
      </w:pPr>
      <w:r>
        <w:rPr>
          <w:color w:val="000000" w:themeColor="text1"/>
          <w:lang w:val="en-US"/>
          <w14:textFill>
            <w14:solidFill>
              <w14:schemeClr w14:val="tx1"/>
            </w14:solidFill>
          </w14:textFill>
        </w:rPr>
        <w:t>Recent studies have investigated the effect of drought stress on flavonoid metabolism in plants, and it has been demonstrated that flavonoids accumulate rapidly in some plant species suffering from drought stress.</w:t>
      </w:r>
      <w:r>
        <w:fldChar w:fldCharType="begin"/>
      </w:r>
      <w:r>
        <w:instrText xml:space="preserve"> HYPERLINK \l "_ENREF_4" \o "Gould, 2004 #2867"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&lt;EndNote&gt;&lt;Cite&gt;&lt;Author&gt;Gould&lt;/Author&gt;&lt;Year&gt;2004&lt;/Year&gt;&lt;RecNum&gt;2867&lt;/RecNum&gt;&lt;DisplayText&gt;&lt;style face="superscript"&gt;4&lt;/style&gt;&lt;/DisplayText&gt;&lt;record&gt;&lt;rec-number&gt;2867&lt;/rec-number&gt;&lt;foreign-keys&gt;&lt;key app="EN" db-id="p5tvrefenpt90reepsx50xesffpw09pt9dwv" timestamp="1568642076"&gt;2867&lt;/key&gt;&lt;/foreign-keys&gt;&lt;ref-type name="Journal Article"&gt;17&lt;/ref-type&gt;&lt;contributors&gt;&lt;authors&gt;&lt;author&gt;Gould, Kevin S.&lt;/author&gt;&lt;/authors&gt;&lt;/contributors&gt;&lt;titles&gt;&lt;title&gt;Nature&amp;apos;s Swiss army knife: the diverse protective roles of anthocyanins in leaves&lt;/title&gt;&lt;secondary-title&gt;Journal of Biomedicine and Biotechnology&lt;/secondary-title&gt;&lt;/titles&gt;&lt;periodical&gt;&lt;full-title&gt;Journal of Biomedicine and Biotechnology&lt;/full-title&gt;&lt;abbr-1&gt;J. Biomed. Biotechnol.&lt;/abbr-1&gt;&lt;abbr-2&gt;J Biomed Biotechnol&lt;/abbr-2&gt;&lt;/periodical&gt;&lt;pages&gt;314–320&lt;/pages&gt;&lt;volume&gt;2004&lt;/volume&gt;&lt;number&gt;5&lt;/number&gt;&lt;dates&gt;&lt;year&gt;2004&lt;/year&gt;&lt;/dates&gt;&lt;publisher&gt;Hindawi Limited&lt;/publisher&gt;&lt;isbn&gt;1110-7243&amp;#xD;1110-7251&lt;/isbn&gt;&lt;urls&gt;&lt;related-urls&gt;&lt;url&gt;https://dx.doi.org/10.1155/s1110724304406147&lt;/url&gt;&lt;/related-urls&gt;&lt;/urls&gt;&lt;electronic-resource-num&gt;10.1155/s1110724304406147&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4</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For example, winter wheat leaves exhibit increased expression levels of key flavonoid genes and total flavonoid content in response to drought stress.</w:t>
      </w:r>
      <w:r>
        <w:fldChar w:fldCharType="begin"/>
      </w:r>
      <w:r>
        <w:instrText xml:space="preserve"> HYPERLINK \l "_ENREF_5" \o "Phadke, 2014 #2868"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&lt;EndNote&gt;&lt;Cite&gt;&lt;Author&gt;Phadke&lt;/Author&gt;&lt;Year&gt;2014&lt;/Year&gt;&lt;RecNum&gt;2868&lt;/RecNum&gt;&lt;DisplayText&gt;&lt;style face="superscript"&gt;5&lt;/style&gt;&lt;/DisplayText&gt;&lt;record&gt;&lt;rec-number&gt;2868&lt;/rec-number&gt;&lt;foreign-keys&gt;&lt;key app="EN" db-id="p5tvrefenpt90reepsx50xesffpw09pt9dwv" timestamp="1568642076"&gt;2868&lt;/key&gt;&lt;/foreign-keys&gt;&lt;ref-type name="Journal Article"&gt;17&lt;/ref-type&gt;&lt;contributors&gt;&lt;authors&gt;&lt;author&gt;Phadke, Rajendra V.&lt;/author&gt;&lt;author&gt;Bhattacharyya, Avik&lt;/author&gt;&lt;author&gt;Handique, Akash&lt;/author&gt;&lt;author&gt;Jain, Krishan&lt;/author&gt;&lt;author&gt;Kumar, Alok&lt;/author&gt;&lt;author&gt;Singh, Vivek&lt;/author&gt;&lt;author&gt;Baruah, Deb&lt;/author&gt;&lt;author&gt;Kumar, Tushant&lt;/author&gt;&lt;author&gt;Patwari, Sriram&lt;/author&gt;&lt;author&gt;Mohan, B. Madan&lt;/author&gt;&lt;/authors&gt;&lt;/contributors&gt;&lt;titles&gt;&lt;title&gt;Endovascular treatment in spinal perimedullary arteriovenous fistula&lt;/title&gt;&lt;secondary-title&gt;Interventional Neuroradiology&lt;/secondary-title&gt;&lt;/titles&gt;&lt;periodical&gt;&lt;full-title&gt;Interventional Neuroradiology&lt;/full-title&gt;&lt;abbr-1&gt;Interv. Neuroradiol.&lt;/abbr-1&gt;&lt;abbr-2&gt;Interv Neuroradiol&lt;/abbr-2&gt;&lt;/periodical&gt;&lt;pages&gt;357–367&lt;/pages&gt;&lt;volume&gt;20&lt;/volume&gt;&lt;number&gt;3&lt;/number&gt;&lt;dates&gt;&lt;year&gt;2014&lt;/year&gt;&lt;pub-dates&gt;&lt;date&gt;2014/01&lt;/date&gt;&lt;/pub-dates&gt;&lt;/dates&gt;&lt;publisher&gt;SAGE Publications&lt;/publisher&gt;&lt;isbn&gt;1591-0199&amp;#xD;2385-2011&lt;/isbn&gt;&lt;urls&gt;&lt;related-urls&gt;&lt;url&gt;https://dx.doi.org/10.15274/inr-2014-10056&lt;/url&gt;&lt;/related-urls&gt;&lt;/urls&gt;&lt;electronic-resource-num&gt;10.15274/inr-2014-10056&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5</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In the leaves of </w:t>
      </w:r>
      <w:r>
        <w:rPr>
          <w:i/>
          <w:color w:val="000000" w:themeColor="text1"/>
          <w:lang w:val="en-US"/>
          <w14:textFill>
            <w14:solidFill>
              <w14:schemeClr w14:val="tx1"/>
            </w14:solidFill>
          </w14:textFill>
        </w:rPr>
        <w:t>Ziziphus jujuba</w:t>
      </w:r>
      <w:r>
        <w:rPr>
          <w:color w:val="000000" w:themeColor="text1"/>
          <w:lang w:val="en-US"/>
          <w14:textFill>
            <w14:solidFill>
              <w14:schemeClr w14:val="tx1"/>
            </w14:solidFill>
          </w14:textFill>
        </w:rPr>
        <w:t xml:space="preserve"> </w:t>
      </w:r>
      <w:r>
        <w:rPr>
          <w:i/>
          <w:color w:val="000000" w:themeColor="text1"/>
          <w:lang w:val="en-US"/>
          <w14:textFill>
            <w14:solidFill>
              <w14:schemeClr w14:val="tx1"/>
            </w14:solidFill>
          </w14:textFill>
        </w:rPr>
        <w:t>var. spinose</w:t>
      </w:r>
      <w:r>
        <w:rPr>
          <w:color w:val="000000" w:themeColor="text1"/>
          <w:lang w:val="en-US"/>
          <w14:textFill>
            <w14:solidFill>
              <w14:schemeClr w14:val="tx1"/>
            </w14:solidFill>
          </w14:textFill>
        </w:rPr>
        <w:t>, the total flavonoid content increased significantly under moderate drought treatment.</w:t>
      </w:r>
      <w:r>
        <w:fldChar w:fldCharType="begin"/>
      </w:r>
      <w:r>
        <w:instrText xml:space="preserve"> HYPERLINK \l "_ENREF_6" \o "Wang, 2011 #2902"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&lt;EndNote&gt;&lt;Cite&gt;&lt;Author&gt;Wang&lt;/Author&gt;&lt;Year&gt;2011&lt;/Year&gt;&lt;RecNum&gt;2902&lt;/RecNum&gt;&lt;DisplayText&gt;&lt;style face="superscript"&gt;6&lt;/style&gt;&lt;/DisplayText&gt;&lt;record&gt;&lt;rec-number&gt;2902&lt;/rec-number&gt;&lt;foreign-keys&gt;&lt;key app="EN" db-id="p5tvrefenpt90reepsx50xesffpw09pt9dwv" timestamp="1568642551"&gt;2902&lt;/key&gt;&lt;/foreign-keys&gt;&lt;ref-type name="Journal Article"&gt;17&lt;/ref-type&gt;&lt;contributors&gt;&lt;authors&gt;&lt;author&gt;Wang, Gai Li&lt;/author&gt;&lt;author&gt;Wei, Zhong&lt;/author&gt;&lt;author&gt;He, Shao Xuan&lt;/author&gt;&lt;author&gt;Zhou, Xue Jie&lt;/author&gt;&lt;author&gt;Liang, Zong Suo&lt;/author&gt;&lt;/authors&gt;&lt;/contributors&gt;&lt;titles&gt;&lt;title&gt;Effects of drought stress in soil on flavonoids metabolism in leaf and some growth and physiological indexes of Ziziphus jujuba var.spinosa&lt;/title&gt;&lt;secondary-title&gt;Journal of Plant Resources and Environment&lt;/secondary-title&gt;&lt;/titles&gt;&lt;periodical&gt;&lt;full-title&gt;Journal of Plant Resources and Environment&lt;/full-title&gt;&lt;abbr-1&gt;Zhiwu Ziyuan Yu Huanjing Xuebao&lt;/abbr-1&gt;&lt;abbr-2&gt;Zhiwu Ziyuan Yu Huanjing Xuebao&lt;/abbr-2&gt;&lt;/periodical&gt;&lt;pages&gt;1–8&lt;/pages&gt;&lt;volume&gt;20&lt;/volume&gt;&lt;number&gt;3&lt;/number&gt;&lt;dates&gt;&lt;year&gt;2011&lt;/year&gt;&lt;/dates&gt;&lt;isbn&gt;1674-7895&lt;/isbn&gt;&lt;urls&gt;&lt;related-urls&gt;&lt;url&gt;https://dx.doi.org/10.3969/j.issn.1674-7895.2011.03.001&lt;/url&gt;&lt;/related-urls&gt;&lt;/urls&gt;&lt;electronic-resource-num&gt;10.3969/j.issn.1674-7895.2011.03.001&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6</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In the roots of </w:t>
      </w:r>
      <w:r>
        <w:rPr>
          <w:i/>
          <w:color w:val="000000" w:themeColor="text1"/>
          <w:lang w:val="en-US"/>
          <w14:textFill>
            <w14:solidFill>
              <w14:schemeClr w14:val="tx1"/>
            </w14:solidFill>
          </w14:textFill>
        </w:rPr>
        <w:t>Scutellaria baicalensis</w:t>
      </w:r>
      <w:r>
        <w:rPr>
          <w:color w:val="000000" w:themeColor="text1"/>
          <w:lang w:val="en-US"/>
          <w14:textFill>
            <w14:solidFill>
              <w14:schemeClr w14:val="tx1"/>
            </w14:solidFill>
          </w14:textFill>
        </w:rPr>
        <w:t xml:space="preserve"> </w:t>
      </w:r>
      <w:r>
        <w:rPr>
          <w:i/>
          <w:color w:val="000000" w:themeColor="text1"/>
          <w:lang w:val="en-US"/>
          <w14:textFill>
            <w14:solidFill>
              <w14:schemeClr w14:val="tx1"/>
            </w14:solidFill>
          </w14:textFill>
        </w:rPr>
        <w:t>georigi</w:t>
      </w:r>
      <w:r>
        <w:rPr>
          <w:color w:val="000000" w:themeColor="text1"/>
          <w:lang w:val="en-US"/>
          <w14:textFill>
            <w14:solidFill>
              <w14:schemeClr w14:val="tx1"/>
            </w14:solidFill>
          </w14:textFill>
        </w:rPr>
        <w:t>, the expression levels of several flavonoid genes were upregulated under drought conditions.</w:t>
      </w:r>
      <w:r>
        <w:fldChar w:fldCharType="begin"/>
      </w:r>
      <w:r>
        <w:instrText xml:space="preserve"> HYPERLINK \l "_ENREF_7" \o "Yuan, 2012 #2869"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&lt;EndNote&gt;&lt;Cite&gt;&lt;Author&gt;Yuan&lt;/Author&gt;&lt;Year&gt;2012&lt;/Year&gt;&lt;RecNum&gt;2869&lt;/RecNum&gt;&lt;DisplayText&gt;&lt;style face="superscript"&gt;7&lt;/style&gt;&lt;/DisplayText&gt;&lt;record&gt;&lt;rec-number&gt;2869&lt;/rec-number&gt;&lt;foreign-keys&gt;&lt;key app="EN" db-id="p5tvrefenpt90reepsx50xesffpw09pt9dwv" timestamp="1568642076"&gt;2869&lt;/key&gt;&lt;/foreign-keys&gt;&lt;ref-type name="Journal Article"&gt;17&lt;/ref-type&gt;&lt;contributors&gt;&lt;authors&gt;&lt;author&gt;Yuan, Yuan&lt;/author&gt;&lt;author&gt;Liu, Yunjun&lt;/author&gt;&lt;author&gt;Wu, Chong&lt;/author&gt;&lt;author&gt;Chen, Shunqin&lt;/author&gt;&lt;author&gt;Wang, Zhouyong&lt;/author&gt;&lt;author&gt;Yang, Zhaochun&lt;/author&gt;&lt;author&gt;Qin, Shuangshuang&lt;/author&gt;&lt;author&gt;Huang, Luqi&lt;/author&gt;&lt;/authors&gt;&lt;/contributors&gt;&lt;titles&gt;&lt;title&gt;Water deficit affected flavonoid accumulation by regulating hormone metabolism in Scutellaria baicalensis Georgi roots&lt;/title&gt;&lt;secondary-title&gt;PLoS ONE&lt;/secondary-title&gt;&lt;/titles&gt;&lt;periodical&gt;&lt;full-title&gt;PloS One&lt;/full-title&gt;&lt;abbr-1&gt;PLoS One&lt;/abbr-1&gt;&lt;abbr-2&gt;PLoS One&lt;/abbr-2&gt;&lt;/periodical&gt;&lt;pages&gt;e42946&lt;/pages&gt;&lt;volume&gt;7&lt;/volume&gt;&lt;number&gt;10&lt;/number&gt;&lt;dates&gt;&lt;year&gt;2012&lt;/year&gt;&lt;pub-dates&gt;&lt;date&gt;2012/10/15&lt;/date&gt;&lt;/pub-dates&gt;&lt;/dates&gt;&lt;publisher&gt;Public Library of Science (PLoS)&lt;/publisher&gt;&lt;isbn&gt;1932-6203&lt;/isbn&gt;&lt;urls&gt;&lt;related-urls&gt;&lt;url&gt;https://dx.doi.org/10.1371/journal.pone.0042946&lt;/url&gt;&lt;/related-urls&gt;&lt;/urls&gt;&lt;electronic-resource-num&gt;10.1371/journal.pone.0042946&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7</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In short, evidence thus far indicates the participation of flavonoids and their key biosynthesis genes in plant resistance to drought stress. However, little is known about the exact roles of these key flavonoids genes in plant responses to drought stress.</w:t>
      </w:r>
    </w:p>
    <w:p>
      <w:pPr>
        <w:pStyle w:val="31"/>
        <w:ind w:firstLine="194" w:firstLineChars="100"/>
        <w:rPr>
          <w:color w:val="000000" w:themeColor="text1"/>
          <w:lang w:val="en-US"/>
          <w14:textFill>
            <w14:solidFill>
              <w14:schemeClr w14:val="tx1"/>
            </w14:solidFill>
          </w14:textFill>
        </w:rPr>
      </w:pPr>
      <w:r>
        <w:rPr>
          <w:color w:val="000000" w:themeColor="text1"/>
          <w:lang w:val="en-US"/>
          <w14:textFill>
            <w14:solidFill>
              <w14:schemeClr w14:val="tx1"/>
            </w14:solidFill>
          </w14:textFill>
        </w:rPr>
        <w:t xml:space="preserve">The </w:t>
      </w:r>
      <w:r>
        <w:rPr>
          <w:i/>
          <w:color w:val="000000" w:themeColor="text1"/>
          <w:lang w:val="en-US"/>
          <w14:textFill>
            <w14:solidFill>
              <w14:schemeClr w14:val="tx1"/>
            </w14:solidFill>
          </w14:textFill>
        </w:rPr>
        <w:t>CHS</w:t>
      </w:r>
      <w:r>
        <w:rPr>
          <w:color w:val="000000" w:themeColor="text1"/>
          <w:lang w:val="en-US"/>
          <w14:textFill>
            <w14:solidFill>
              <w14:schemeClr w14:val="tx1"/>
            </w14:solidFill>
          </w14:textFill>
        </w:rPr>
        <w:t xml:space="preserve"> gene encodes the first enzyme in the flavonoid pathway, and the CHS enzyme catalyzes the synthesis of narengenin chalcone by using one molecule of p-coumaryl-CoA and three molecules of malonyl-CoA, which are retrieved from the phenylpropanoid pathway.</w:t>
      </w:r>
      <w:r>
        <w:fldChar w:fldCharType="begin"/>
      </w:r>
      <w:r>
        <w:instrText xml:space="preserve"> HYPERLINK \l "_ENREF_3" \o "Shih, 2008 #2866"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&lt;EndNote&gt;&lt;Cite&gt;&lt;Author&gt;Shih&lt;/Author&gt;&lt;Year&gt;2008&lt;/Year&gt;&lt;RecNum&gt;2866&lt;/RecNum&gt;&lt;DisplayText&gt;&lt;style face="superscript"&gt;3&lt;/style&gt;&lt;/DisplayText&gt;&lt;record&gt;&lt;rec-number&gt;2866&lt;/rec-number&gt;&lt;foreign-keys&gt;&lt;key app="EN" db-id="p5tvrefenpt90reepsx50xesffpw09pt9dwv" timestamp="1568642076"&gt;2866&lt;/key&gt;&lt;/foreign-keys&gt;&lt;ref-type name="Journal Article"&gt;17&lt;/ref-type&gt;&lt;contributors&gt;&lt;authors&gt;&lt;author&gt;Shih, Chun Hat&lt;/author&gt;&lt;author&gt;Chu, Hung&lt;/author&gt;&lt;author&gt;Tang, Lee Kwan&lt;/author&gt;&lt;author&gt;Sakamoto, Wataru&lt;/author&gt;&lt;author&gt;Maekawa, Masahiko&lt;/author&gt;&lt;author&gt;Chu, Ivan K.&lt;/author&gt;&lt;author&gt;Wang, Mingfu&lt;/author&gt;&lt;author&gt;Lo, Clive&lt;/author&gt;&lt;/authors&gt;&lt;/contributors&gt;&lt;titles&gt;&lt;title&gt;Functional characterization of key structural genes in rice flavonoid biosynthesis&lt;/title&gt;&lt;secondary-title&gt;Planta&lt;/secondary-title&gt;&lt;/titles&gt;&lt;periodical&gt;&lt;full-title&gt;Planta&lt;/full-title&gt;&lt;abbr-1&gt;Planta&lt;/abbr-1&gt;&lt;abbr-2&gt;Planta&lt;/abbr-2&gt;&lt;/periodical&gt;&lt;pages&gt;1043–1054&lt;/pages&gt;&lt;volume&gt;228&lt;/volume&gt;&lt;number&gt;6&lt;/number&gt;&lt;dates&gt;&lt;year&gt;2008&lt;/year&gt;&lt;pub-dates&gt;&lt;date&gt;2008/08/26&lt;/date&gt;&lt;/pub-dates&gt;&lt;/dates&gt;&lt;publisher&gt;Springer Science and Business Media LLC&lt;/publisher&gt;&lt;isbn&gt;0032-0935&amp;#xD;1432-2048&lt;/isbn&gt;&lt;urls&gt;&lt;related-urls&gt;&lt;url&gt;https://dx.doi.org/10.1007/s00425-008-0806-1&lt;/url&gt;&lt;/related-urls&gt;&lt;/urls&gt;&lt;electronic-resource-num&gt;10.1007/s00425-008-0806-1&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3</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CHS is believed to have evolved from primary metabolic enzymes involved in fatty acid biosynthesis.</w:t>
      </w:r>
      <w:r>
        <w:fldChar w:fldCharType="begin"/>
      </w:r>
      <w:r>
        <w:instrText xml:space="preserve"> HYPERLINK \l "_ENREF_2" \o "Stafford, 1991 #2865"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&lt;EndNote&gt;&lt;Cite&gt;&lt;Author&gt;Stafford&lt;/Author&gt;&lt;Year&gt;1991&lt;/Year&gt;&lt;RecNum&gt;2865&lt;/RecNum&gt;&lt;DisplayText&gt;&lt;style face="superscript"&gt;2&lt;/style&gt;&lt;/DisplayText&gt;&lt;record&gt;&lt;rec-number&gt;2865&lt;/rec-number&gt;&lt;foreign-keys&gt;&lt;key app="EN" db-id="p5tvrefenpt90reepsx50xesffpw09pt9dwv" timestamp="1568642076"&gt;2865&lt;/key&gt;&lt;/foreign-keys&gt;&lt;ref-type name="Journal Article"&gt;17&lt;/ref-type&gt;&lt;contributors&gt;&lt;authors&gt;&lt;author&gt;Stafford, Helen A.&lt;/author&gt;&lt;/authors&gt;&lt;/contributors&gt;&lt;titles&gt;&lt;title&gt;Flavonoid evolution: an enzymic approach&lt;/title&gt;&lt;secondary-title&gt;Plant Physiology&lt;/secondary-title&gt;&lt;/titles&gt;&lt;periodical&gt;&lt;full-title&gt;Plant Physiology&lt;/full-title&gt;&lt;abbr-1&gt;Plant Physiol.&lt;/abbr-1&gt;&lt;abbr-2&gt;Plant Physiol&lt;/abbr-2&gt;&lt;/periodical&gt;&lt;pages&gt;680–685&lt;/pages&gt;&lt;volume&gt;96&lt;/volume&gt;&lt;number&gt;3&lt;/number&gt;&lt;dates&gt;&lt;year&gt;1991&lt;/year&gt;&lt;pub-dates&gt;&lt;date&gt;1991/07/01&lt;/date&gt;&lt;/pub-dates&gt;&lt;/dates&gt;&lt;publisher&gt;American Society of Plant Biologists (ASPB)&lt;/publisher&gt;&lt;isbn&gt;0032-0889&amp;#xD;1532-2548&lt;/isbn&gt;&lt;urls&gt;&lt;related-urls&gt;&lt;url&gt;https://dx.doi.org/10.1104/pp.96.3.680&lt;/url&gt;&lt;/related-urls&gt;&lt;/urls&gt;&lt;electronic-resource-num&gt;10.1104/pp.96.3.680&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2</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Many </w:t>
      </w:r>
      <w:r>
        <w:rPr>
          <w:i/>
          <w:color w:val="000000" w:themeColor="text1"/>
          <w:lang w:val="en-US"/>
          <w14:textFill>
            <w14:solidFill>
              <w14:schemeClr w14:val="tx1"/>
            </w14:solidFill>
          </w14:textFill>
        </w:rPr>
        <w:t>CHS</w:t>
      </w:r>
      <w:r>
        <w:rPr>
          <w:color w:val="000000" w:themeColor="text1"/>
          <w:lang w:val="en-US"/>
          <w14:textFill>
            <w14:solidFill>
              <w14:schemeClr w14:val="tx1"/>
            </w14:solidFill>
          </w14:textFill>
        </w:rPr>
        <w:t xml:space="preserve"> genes have been cloned from higher plants, and their structures have been well-studied.</w:t>
      </w:r>
      <w:r>
        <w:fldChar w:fldCharType="begin"/>
      </w:r>
      <w:r>
        <w:instrText xml:space="preserve"> HYPERLINK \l "_ENREF_8" \o "Ferrer, 1999 #2903" </w:instrText>
      </w:r>
      <w:r>
        <w:fldChar w:fldCharType="separate"/>
      </w:r>
      <w:r>
        <w:rPr>
          <w:rStyle w:val="20"/>
          <w:color w:val="000000" w:themeColor="text1"/>
          <w:u w:val="none"/>
          <w:lang w:val="en-US"/>
          <w14:textFill>
            <w14:solidFill>
              <w14:schemeClr w14:val="tx1"/>
            </w14:solidFill>
          </w14:textFill>
        </w:rPr>
        <w:fldChar w:fldCharType="begin">
          <w:fldData xml:space="preserve">PEVuZE5vdGU+PENpdGU+PEF1dGhvcj5GZXJyZXI8L0F1dGhvcj48WWVhcj4xOTk5PC9ZZWFyPjxS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</w:fldData>
        </w:fldChar>
      </w:r>
      <w:r>
        <w:rPr>
          <w:rStyle w:val="20"/>
          <w:color w:val="000000" w:themeColor="text1"/>
          <w:u w:val="none"/>
          <w:lang w:val="en-US"/>
          <w14:textFill>
            <w14:solidFill>
              <w14:schemeClr w14:val="tx1"/>
            </w14:solidFill>
          </w14:textFill>
        </w:rPr>
        <w:instrText xml:space="preserve"> ADDIN EN.CITE </w:instrText>
      </w:r>
      <w:r>
        <w:rPr>
          <w:rStyle w:val="20"/>
          <w:color w:val="000000" w:themeColor="text1"/>
          <w:u w:val="none"/>
          <w:lang w:val="en-US"/>
          <w14:textFill>
            <w14:solidFill>
              <w14:schemeClr w14:val="tx1"/>
            </w14:solidFill>
          </w14:textFill>
        </w:rPr>
        <w:fldChar w:fldCharType="begin">
          <w:fldData xml:space="preserve">PEVuZE5vdGU+PENpdGU+PEF1dGhvcj5GZXJyZXI8L0F1dGhvcj48WWVhcj4xOTk5PC9ZZWFyPjxS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</w:fldData>
        </w:fldChar>
      </w:r>
      <w:r>
        <w:rPr>
          <w:rStyle w:val="20"/>
          <w:color w:val="000000" w:themeColor="text1"/>
          <w:u w:val="none"/>
          <w:lang w:val="en-US"/>
          <w14:textFill>
            <w14:solidFill>
              <w14:schemeClr w14:val="tx1"/>
            </w14:solidFill>
          </w14:textFill>
        </w:rPr>
        <w:instrText xml:space="preserve"> ADDIN EN.CITE.DATA </w:instrText>
      </w:r>
      <w:r>
        <w:rPr>
          <w:rStyle w:val="20"/>
          <w:color w:val="000000" w:themeColor="text1"/>
          <w:u w:val="none"/>
          <w14:textFill>
            <w14:solidFill>
              <w14:schemeClr w14:val="tx1"/>
            </w14:solidFill>
          </w14:textFill>
        </w:rPr>
        <w:fldChar w:fldCharType="end"/>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8-10</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CHS proteins exhibit diverse functions among different plants, including anti-oxidant activity, participating in floral pigment formation,</w:t>
      </w:r>
      <w:r>
        <w:fldChar w:fldCharType="begin"/>
      </w:r>
      <w:r>
        <w:instrText xml:space="preserve"> HYPERLINK \l "_ENREF_11" \o "Liu, 2012 #2872" </w:instrText>
      </w:r>
      <w:r>
        <w:fldChar w:fldCharType="separate"/>
      </w:r>
      <w:r>
        <w:rPr>
          <w:rStyle w:val="20"/>
          <w:color w:val="000000" w:themeColor="text1"/>
          <w:u w:val="none"/>
          <w:lang w:val="en-US"/>
          <w14:textFill>
            <w14:solidFill>
              <w14:schemeClr w14:val="tx1"/>
            </w14:solidFill>
          </w14:textFill>
        </w:rPr>
        <w:fldChar w:fldCharType="begin">
          <w:fldData xml:space="preserve">PEVuZE5vdGU+PENpdGU+PEF1dGhvcj5MaXU8L0F1dGhvcj48WWVhcj4yMDEyPC9ZZWFyPjxSZWNO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</w:fldData>
        </w:fldChar>
      </w:r>
      <w:r>
        <w:rPr>
          <w:rStyle w:val="20"/>
          <w:color w:val="000000" w:themeColor="text1"/>
          <w:u w:val="none"/>
          <w:lang w:val="en-US"/>
          <w14:textFill>
            <w14:solidFill>
              <w14:schemeClr w14:val="tx1"/>
            </w14:solidFill>
          </w14:textFill>
        </w:rPr>
        <w:instrText xml:space="preserve"> ADDIN EN.CITE </w:instrText>
      </w:r>
      <w:r>
        <w:rPr>
          <w:rStyle w:val="20"/>
          <w:color w:val="000000" w:themeColor="text1"/>
          <w:u w:val="none"/>
          <w:lang w:val="en-US"/>
          <w14:textFill>
            <w14:solidFill>
              <w14:schemeClr w14:val="tx1"/>
            </w14:solidFill>
          </w14:textFill>
        </w:rPr>
        <w:fldChar w:fldCharType="begin">
          <w:fldData xml:space="preserve">PEVuZE5vdGU+PENpdGU+PEF1dGhvcj5MaXU8L0F1dGhvcj48WWVhcj4yMDEyPC9ZZWFyPjxSZWNO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</w:fldData>
        </w:fldChar>
      </w:r>
      <w:r>
        <w:rPr>
          <w:rStyle w:val="20"/>
          <w:color w:val="000000" w:themeColor="text1"/>
          <w:u w:val="none"/>
          <w:lang w:val="en-US"/>
          <w14:textFill>
            <w14:solidFill>
              <w14:schemeClr w14:val="tx1"/>
            </w14:solidFill>
          </w14:textFill>
        </w:rPr>
        <w:instrText xml:space="preserve"> ADDIN EN.CITE.DATA </w:instrText>
      </w:r>
      <w:r>
        <w:rPr>
          <w:rStyle w:val="20"/>
          <w:color w:val="000000" w:themeColor="text1"/>
          <w:u w:val="none"/>
          <w14:textFill>
            <w14:solidFill>
              <w14:schemeClr w14:val="tx1"/>
            </w14:solidFill>
          </w14:textFill>
        </w:rPr>
        <w:fldChar w:fldCharType="end"/>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11-13</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as well as pollen fertility.</w:t>
      </w:r>
      <w:bookmarkStart w:id="12" w:name="OLE_LINK88"/>
      <w:bookmarkStart w:id="13" w:name="OLE_LINK69"/>
      <w:r>
        <w:rPr>
          <w:color w:val="000000" w:themeColor="text1"/>
          <w:lang w:val="en-US"/>
          <w14:textFill>
            <w14:solidFill>
              <w14:schemeClr w14:val="tx1"/>
            </w14:solidFill>
          </w14:textFill>
        </w:rPr>
        <w:fldChar w:fldCharType="begin"/>
      </w:r>
      <w:r>
        <w:rPr>
          <w:color w:val="000000" w:themeColor="text1"/>
          <w:lang w:val="en-US"/>
          <w14:textFill>
            <w14:solidFill>
              <w14:schemeClr w14:val="tx1"/>
            </w14:solidFill>
          </w14:textFill>
        </w:rPr>
        <w:instrText xml:space="preserve"> HYPERLINK \l "_ENREF_14" \o "Mo, 1992 #2875" </w:instrText>
      </w:r>
      <w:r>
        <w:rPr>
          <w:color w:val="000000" w:themeColor="text1"/>
          <w:lang w:val="en-US"/>
          <w14:textFill>
            <w14:solidFill>
              <w14:schemeClr w14:val="tx1"/>
            </w14:solidFill>
          </w14:textFill>
        </w:rP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&lt;EndNote&gt;&lt;Cite&gt;&lt;Author&gt;Mo&lt;/Author&gt;&lt;Year&gt;1992&lt;/Year&gt;&lt;RecNum&gt;2875&lt;/RecNum&gt;&lt;DisplayText&gt;&lt;style face="superscript"&gt;14&lt;/style&gt;&lt;/DisplayText&gt;&lt;record&gt;&lt;rec-number&gt;2875&lt;/rec-number&gt;&lt;foreign-keys&gt;&lt;key app="EN" db-id="p5tvrefenpt90reepsx50xesffpw09pt9dwv" timestamp="1568642076"&gt;2875&lt;/key&gt;&lt;/foreign-keys&gt;&lt;ref-type name="Journal Article"&gt;17&lt;/ref-type&gt;&lt;contributors&gt;&lt;authors&gt;&lt;author&gt;Mo, Y.&lt;/author&gt;&lt;author&gt;Nagel, C.&lt;/author&gt;&lt;author&gt;Taylor, L. P.&lt;/author&gt;&lt;/authors&gt;&lt;/contributors&gt;&lt;titles&gt;&lt;title&gt;Biochemical complementation of chalcone synthase mutants defines a role for flavonols in functional pollen&lt;/title&gt;&lt;secondary-title&gt;Proceedings of the National Academy of Sciences of the United States of America&lt;/secondary-title&gt;&lt;/titles&gt;&lt;periodical&gt;&lt;full-title&gt;Proceedings of the National Academy of Sciences of the United States of America&lt;/full-title&gt;&lt;abbr-1&gt;Proc. Natl. Acad. Sci. U. S. A.&lt;/abbr-1&gt;&lt;abbr-2&gt;Proc Natl Acad Sci U S A&lt;/abbr-2&gt;&lt;/periodical&gt;&lt;pages&gt;7213–7217&lt;/pages&gt;&lt;volume&gt;89&lt;/volume&gt;&lt;number&gt;15&lt;/number&gt;&lt;dates&gt;&lt;year&gt;1992&lt;/year&gt;&lt;pub-dates&gt;&lt;date&gt;1992/08/01&lt;/date&gt;&lt;/pub-dates&gt;&lt;/dates&gt;&lt;publisher&gt;Proceedings of the National Academy of Sciences&lt;/publisher&gt;&lt;isbn&gt;0027-8424&amp;#xD;1091-6490&lt;/isbn&gt;&lt;urls&gt;&lt;related-urls&gt;&lt;url&gt;https://dx.doi.org/10.1073/pnas.89.15.7213&lt;/url&gt;&lt;/related-urls&gt;&lt;/urls&gt;&lt;electronic-resource-num&gt;10.1073/pnas.89.15.7213&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14</w:t>
      </w:r>
      <w:r>
        <w:rPr>
          <w:rStyle w:val="20"/>
          <w:color w:val="000000" w:themeColor="text1"/>
          <w:u w:val="none"/>
          <w14:textFill>
            <w14:solidFill>
              <w14:schemeClr w14:val="tx1"/>
            </w14:solidFill>
          </w14:textFill>
        </w:rPr>
        <w:fldChar w:fldCharType="end"/>
      </w:r>
      <w:r>
        <w:rPr>
          <w:color w:val="000000" w:themeColor="text1"/>
          <w14:textFill>
            <w14:solidFill>
              <w14:schemeClr w14:val="tx1"/>
            </w14:solidFill>
          </w14:textFill>
        </w:rPr>
        <w:fldChar w:fldCharType="end"/>
      </w:r>
      <w:r>
        <w:rPr>
          <w:color w:val="000000" w:themeColor="text1"/>
          <w:lang w:val="en-US"/>
          <w14:textFill>
            <w14:solidFill>
              <w14:schemeClr w14:val="tx1"/>
            </w14:solidFill>
          </w14:textFill>
        </w:rPr>
        <w:t xml:space="preserve"> However, little research has focused on the role of plant </w:t>
      </w:r>
      <w:r>
        <w:rPr>
          <w:i/>
          <w:color w:val="000000" w:themeColor="text1"/>
          <w:lang w:val="en-US"/>
          <w14:textFill>
            <w14:solidFill>
              <w14:schemeClr w14:val="tx1"/>
            </w14:solidFill>
          </w14:textFill>
        </w:rPr>
        <w:t>CHS</w:t>
      </w:r>
      <w:r>
        <w:rPr>
          <w:color w:val="000000" w:themeColor="text1"/>
          <w:lang w:val="en-US"/>
          <w14:textFill>
            <w14:solidFill>
              <w14:schemeClr w14:val="tx1"/>
            </w14:solidFill>
          </w14:textFill>
        </w:rPr>
        <w:t xml:space="preserve"> gene expression levels in drought tolerance or in regulating the expression patterns of downstream genes and metabolite concentrations.</w:t>
      </w:r>
    </w:p>
    <w:bookmarkEnd w:id="12"/>
    <w:bookmarkEnd w:id="13"/>
    <w:p>
      <w:pPr>
        <w:pStyle w:val="31"/>
        <w:ind w:firstLine="194" w:firstLineChars="100"/>
        <w:rPr>
          <w:color w:val="000000" w:themeColor="text1"/>
          <w:lang w:val="en-US"/>
          <w14:textFill>
            <w14:solidFill>
              <w14:schemeClr w14:val="tx1"/>
            </w14:solidFill>
          </w14:textFill>
        </w:rPr>
      </w:pPr>
      <w:r>
        <w:rPr>
          <w:color w:val="000000" w:themeColor="text1"/>
          <w:lang w:val="en-US"/>
          <w14:textFill>
            <w14:solidFill>
              <w14:schemeClr w14:val="tx1"/>
            </w14:solidFill>
          </w14:textFill>
        </w:rPr>
        <w:t>This study aimed to investigate the role of the tobacco (</w:t>
      </w:r>
      <w:r>
        <w:rPr>
          <w:i/>
          <w:color w:val="000000" w:themeColor="text1"/>
          <w:lang w:val="en-US"/>
          <w14:textFill>
            <w14:solidFill>
              <w14:schemeClr w14:val="tx1"/>
            </w14:solidFill>
          </w14:textFill>
        </w:rPr>
        <w:t>Nicotiana tabacum</w:t>
      </w:r>
      <w:r>
        <w:rPr>
          <w:color w:val="000000" w:themeColor="text1"/>
          <w:lang w:val="en-US"/>
          <w14:textFill>
            <w14:solidFill>
              <w14:schemeClr w14:val="tx1"/>
            </w14:solidFill>
          </w14:textFill>
        </w:rPr>
        <w:t xml:space="preserve">) </w:t>
      </w:r>
      <w:r>
        <w:rPr>
          <w:i/>
          <w:color w:val="000000" w:themeColor="text1"/>
          <w:lang w:val="en-US"/>
          <w14:textFill>
            <w14:solidFill>
              <w14:schemeClr w14:val="tx1"/>
            </w14:solidFill>
          </w14:textFill>
        </w:rPr>
        <w:t xml:space="preserve">CHS </w:t>
      </w:r>
      <w:r>
        <w:rPr>
          <w:color w:val="000000" w:themeColor="text1"/>
          <w:lang w:val="en-US"/>
          <w14:textFill>
            <w14:solidFill>
              <w14:schemeClr w14:val="tx1"/>
            </w14:solidFill>
          </w14:textFill>
        </w:rPr>
        <w:t>(</w:t>
      </w: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 xml:space="preserve">) gene in response to drought conditions. A vector overexpressing the </w:t>
      </w: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 xml:space="preserve"> coding sequence was constructed and transferred into tobacco. Transgenic plants exhibited increased flavonoid contents, and the expression levels of relevant genes were upregulated. Collectively, these responses enhanced drought tolerance in transgenic plants. Additionally, CHS family genes were mined from the tobacco genome, which can serve as a reference for future studies on tobacco CHS genes.</w:t>
      </w:r>
    </w:p>
    <w:p>
      <w:pPr>
        <w:pStyle w:val="30"/>
        <w:rPr>
          <w:color w:val="000000" w:themeColor="text1"/>
          <w:w w:val="108"/>
          <w:lang w:val="en-US"/>
          <w14:textFill>
            <w14:solidFill>
              <w14:schemeClr w14:val="tx1"/>
            </w14:solidFill>
          </w14:textFill>
        </w:rPr>
      </w:pPr>
      <w:r>
        <w:rPr>
          <w:color w:val="000000" w:themeColor="text1"/>
          <w:w w:val="108"/>
          <w:lang w:val="en-US"/>
          <w14:textFill>
            <w14:solidFill>
              <w14:schemeClr w14:val="tx1"/>
            </w14:solidFill>
          </w14:textFill>
        </w:rPr>
        <w:t>2. Materials and methods</w:t>
      </w:r>
    </w:p>
    <w:p>
      <w:pPr>
        <w:pStyle w:val="84"/>
        <w:rPr>
          <w:color w:val="000000" w:themeColor="text1"/>
          <w:w w:val="108"/>
          <w:lang w:val="en-US"/>
          <w14:textFill>
            <w14:solidFill>
              <w14:schemeClr w14:val="tx1"/>
            </w14:solidFill>
          </w14:textFill>
        </w:rPr>
      </w:pPr>
      <w:bookmarkStart w:id="14" w:name="OLE_LINK169"/>
      <w:bookmarkStart w:id="15" w:name="OLE_LINK170"/>
      <w:r>
        <w:rPr>
          <w:color w:val="000000" w:themeColor="text1"/>
          <w:w w:val="108"/>
          <w:lang w:val="en-US"/>
          <w14:textFill>
            <w14:solidFill>
              <w14:schemeClr w14:val="tx1"/>
            </w14:solidFill>
          </w14:textFill>
        </w:rPr>
        <w:t>2.1</w:t>
      </w:r>
      <w:r>
        <w:rPr>
          <w:rFonts w:hint="eastAsia"/>
          <w:color w:val="000000" w:themeColor="text1"/>
          <w:w w:val="108"/>
          <w:lang w:val="en-US"/>
          <w14:textFill>
            <w14:solidFill>
              <w14:schemeClr w14:val="tx1"/>
            </w14:solidFill>
          </w14:textFill>
        </w:rPr>
        <w:t>.</w:t>
      </w:r>
      <w:r>
        <w:rPr>
          <w:color w:val="000000" w:themeColor="text1"/>
          <w:w w:val="108"/>
          <w:lang w:val="en-US"/>
          <w14:textFill>
            <w14:solidFill>
              <w14:schemeClr w14:val="tx1"/>
            </w14:solidFill>
          </w14:textFill>
        </w:rPr>
        <w:t xml:space="preserve"> Chemicals and reagents</w:t>
      </w:r>
    </w:p>
    <w:p>
      <w:pPr>
        <w:pStyle w:val="31"/>
        <w:rPr>
          <w:color w:val="000000" w:themeColor="text1"/>
          <w:lang w:val="en-US"/>
          <w14:textFill>
            <w14:solidFill>
              <w14:schemeClr w14:val="tx1"/>
            </w14:solidFill>
          </w14:textFill>
        </w:rPr>
      </w:pPr>
      <w:r>
        <w:rPr>
          <w:color w:val="000000" w:themeColor="text1"/>
          <w:lang w:val="en-US"/>
          <w14:textFill>
            <w14:solidFill>
              <w14:schemeClr w14:val="tx1"/>
            </w14:solidFill>
          </w14:textFill>
        </w:rPr>
        <w:t>Seven flavonoid reference standards (i.e., rutin, quercetin, kaempferol-3-rutinoside, kaempferol-glucopyranoside, naringin, naringenin, and isoliquiritigenin) and the internal standard vitexin (purity ≥ 98%) were bought from Yudingxinjie Corporation (Zhengzhou, China). Acetonitrile, methanol, ethanol, and formic acid of high-performance liquid chromatography (HPLC) grade were purchased from</w:t>
      </w:r>
      <w:bookmarkStart w:id="16" w:name="OLE_LINK26"/>
      <w:bookmarkStart w:id="17" w:name="OLE_LINK25"/>
      <w:bookmarkStart w:id="18" w:name="OLE_LINK32"/>
      <w:r>
        <w:rPr>
          <w:color w:val="000000" w:themeColor="text1"/>
          <w:lang w:val="en-US"/>
          <w14:textFill>
            <w14:solidFill>
              <w14:schemeClr w14:val="tx1"/>
            </w14:solidFill>
          </w14:textFill>
        </w:rPr>
        <w:t xml:space="preserve"> J.T. Baker</w:t>
      </w:r>
      <w:bookmarkEnd w:id="16"/>
      <w:bookmarkEnd w:id="17"/>
      <w:bookmarkEnd w:id="18"/>
      <w:r>
        <w:rPr>
          <w:color w:val="000000" w:themeColor="text1"/>
          <w:lang w:val="en-US"/>
          <w14:textFill>
            <w14:solidFill>
              <w14:schemeClr w14:val="tx1"/>
            </w14:solidFill>
          </w14:textFill>
        </w:rPr>
        <w:t xml:space="preserve"> (WI, USA). Ultra-pure water was prepared with a Milli-Q purification system (</w:t>
      </w:r>
      <w:bookmarkStart w:id="19" w:name="OLE_LINK23"/>
      <w:bookmarkStart w:id="20" w:name="OLE_LINK24"/>
      <w:r>
        <w:rPr>
          <w:color w:val="000000" w:themeColor="text1"/>
          <w:lang w:val="en-US"/>
          <w14:textFill>
            <w14:solidFill>
              <w14:schemeClr w14:val="tx1"/>
            </w14:solidFill>
          </w14:textFill>
        </w:rPr>
        <w:t>Millipore,</w:t>
      </w:r>
      <w:bookmarkEnd w:id="19"/>
      <w:bookmarkEnd w:id="20"/>
      <w:r>
        <w:rPr>
          <w:color w:val="000000" w:themeColor="text1"/>
          <w:lang w:val="en-US"/>
          <w14:textFill>
            <w14:solidFill>
              <w14:schemeClr w14:val="tx1"/>
            </w14:solidFill>
          </w14:textFill>
        </w:rPr>
        <w:t xml:space="preserve"> MA, USA).</w:t>
      </w:r>
      <w:bookmarkStart w:id="21" w:name="OLE_LINK130"/>
      <w:bookmarkStart w:id="22" w:name="OLE_LINK131"/>
      <w:r>
        <w:rPr>
          <w:color w:val="000000" w:themeColor="text1"/>
          <w:lang w:val="en-US"/>
          <w14:textFill>
            <w14:solidFill>
              <w14:schemeClr w14:val="tx1"/>
            </w14:solidFill>
          </w14:textFill>
        </w:rPr>
        <w:t xml:space="preserve"> Thiobarbituric acid</w:t>
      </w:r>
      <w:bookmarkEnd w:id="21"/>
      <w:bookmarkEnd w:id="22"/>
      <w:r>
        <w:rPr>
          <w:color w:val="000000" w:themeColor="text1"/>
          <w:lang w:val="en-US"/>
          <w14:textFill>
            <w14:solidFill>
              <w14:schemeClr w14:val="tx1"/>
            </w14:solidFill>
          </w14:textFill>
        </w:rPr>
        <w:t xml:space="preserve"> and titanium sulfate (≥ 98%) were obtained from Yudingxinjie Corporation (Zhengzhou, China).</w:t>
      </w:r>
    </w:p>
    <w:p>
      <w:pPr>
        <w:pStyle w:val="84"/>
        <w:rPr>
          <w:color w:val="000000" w:themeColor="text1"/>
          <w:w w:val="108"/>
          <w:lang w:val="en-US"/>
          <w14:textFill>
            <w14:solidFill>
              <w14:schemeClr w14:val="tx1"/>
            </w14:solidFill>
          </w14:textFill>
        </w:rPr>
      </w:pPr>
      <w:r>
        <w:rPr>
          <w:color w:val="000000" w:themeColor="text1"/>
          <w:w w:val="108"/>
          <w:lang w:val="en-US"/>
          <w14:textFill>
            <w14:solidFill>
              <w14:schemeClr w14:val="tx1"/>
            </w14:solidFill>
          </w14:textFill>
        </w:rPr>
        <w:t>2.2</w:t>
      </w:r>
      <w:r>
        <w:rPr>
          <w:rFonts w:hint="eastAsia"/>
          <w:color w:val="000000" w:themeColor="text1"/>
          <w:w w:val="108"/>
          <w:lang w:val="en-US"/>
          <w14:textFill>
            <w14:solidFill>
              <w14:schemeClr w14:val="tx1"/>
            </w14:solidFill>
          </w14:textFill>
        </w:rPr>
        <w:t>.</w:t>
      </w:r>
      <w:r>
        <w:rPr>
          <w:color w:val="000000" w:themeColor="text1"/>
          <w:w w:val="108"/>
          <w:lang w:val="en-US"/>
          <w14:textFill>
            <w14:solidFill>
              <w14:schemeClr w14:val="tx1"/>
            </w14:solidFill>
          </w14:textFill>
        </w:rPr>
        <w:t xml:space="preserve"> Vector construction, plant transformation, and confirmation</w:t>
      </w:r>
    </w:p>
    <w:p>
      <w:pPr>
        <w:pStyle w:val="31"/>
        <w:rPr>
          <w:color w:val="000000" w:themeColor="text1"/>
          <w:lang w:val="en-US"/>
          <w14:textFill>
            <w14:solidFill>
              <w14:schemeClr w14:val="tx1"/>
            </w14:solidFill>
          </w14:textFill>
        </w:rPr>
      </w:pP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 xml:space="preserve"> cDNA (accession No.:</w:t>
      </w:r>
      <w:bookmarkStart w:id="23" w:name="OLE_LINK36"/>
      <w:bookmarkStart w:id="24" w:name="OLE_LINK38"/>
      <w:r>
        <w:rPr>
          <w:color w:val="000000" w:themeColor="text1"/>
          <w:lang w:val="en-US"/>
          <w14:textFill>
            <w14:solidFill>
              <w14:schemeClr w14:val="tx1"/>
            </w14:solidFill>
          </w14:textFill>
        </w:rPr>
        <w:t xml:space="preserve"> AF311783.1</w:t>
      </w:r>
      <w:bookmarkEnd w:id="23"/>
      <w:bookmarkEnd w:id="24"/>
      <w:r>
        <w:rPr>
          <w:color w:val="000000" w:themeColor="text1"/>
          <w:lang w:val="en-US"/>
          <w14:textFill>
            <w14:solidFill>
              <w14:schemeClr w14:val="tx1"/>
            </w14:solidFill>
          </w14:textFill>
        </w:rPr>
        <w:t>) was</w:t>
      </w:r>
      <w:bookmarkStart w:id="25" w:name="OLE_LINK135"/>
      <w:bookmarkStart w:id="26" w:name="OLE_LINK132"/>
      <w:r>
        <w:rPr>
          <w:color w:val="000000" w:themeColor="text1"/>
          <w:lang w:val="en-US"/>
          <w14:textFill>
            <w14:solidFill>
              <w14:schemeClr w14:val="tx1"/>
            </w14:solidFill>
          </w14:textFill>
        </w:rPr>
        <w:t xml:space="preserve"> amplified using two primers,</w:t>
      </w:r>
      <w:bookmarkStart w:id="27" w:name="OLE_LINK28"/>
      <w:bookmarkStart w:id="28" w:name="OLE_LINK29"/>
      <w:r>
        <w:rPr>
          <w:color w:val="000000" w:themeColor="text1"/>
          <w:lang w:val="en-US"/>
          <w14:textFill>
            <w14:solidFill>
              <w14:schemeClr w14:val="tx1"/>
            </w14:solidFill>
          </w14:textFill>
        </w:rPr>
        <w:t xml:space="preserve"> </w:t>
      </w: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F</w:t>
      </w:r>
      <w:bookmarkEnd w:id="27"/>
      <w:bookmarkEnd w:id="28"/>
      <w:r>
        <w:rPr>
          <w:color w:val="000000" w:themeColor="text1"/>
          <w:lang w:val="en-US"/>
          <w14:textFill>
            <w14:solidFill>
              <w14:schemeClr w14:val="tx1"/>
            </w14:solidFill>
          </w14:textFill>
        </w:rPr>
        <w:t xml:space="preserve"> 5´-AGCCATTTGAAAACCCTAG-3´ and </w:t>
      </w: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R 5´-CAAATTTCATTATTTGCAA G-3´.</w:t>
      </w:r>
      <w:bookmarkEnd w:id="25"/>
      <w:bookmarkEnd w:id="26"/>
      <w:r>
        <w:rPr>
          <w:color w:val="000000" w:themeColor="text1"/>
          <w:lang w:val="en-US"/>
          <w14:textFill>
            <w14:solidFill>
              <w14:schemeClr w14:val="tx1"/>
            </w14:solidFill>
          </w14:textFill>
        </w:rPr>
        <w:t xml:space="preserve"> Then, </w:t>
      </w: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 xml:space="preserve"> cDNA was cloned into</w:t>
      </w:r>
      <w:bookmarkStart w:id="29" w:name="OLE_LINK63"/>
      <w:bookmarkStart w:id="30" w:name="OLE_LINK64"/>
      <w:r>
        <w:rPr>
          <w:color w:val="000000" w:themeColor="text1"/>
          <w:lang w:val="en-US"/>
          <w14:textFill>
            <w14:solidFill>
              <w14:schemeClr w14:val="tx1"/>
            </w14:solidFill>
          </w14:textFill>
        </w:rPr>
        <w:t xml:space="preserve"> the pH7WG2D</w:t>
      </w:r>
      <w:bookmarkEnd w:id="29"/>
      <w:bookmarkEnd w:id="30"/>
      <w:r>
        <w:rPr>
          <w:color w:val="000000" w:themeColor="text1"/>
          <w:lang w:val="en-US"/>
          <w14:textFill>
            <w14:solidFill>
              <w14:schemeClr w14:val="tx1"/>
            </w14:solidFill>
          </w14:textFill>
        </w:rPr>
        <w:t xml:space="preserve"> plasmid between the attR1 and attR2 sites, which was confirmed by sequencing (Fig. 1a). Afterward, a recombinant vector pH7WG2D-</w:t>
      </w: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 xml:space="preserve"> was prepared and transformed into the </w:t>
      </w:r>
      <w:r>
        <w:rPr>
          <w:i/>
          <w:color w:val="000000" w:themeColor="text1"/>
          <w:lang w:val="en-US"/>
          <w14:textFill>
            <w14:solidFill>
              <w14:schemeClr w14:val="tx1"/>
            </w14:solidFill>
          </w14:textFill>
        </w:rPr>
        <w:t>Agrobacterium</w:t>
      </w:r>
      <w:r>
        <w:rPr>
          <w:color w:val="000000" w:themeColor="text1"/>
          <w:lang w:val="en-US"/>
          <w14:textFill>
            <w14:solidFill>
              <w14:schemeClr w14:val="tx1"/>
            </w14:solidFill>
          </w14:textFill>
        </w:rPr>
        <w:t xml:space="preserve"> strain, </w:t>
      </w:r>
      <w:r>
        <w:rPr>
          <w:bCs/>
          <w:color w:val="000000" w:themeColor="text1"/>
          <w:lang w:val="en-US"/>
          <w14:textFill>
            <w14:solidFill>
              <w14:schemeClr w14:val="tx1"/>
            </w14:solidFill>
          </w14:textFill>
        </w:rPr>
        <w:t>EHA105</w:t>
      </w:r>
      <w:r>
        <w:rPr>
          <w:color w:val="000000" w:themeColor="text1"/>
          <w:lang w:val="en-US"/>
          <w14:textFill>
            <w14:solidFill>
              <w14:schemeClr w14:val="tx1"/>
            </w14:solidFill>
          </w14:textFill>
        </w:rPr>
        <w:t xml:space="preserve">. </w:t>
      </w:r>
      <w:r>
        <w:rPr>
          <w:i/>
          <w:color w:val="000000" w:themeColor="text1"/>
          <w:lang w:val="en-US"/>
          <w14:textFill>
            <w14:solidFill>
              <w14:schemeClr w14:val="tx1"/>
            </w14:solidFill>
          </w14:textFill>
        </w:rPr>
        <w:t>N. tabacum</w:t>
      </w:r>
      <w:r>
        <w:rPr>
          <w:color w:val="000000" w:themeColor="text1"/>
          <w:lang w:val="en-US"/>
          <w14:textFill>
            <w14:solidFill>
              <w14:schemeClr w14:val="tx1"/>
            </w14:solidFill>
          </w14:textFill>
        </w:rPr>
        <w:t xml:space="preserve"> K326 was transformed using a leaf disk method following standard protocol (Fig. 1a).</w:t>
      </w:r>
      <w:r>
        <w:fldChar w:fldCharType="begin"/>
      </w:r>
      <w:r>
        <w:instrText xml:space="preserve"> HYPERLINK \l "_ENREF_15" \o "Horsch, 1985 #2876"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&lt;EndNote&gt;&lt;Cite&gt;&lt;Author&gt;Horsch&lt;/Author&gt;&lt;Year&gt;1985&lt;/Year&gt;&lt;RecNum&gt;2876&lt;/RecNum&gt;&lt;DisplayText&gt;&lt;style face="superscript"&gt;15&lt;/style&gt;&lt;/DisplayText&gt;&lt;record&gt;&lt;rec-number&gt;2876&lt;/rec-number&gt;&lt;foreign-keys&gt;&lt;key app="EN" db-id="p5tvrefenpt90reepsx50xesffpw09pt9dwv" timestamp="1568642076"&gt;2876&lt;/key&gt;&lt;/foreign-keys&gt;&lt;ref-type name="Journal Article"&gt;17&lt;/ref-type&gt;&lt;contributors&gt;&lt;authors&gt;&lt;author&gt;Horsch, R. B.&lt;/author&gt;&lt;author&gt;Fry, J. E.&lt;/author&gt;&lt;author&gt;Hoffmann, N. L.&lt;/author&gt;&lt;author&gt;Eichholtz, D.&lt;/author&gt;&lt;author&gt;Rogers, S. G.&lt;/author&gt;&lt;author&gt;Fraley, R. T.&lt;/author&gt;&lt;/authors&gt;&lt;/contributors&gt;&lt;titles&gt;&lt;title&gt;A simple and general method for transferring genes into plants&lt;/title&gt;&lt;secondary-title&gt;Science&lt;/secondary-title&gt;&lt;/titles&gt;&lt;periodical&gt;&lt;full-title&gt;Science&lt;/full-title&gt;&lt;abbr-1&gt;Science&lt;/abbr-1&gt;&lt;abbr-2&gt;Science&lt;/abbr-2&gt;&lt;/periodical&gt;&lt;pages&gt;1229–1231&lt;/pages&gt;&lt;volume&gt;227&lt;/volume&gt;&lt;number&gt;4691&lt;/number&gt;&lt;dates&gt;&lt;year&gt;1985&lt;/year&gt;&lt;pub-dates&gt;&lt;date&gt;1985/03/08&lt;/date&gt;&lt;/pub-dates&gt;&lt;/dates&gt;&lt;publisher&gt;American Association for the Advancement of Science (AAAS)&lt;/publisher&gt;&lt;isbn&gt;0036-8075&amp;#xD;1095-9203&lt;/isbn&gt;&lt;urls&gt;&lt;related-urls&gt;&lt;url&gt;https://dx.doi.org/10.1126/science.227.4691.1229&lt;/url&gt;&lt;/related-urls&gt;&lt;/urls&gt;&lt;electronic-resource-num&gt;10.1126/science.227.4691.1229&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15</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p>
    <w:p>
      <w:pPr>
        <w:pStyle w:val="31"/>
        <w:ind w:firstLine="194" w:firstLineChars="100"/>
        <w:rPr>
          <w:color w:val="000000" w:themeColor="text1"/>
          <w:lang w:val="en-US"/>
          <w14:textFill>
            <w14:solidFill>
              <w14:schemeClr w14:val="tx1"/>
            </w14:solidFill>
          </w14:textFill>
        </w:rPr>
      </w:pPr>
      <w:bookmarkStart w:id="31" w:name="OLE_LINK71"/>
      <w:bookmarkStart w:id="32" w:name="OLE_LINK70"/>
      <w:r>
        <w:rPr>
          <w:color w:val="000000" w:themeColor="text1"/>
          <w:lang w:val="en-US"/>
          <w14:textFill>
            <w14:solidFill>
              <w14:schemeClr w14:val="tx1"/>
            </w14:solidFill>
          </w14:textFill>
        </w:rPr>
        <w:t>Seeds were collected from self-pollinated primary transformants. Transgenic tobacco seeds (T</w:t>
      </w:r>
      <w:r>
        <w:rPr>
          <w:color w:val="000000" w:themeColor="text1"/>
          <w:vertAlign w:val="subscript"/>
          <w:lang w:val="en-US"/>
          <w14:textFill>
            <w14:solidFill>
              <w14:schemeClr w14:val="tx1"/>
            </w14:solidFill>
          </w14:textFill>
        </w:rPr>
        <w:t>1</w:t>
      </w:r>
      <w:r>
        <w:rPr>
          <w:color w:val="000000" w:themeColor="text1"/>
          <w:lang w:val="en-US"/>
          <w14:textFill>
            <w14:solidFill>
              <w14:schemeClr w14:val="tx1"/>
            </w14:solidFill>
          </w14:textFill>
        </w:rPr>
        <w:t xml:space="preserve"> generation) were germinated with 50 mg</w:t>
      </w:r>
      <w:r>
        <w:rPr>
          <w:rFonts w:hint="eastAsia"/>
          <w:color w:val="000000" w:themeColor="text1"/>
          <w:lang w:val="en-US"/>
          <w14:textFill>
            <w14:solidFill>
              <w14:schemeClr w14:val="tx1"/>
            </w14:solidFill>
          </w14:textFill>
        </w:rPr>
        <w:t xml:space="preserve"> </w:t>
      </w:r>
      <w:r>
        <w:rPr>
          <w:color w:val="000000" w:themeColor="text1"/>
          <w:lang w:val="en-US"/>
          <w14:textFill>
            <w14:solidFill>
              <w14:schemeClr w14:val="tx1"/>
            </w14:solidFill>
          </w14:textFill>
        </w:rPr>
        <w:t>mL</w:t>
      </w:r>
      <w:r>
        <w:rPr>
          <w:rFonts w:hint="eastAsia" w:ascii="MS Mincho" w:hAnsi="MS Mincho" w:eastAsia="MS Mincho" w:cs="MS Mincho"/>
          <w:color w:val="000000" w:themeColor="text1"/>
          <w:vertAlign w:val="superscript"/>
          <w:lang w:val="en-US"/>
          <w14:textFill>
            <w14:solidFill>
              <w14:schemeClr w14:val="tx1"/>
            </w14:solidFill>
          </w14:textFill>
        </w:rPr>
        <w:t>−</w:t>
      </w:r>
      <w:r>
        <w:rPr>
          <w:rFonts w:hint="eastAsia"/>
          <w:color w:val="000000" w:themeColor="text1"/>
          <w:vertAlign w:val="superscript"/>
          <w:lang w:val="en-US"/>
          <w14:textFill>
            <w14:solidFill>
              <w14:schemeClr w14:val="tx1"/>
            </w14:solidFill>
          </w14:textFill>
        </w:rPr>
        <w:t>1</w:t>
      </w:r>
      <w:r>
        <w:rPr>
          <w:color w:val="000000" w:themeColor="text1"/>
          <w:lang w:val="en-US"/>
          <w14:textFill>
            <w14:solidFill>
              <w14:schemeClr w14:val="tx1"/>
            </w14:solidFill>
          </w14:textFill>
        </w:rPr>
        <w:t xml:space="preserve"> kanamycin. Seeds of transgenic and control tobacco lines were grown in pots containing a mixture of manure, sand, and soil (1:1:2) in a greenhouse. The transformed tobacco plants were screened to identify </w:t>
      </w:r>
      <w:r>
        <w:rPr>
          <w:i/>
          <w:color w:val="000000" w:themeColor="text1"/>
          <w:lang w:val="en-US"/>
          <w14:textFill>
            <w14:solidFill>
              <w14:schemeClr w14:val="tx1"/>
            </w14:solidFill>
          </w14:textFill>
        </w:rPr>
        <w:t>Npt II</w:t>
      </w:r>
      <w:r>
        <w:rPr>
          <w:color w:val="000000" w:themeColor="text1"/>
          <w:lang w:val="en-US"/>
          <w14:textFill>
            <w14:solidFill>
              <w14:schemeClr w14:val="tx1"/>
            </w14:solidFill>
          </w14:textFill>
        </w:rPr>
        <w:t xml:space="preserve"> via polymerase chain reaction (PCR) using genomic DNA as the template and two primers, </w:t>
      </w:r>
      <w:r>
        <w:rPr>
          <w:i/>
          <w:color w:val="000000" w:themeColor="text1"/>
          <w:lang w:val="en-US"/>
          <w14:textFill>
            <w14:solidFill>
              <w14:schemeClr w14:val="tx1"/>
            </w14:solidFill>
          </w14:textFill>
        </w:rPr>
        <w:t>npt II</w:t>
      </w:r>
      <w:r>
        <w:rPr>
          <w:color w:val="000000" w:themeColor="text1"/>
          <w:lang w:val="en-US"/>
          <w14:textFill>
            <w14:solidFill>
              <w14:schemeClr w14:val="tx1"/>
            </w14:solidFill>
          </w14:textFill>
        </w:rPr>
        <w:t xml:space="preserve">-F 5´-TGTCACTGAAGCGGGAAG-3´ and </w:t>
      </w:r>
      <w:r>
        <w:rPr>
          <w:i/>
          <w:color w:val="000000" w:themeColor="text1"/>
          <w:lang w:val="en-US"/>
          <w14:textFill>
            <w14:solidFill>
              <w14:schemeClr w14:val="tx1"/>
            </w14:solidFill>
          </w14:textFill>
        </w:rPr>
        <w:t>npt II</w:t>
      </w:r>
      <w:r>
        <w:rPr>
          <w:color w:val="000000" w:themeColor="text1"/>
          <w:lang w:val="en-US"/>
          <w14:textFill>
            <w14:solidFill>
              <w14:schemeClr w14:val="tx1"/>
            </w14:solidFill>
          </w14:textFill>
        </w:rPr>
        <w:t>-R 5´-CTTCCATCCGAGTAC GTG-3´. The PCR conditions were as follows: 1 min at 94°C; 35 cycles for 30 s at 94°C, 30 s at 50°C, and 1 min at 72°C. PCR products were separated by agarose gel electrophoresis and visualized with ethidium bromide staining and UV illumination. Genomic DNA was isolated from the pH7WG2D-</w:t>
      </w: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 xml:space="preserve"> transformants and control plants using a DNeasy plant mini kit</w:t>
      </w:r>
      <w:bookmarkStart w:id="33" w:name="OLE_LINK18"/>
      <w:bookmarkStart w:id="34" w:name="OLE_LINK19"/>
      <w:r>
        <w:rPr>
          <w:color w:val="000000" w:themeColor="text1"/>
          <w:lang w:val="en-US"/>
          <w14:textFill>
            <w14:solidFill>
              <w14:schemeClr w14:val="tx1"/>
            </w14:solidFill>
          </w14:textFill>
        </w:rPr>
        <w:t xml:space="preserve"> (</w:t>
      </w:r>
      <w:bookmarkStart w:id="35" w:name="OLE_LINK17"/>
      <w:bookmarkStart w:id="36" w:name="OLE_LINK15"/>
      <w:r>
        <w:rPr>
          <w:color w:val="000000" w:themeColor="text1"/>
          <w:lang w:val="en-US"/>
          <w14:textFill>
            <w14:solidFill>
              <w14:schemeClr w14:val="tx1"/>
            </w14:solidFill>
          </w14:textFill>
        </w:rPr>
        <w:t>Qiagen</w:t>
      </w:r>
      <w:bookmarkEnd w:id="35"/>
      <w:bookmarkEnd w:id="36"/>
      <w:r>
        <w:rPr>
          <w:color w:val="000000" w:themeColor="text1"/>
          <w:lang w:val="en-US"/>
          <w14:textFill>
            <w14:solidFill>
              <w14:schemeClr w14:val="tx1"/>
            </w14:solidFill>
          </w14:textFill>
        </w:rPr>
        <w:t>, Duesseldorf, Germany)</w:t>
      </w:r>
      <w:bookmarkEnd w:id="33"/>
      <w:bookmarkEnd w:id="34"/>
      <w:r>
        <w:rPr>
          <w:color w:val="000000" w:themeColor="text1"/>
          <w:lang w:val="en-US"/>
          <w14:textFill>
            <w14:solidFill>
              <w14:schemeClr w14:val="tx1"/>
            </w14:solidFill>
          </w14:textFill>
        </w:rPr>
        <w:t xml:space="preserve"> following the manufacturer’s instructions.</w:t>
      </w:r>
    </w:p>
    <w:p>
      <w:pPr>
        <w:pStyle w:val="31"/>
        <w:ind w:firstLine="194" w:firstLineChars="100"/>
        <w:rPr>
          <w:color w:val="000000" w:themeColor="text1"/>
          <w:lang w:val="en-US"/>
          <w14:textFill>
            <w14:solidFill>
              <w14:schemeClr w14:val="tx1"/>
            </w14:solidFill>
          </w14:textFill>
        </w:rPr>
      </w:pPr>
      <w:r>
        <w:rPr>
          <w:color w:val="000000" w:themeColor="text1"/>
          <w:lang w:val="en-US"/>
          <w14:textFill>
            <w14:solidFill>
              <w14:schemeClr w14:val="tx1"/>
            </w14:solidFill>
          </w14:textFill>
        </w:rPr>
        <w:t xml:space="preserve">To select positive transgenic tobaccos, </w:t>
      </w: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 xml:space="preserve"> gene expression was determined by fluorescent real-time</w:t>
      </w:r>
      <w:bookmarkStart w:id="37" w:name="OLE_LINK133"/>
      <w:bookmarkStart w:id="38" w:name="OLE_LINK134"/>
      <w:r>
        <w:rPr>
          <w:color w:val="000000" w:themeColor="text1"/>
          <w:lang w:val="en-US"/>
          <w14:textFill>
            <w14:solidFill>
              <w14:schemeClr w14:val="tx1"/>
            </w14:solidFill>
          </w14:textFill>
        </w:rPr>
        <w:t xml:space="preserve"> quantitative</w:t>
      </w:r>
      <w:bookmarkEnd w:id="37"/>
      <w:bookmarkEnd w:id="38"/>
      <w:r>
        <w:rPr>
          <w:color w:val="000000" w:themeColor="text1"/>
          <w:lang w:val="en-US"/>
          <w14:textFill>
            <w14:solidFill>
              <w14:schemeClr w14:val="tx1"/>
            </w14:solidFill>
          </w14:textFill>
        </w:rPr>
        <w:t xml:space="preserve"> PCR (RT-qPCR). For each plant, 100 mg sample was ground in liquid nitrogen. Then, total RNA was extracted from the pH7WG2D-</w:t>
      </w: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 xml:space="preserve"> transformants and control plants separately using an RNeasy plant mini kit (</w:t>
      </w:r>
      <w:bookmarkStart w:id="39" w:name="OLE_LINK22"/>
      <w:bookmarkStart w:id="40" w:name="OLE_LINK21"/>
      <w:r>
        <w:rPr>
          <w:color w:val="000000" w:themeColor="text1"/>
          <w:lang w:val="en-US"/>
          <w14:textFill>
            <w14:solidFill>
              <w14:schemeClr w14:val="tx1"/>
            </w14:solidFill>
          </w14:textFill>
        </w:rPr>
        <w:t>Qiagen, Duesseldorf, Germany</w:t>
      </w:r>
      <w:bookmarkEnd w:id="39"/>
      <w:bookmarkEnd w:id="40"/>
      <w:r>
        <w:rPr>
          <w:color w:val="000000" w:themeColor="text1"/>
          <w:lang w:val="en-US"/>
          <w14:textFill>
            <w14:solidFill>
              <w14:schemeClr w14:val="tx1"/>
            </w14:solidFill>
          </w14:textFill>
        </w:rPr>
        <w:t>) following the manufacturer’s instructions. After treatment with DNase I (</w:t>
      </w:r>
      <w:bookmarkStart w:id="41" w:name="OLE_LINK85"/>
      <w:bookmarkStart w:id="42" w:name="OLE_LINK84"/>
      <w:bookmarkStart w:id="43" w:name="OLE_LINK98"/>
      <w:r>
        <w:rPr>
          <w:color w:val="000000" w:themeColor="text1"/>
          <w:lang w:val="en-US"/>
          <w14:textFill>
            <w14:solidFill>
              <w14:schemeClr w14:val="tx1"/>
            </w14:solidFill>
          </w14:textFill>
        </w:rPr>
        <w:t>GeneAnswer</w:t>
      </w:r>
      <w:bookmarkEnd w:id="41"/>
      <w:bookmarkEnd w:id="42"/>
      <w:bookmarkEnd w:id="43"/>
      <w:r>
        <w:rPr>
          <w:color w:val="000000" w:themeColor="text1"/>
          <w:lang w:val="en-US"/>
          <w14:textFill>
            <w14:solidFill>
              <w14:schemeClr w14:val="tx1"/>
            </w14:solidFill>
          </w14:textFill>
        </w:rPr>
        <w:t>, Zhengzhou, China),</w:t>
      </w:r>
      <w:bookmarkStart w:id="44" w:name="OLE_LINK50"/>
      <w:r>
        <w:rPr>
          <w:color w:val="000000" w:themeColor="text1"/>
          <w:lang w:val="en-US"/>
          <w14:textFill>
            <w14:solidFill>
              <w14:schemeClr w14:val="tx1"/>
            </w14:solidFill>
          </w14:textFill>
        </w:rPr>
        <w:t xml:space="preserve"> first-strand cDNA</w:t>
      </w:r>
      <w:bookmarkEnd w:id="44"/>
      <w:r>
        <w:rPr>
          <w:color w:val="000000" w:themeColor="text1"/>
          <w:lang w:val="en-US"/>
          <w14:textFill>
            <w14:solidFill>
              <w14:schemeClr w14:val="tx1"/>
            </w14:solidFill>
          </w14:textFill>
        </w:rPr>
        <w:t xml:space="preserve"> was synthesized using avian myeloblastosis virus reverse transcriptase (Sangon, Shaanghai, China) following the manufacturer’s instructions. RT-qPCR was performed on a CFX96 instrument (BIO-RAD, CA, USA). Each reaction mixture (total volume = 20 μL) contained 10 μL SYBR Premix Ex Taq (2 × concentration) (TaKaRa, Dalian, China), 1 μL gene-specific primers </w:t>
      </w:r>
      <w:r>
        <w:rPr>
          <w:i/>
          <w:color w:val="000000" w:themeColor="text1"/>
          <w:lang w:val="en-US"/>
          <w14:textFill>
            <w14:solidFill>
              <w14:schemeClr w14:val="tx1"/>
            </w14:solidFill>
          </w14:textFill>
        </w:rPr>
        <w:t>CHS</w:t>
      </w:r>
      <w:r>
        <w:rPr>
          <w:color w:val="000000" w:themeColor="text1"/>
          <w:lang w:val="en-US"/>
          <w14:textFill>
            <w14:solidFill>
              <w14:schemeClr w14:val="tx1"/>
            </w14:solidFill>
          </w14:textFill>
        </w:rPr>
        <w:t>-F/</w:t>
      </w:r>
      <w:r>
        <w:rPr>
          <w:i/>
          <w:color w:val="000000" w:themeColor="text1"/>
          <w:lang w:val="en-US"/>
          <w14:textFill>
            <w14:solidFill>
              <w14:schemeClr w14:val="tx1"/>
            </w14:solidFill>
          </w14:textFill>
        </w:rPr>
        <w:t>CHS</w:t>
      </w:r>
      <w:r>
        <w:rPr>
          <w:color w:val="000000" w:themeColor="text1"/>
          <w:lang w:val="en-US"/>
          <w14:textFill>
            <w14:solidFill>
              <w14:schemeClr w14:val="tx1"/>
            </w14:solidFill>
          </w14:textFill>
        </w:rPr>
        <w:t xml:space="preserve">-R (10 mM), and diluted cDNA (100 ng). Leaf samples of both </w:t>
      </w:r>
      <w:r>
        <w:rPr>
          <w:i/>
          <w:color w:val="000000" w:themeColor="text1"/>
          <w:lang w:val="en-US"/>
          <w14:textFill>
            <w14:solidFill>
              <w14:schemeClr w14:val="tx1"/>
            </w14:solidFill>
          </w14:textFill>
        </w:rPr>
        <w:t>CHS</w:t>
      </w:r>
      <w:r>
        <w:rPr>
          <w:color w:val="000000" w:themeColor="text1"/>
          <w:lang w:val="en-US"/>
          <w14:textFill>
            <w14:solidFill>
              <w14:schemeClr w14:val="tx1"/>
            </w14:solidFill>
          </w14:textFill>
        </w:rPr>
        <w:t>-overexpressing tobacco and control plants were tested in triplicate.</w:t>
      </w:r>
      <w:bookmarkStart w:id="45" w:name="OLE_LINK121"/>
      <w:bookmarkStart w:id="46" w:name="OLE_LINK120"/>
      <w:r>
        <w:rPr>
          <w:color w:val="000000" w:themeColor="text1"/>
          <w:lang w:val="en-US"/>
          <w14:textFill>
            <w14:solidFill>
              <w14:schemeClr w14:val="tx1"/>
            </w14:solidFill>
          </w14:textFill>
        </w:rPr>
        <w:t xml:space="preserve"> Amplification conditions were as follows: 30 s at 95°C; 40 cycles for 5 s at 95°C, 40 s at 60°C; one cycle for 15 s at 95°C, 1 min at 60°C, 15 s at 95°C, 15 s at 60°C.</w:t>
      </w:r>
      <w:bookmarkEnd w:id="45"/>
      <w:bookmarkEnd w:id="46"/>
      <w:r>
        <w:rPr>
          <w:color w:val="000000" w:themeColor="text1"/>
          <w:lang w:val="en-US"/>
          <w14:textFill>
            <w14:solidFill>
              <w14:schemeClr w14:val="tx1"/>
            </w14:solidFill>
          </w14:textFill>
        </w:rPr>
        <w:t xml:space="preserve"> The internal standard gene was the</w:t>
      </w:r>
      <w:r>
        <w:rPr>
          <w:i/>
          <w:color w:val="000000" w:themeColor="text1"/>
          <w:lang w:val="en-US"/>
          <w14:textFill>
            <w14:solidFill>
              <w14:schemeClr w14:val="tx1"/>
            </w14:solidFill>
          </w14:textFill>
        </w:rPr>
        <w:t xml:space="preserve"> 26S rRNA-</w:t>
      </w:r>
      <w:r>
        <w:rPr>
          <w:color w:val="000000" w:themeColor="text1"/>
          <w:lang w:val="en-US"/>
          <w14:textFill>
            <w14:solidFill>
              <w14:schemeClr w14:val="tx1"/>
            </w14:solidFill>
          </w14:textFill>
        </w:rPr>
        <w:t>based gene primer.</w:t>
      </w:r>
      <w:bookmarkEnd w:id="14"/>
      <w:bookmarkEnd w:id="15"/>
      <w:bookmarkEnd w:id="31"/>
      <w:bookmarkEnd w:id="32"/>
      <w:r>
        <w:rPr>
          <w:color w:val="000000" w:themeColor="text1"/>
          <w:lang w:val="en-US"/>
          <w14:textFill>
            <w14:solidFill>
              <w14:schemeClr w14:val="tx1"/>
            </w14:solidFill>
          </w14:textFill>
        </w:rPr>
        <w:fldChar w:fldCharType="begin"/>
      </w:r>
      <w:r>
        <w:rPr>
          <w:color w:val="000000" w:themeColor="text1"/>
          <w:lang w:val="en-US"/>
          <w14:textFill>
            <w14:solidFill>
              <w14:schemeClr w14:val="tx1"/>
            </w14:solidFill>
          </w14:textFill>
        </w:rPr>
        <w:instrText xml:space="preserve"> HYPERLINK \l "_ENREF_16" \o "Singh, 2004 #2877" </w:instrText>
      </w:r>
      <w:r>
        <w:rPr>
          <w:color w:val="000000" w:themeColor="text1"/>
          <w:lang w:val="en-US"/>
          <w14:textFill>
            <w14:solidFill>
              <w14:schemeClr w14:val="tx1"/>
            </w14:solidFill>
          </w14:textFill>
        </w:rP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&lt;EndNote&gt;&lt;Cite&gt;&lt;Author&gt;Singh&lt;/Author&gt;&lt;Year&gt;2004&lt;/Year&gt;&lt;RecNum&gt;2877&lt;/RecNum&gt;&lt;DisplayText&gt;&lt;style face="superscript"&gt;16&lt;/style&gt;&lt;/DisplayText&gt;&lt;record&gt;&lt;rec-number&gt;2877&lt;/rec-number&gt;&lt;foreign-keys&gt;&lt;key app="EN" db-id="p5tvrefenpt90reepsx50xesffpw09pt9dwv" timestamp="1568642076"&gt;2877&lt;/key&gt;&lt;/foreign-keys&gt;&lt;ref-type name="Journal Article"&gt;17&lt;/ref-type&gt;&lt;contributors&gt;&lt;authors&gt;&lt;author&gt;Singh, Kashmir&lt;/author&gt;&lt;author&gt;Raizada, Jyoti&lt;/author&gt;&lt;author&gt;Bhardwaj, Pradeep&lt;/author&gt;&lt;author&gt;Ghawana, Sanjay&lt;/author&gt;&lt;author&gt;Rani, Arti&lt;/author&gt;&lt;author&gt;Singh, Harsharan&lt;/author&gt;&lt;author&gt;Kaul, Kiran&lt;/author&gt;&lt;author&gt;Kumar, Sanjay&lt;/author&gt;&lt;/authors&gt;&lt;/contributors&gt;&lt;titles&gt;&lt;title&gt;26S rRNA-based internal control gene primer pair for reverse transcription-polymerase chain reaction-based quantitative expression studies in diverse plant species&lt;/title&gt;&lt;secondary-title&gt;Analytical Biochemistry&lt;/secondary-title&gt;&lt;/titles&gt;&lt;periodical&gt;&lt;full-title&gt;Analytical Biochemistry&lt;/full-title&gt;&lt;abbr-1&gt;Anal. Biochem.&lt;/abbr-1&gt;&lt;abbr-2&gt;Anal Biochem&lt;/abbr-2&gt;&lt;/periodical&gt;&lt;pages&gt;330–333&lt;/pages&gt;&lt;volume&gt;335&lt;/volume&gt;&lt;number&gt;2&lt;/number&gt;&lt;dates&gt;&lt;year&gt;2004&lt;/year&gt;&lt;pub-dates&gt;&lt;date&gt;2004/12&lt;/date&gt;&lt;/pub-dates&gt;&lt;/dates&gt;&lt;publisher&gt;Elsevier BV&lt;/publisher&gt;&lt;isbn&gt;0003-2697&lt;/isbn&gt;&lt;urls&gt;&lt;related-urls&gt;&lt;url&gt;https://dx.doi.org/10.1016/j.ab.2004.08.030&lt;/url&gt;&lt;/related-urls&gt;&lt;/urls&gt;&lt;electronic-resource-num&gt;10.1016/j.ab.2004.08.030&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16</w:t>
      </w:r>
      <w:r>
        <w:rPr>
          <w:rStyle w:val="20"/>
          <w:color w:val="000000" w:themeColor="text1"/>
          <w:u w:val="none"/>
          <w14:textFill>
            <w14:solidFill>
              <w14:schemeClr w14:val="tx1"/>
            </w14:solidFill>
          </w14:textFill>
        </w:rPr>
        <w:fldChar w:fldCharType="end"/>
      </w:r>
      <w:r>
        <w:rPr>
          <w:color w:val="000000" w:themeColor="text1"/>
          <w14:textFill>
            <w14:solidFill>
              <w14:schemeClr w14:val="tx1"/>
            </w14:solidFill>
          </w14:textFill>
        </w:rPr>
        <w:fldChar w:fldCharType="end"/>
      </w:r>
      <w:r>
        <w:rPr>
          <w:color w:val="000000" w:themeColor="text1"/>
          <w:lang w:val="en-US"/>
          <w14:textFill>
            <w14:solidFill>
              <w14:schemeClr w14:val="tx1"/>
            </w14:solidFill>
          </w14:textFill>
        </w:rPr>
        <w:t xml:space="preserve"> No morphological differences were observed between the transgenic and control plants.</w:t>
      </w:r>
    </w:p>
    <w:p>
      <w:pPr>
        <w:pStyle w:val="84"/>
        <w:rPr>
          <w:color w:val="000000" w:themeColor="text1"/>
          <w:w w:val="108"/>
          <w:lang w:val="en-US"/>
          <w14:textFill>
            <w14:solidFill>
              <w14:schemeClr w14:val="tx1"/>
            </w14:solidFill>
          </w14:textFill>
        </w:rPr>
      </w:pPr>
      <w:r>
        <w:rPr>
          <w:color w:val="000000" w:themeColor="text1"/>
          <w:w w:val="108"/>
          <w:lang w:val="en-US"/>
          <w14:textFill>
            <w14:solidFill>
              <w14:schemeClr w14:val="tx1"/>
            </w14:solidFill>
          </w14:textFill>
        </w:rPr>
        <w:t>2.3</w:t>
      </w:r>
      <w:r>
        <w:rPr>
          <w:rFonts w:hint="eastAsia"/>
          <w:color w:val="000000" w:themeColor="text1"/>
          <w:w w:val="108"/>
          <w:lang w:val="en-US"/>
          <w14:textFill>
            <w14:solidFill>
              <w14:schemeClr w14:val="tx1"/>
            </w14:solidFill>
          </w14:textFill>
        </w:rPr>
        <w:t>.</w:t>
      </w:r>
      <w:r>
        <w:rPr>
          <w:color w:val="000000" w:themeColor="text1"/>
          <w:w w:val="108"/>
          <w:lang w:val="en-US"/>
          <w14:textFill>
            <w14:solidFill>
              <w14:schemeClr w14:val="tx1"/>
            </w14:solidFill>
          </w14:textFill>
        </w:rPr>
        <w:t xml:space="preserve"> Plant growth conditions and drought treatment</w:t>
      </w:r>
    </w:p>
    <w:p>
      <w:pPr>
        <w:pStyle w:val="31"/>
        <w:rPr>
          <w:color w:val="000000" w:themeColor="text1"/>
          <w:lang w:val="en-US" w:eastAsia="zh-CN"/>
          <w14:textFill>
            <w14:solidFill>
              <w14:schemeClr w14:val="tx1"/>
            </w14:solidFill>
          </w14:textFill>
        </w:rPr>
      </w:pPr>
      <w:r>
        <w:rPr>
          <w:color w:val="000000" w:themeColor="text1"/>
          <w:lang w:val="en-US"/>
          <w14:textFill>
            <w14:solidFill>
              <w14:schemeClr w14:val="tx1"/>
            </w14:solidFill>
          </w14:textFill>
        </w:rPr>
        <w:t>Seeds were grown on soil or one-half-strength Murashige and Skoog (MS) agar medium in a growth chamber maintained at 22–24°C and 60% relative humidity under a16/8 h light/dark photoperiod. After germination with 50 mg</w:t>
      </w:r>
      <w:r>
        <w:rPr>
          <w:rFonts w:hint="eastAsia"/>
          <w:color w:val="000000" w:themeColor="text1"/>
          <w:lang w:val="en-US"/>
          <w14:textFill>
            <w14:solidFill>
              <w14:schemeClr w14:val="tx1"/>
            </w14:solidFill>
          </w14:textFill>
        </w:rPr>
        <w:t xml:space="preserve"> </w:t>
      </w:r>
      <w:r>
        <w:rPr>
          <w:color w:val="000000" w:themeColor="text1"/>
          <w:lang w:val="en-US"/>
          <w14:textFill>
            <w14:solidFill>
              <w14:schemeClr w14:val="tx1"/>
            </w14:solidFill>
          </w14:textFill>
        </w:rPr>
        <w:t>mL</w:t>
      </w:r>
      <w:r>
        <w:rPr>
          <w:rFonts w:hint="eastAsia" w:ascii="MS Mincho" w:hAnsi="MS Mincho" w:eastAsia="MS Mincho" w:cs="MS Mincho"/>
          <w:color w:val="000000" w:themeColor="text1"/>
          <w:vertAlign w:val="superscript"/>
          <w:lang w:val="en-US"/>
          <w14:textFill>
            <w14:solidFill>
              <w14:schemeClr w14:val="tx1"/>
            </w14:solidFill>
          </w14:textFill>
        </w:rPr>
        <w:t>−</w:t>
      </w:r>
      <w:r>
        <w:rPr>
          <w:rFonts w:hint="eastAsia"/>
          <w:color w:val="000000" w:themeColor="text1"/>
          <w:vertAlign w:val="superscript"/>
          <w:lang w:val="en-US"/>
          <w14:textFill>
            <w14:solidFill>
              <w14:schemeClr w14:val="tx1"/>
            </w14:solidFill>
          </w14:textFill>
        </w:rPr>
        <w:t>1</w:t>
      </w:r>
      <w:r>
        <w:rPr>
          <w:color w:val="000000" w:themeColor="text1"/>
          <w:lang w:val="en-US"/>
          <w14:textFill>
            <w14:solidFill>
              <w14:schemeClr w14:val="tx1"/>
            </w14:solidFill>
          </w14:textFill>
        </w:rPr>
        <w:t xml:space="preserve"> kanamycin, seedlings of transgenic tobacco seeds were transferred to culture pots in the greenhouse where the drought treatment was applied for 14 d. Fresh weight (FW) of leaves was measured after removal from plants. Turgid weight (TW) was determined after rinsing the leaves in water at 4°C for 12 h. Then, the dry weight (DW) of leaves was determined after drying at 80°C for 48 h. Relative water content (RWC) was calculated as RWC = [(FW</w:t>
      </w:r>
      <w:r>
        <w:rPr>
          <w:rFonts w:hint="eastAsia"/>
          <w:color w:val="000000" w:themeColor="text1"/>
          <w:lang w:val="en-US"/>
          <w14:textFill>
            <w14:solidFill>
              <w14:schemeClr w14:val="tx1"/>
            </w14:solidFill>
          </w14:textFill>
        </w:rPr>
        <w:t xml:space="preserve"> </w:t>
      </w:r>
      <w:r>
        <w:rPr>
          <w:color w:val="000000" w:themeColor="text1"/>
          <w:lang w:val="en-US"/>
          <w14:textFill>
            <w14:solidFill>
              <w14:schemeClr w14:val="tx1"/>
            </w14:solidFill>
          </w14:textFill>
        </w:rPr>
        <w:t>−</w:t>
      </w:r>
      <w:r>
        <w:rPr>
          <w:rFonts w:hint="eastAsia"/>
          <w:color w:val="000000" w:themeColor="text1"/>
          <w:lang w:val="en-US"/>
          <w14:textFill>
            <w14:solidFill>
              <w14:schemeClr w14:val="tx1"/>
            </w14:solidFill>
          </w14:textFill>
        </w:rPr>
        <w:t xml:space="preserve"> </w:t>
      </w:r>
      <w:r>
        <w:rPr>
          <w:color w:val="000000" w:themeColor="text1"/>
          <w:lang w:val="en-US"/>
          <w14:textFill>
            <w14:solidFill>
              <w14:schemeClr w14:val="tx1"/>
            </w14:solidFill>
          </w14:textFill>
        </w:rPr>
        <w:t>DW)/(TW</w:t>
      </w:r>
      <w:r>
        <w:rPr>
          <w:rFonts w:hint="eastAsia"/>
          <w:color w:val="000000" w:themeColor="text1"/>
          <w:lang w:val="en-US"/>
          <w14:textFill>
            <w14:solidFill>
              <w14:schemeClr w14:val="tx1"/>
            </w14:solidFill>
          </w14:textFill>
        </w:rPr>
        <w:t xml:space="preserve"> </w:t>
      </w:r>
      <w:r>
        <w:rPr>
          <w:color w:val="000000" w:themeColor="text1"/>
          <w:lang w:val="en-US"/>
          <w14:textFill>
            <w14:solidFill>
              <w14:schemeClr w14:val="tx1"/>
            </w14:solidFill>
          </w14:textFill>
        </w:rPr>
        <w:t>−</w:t>
      </w:r>
      <w:r>
        <w:rPr>
          <w:rFonts w:hint="eastAsia"/>
          <w:color w:val="000000" w:themeColor="text1"/>
          <w:lang w:val="en-US"/>
          <w14:textFill>
            <w14:solidFill>
              <w14:schemeClr w14:val="tx1"/>
            </w14:solidFill>
          </w14:textFill>
        </w:rPr>
        <w:t xml:space="preserve"> </w:t>
      </w:r>
      <w:r>
        <w:rPr>
          <w:color w:val="000000" w:themeColor="text1"/>
          <w:lang w:val="en-US"/>
          <w14:textFill>
            <w14:solidFill>
              <w14:schemeClr w14:val="tx1"/>
            </w14:solidFill>
          </w14:textFill>
        </w:rPr>
        <w:t>DW)] × 100%.</w:t>
      </w:r>
      <w:r>
        <w:fldChar w:fldCharType="begin"/>
      </w:r>
      <w:r>
        <w:instrText xml:space="preserve"> HYPERLINK \l "_ENREF_17" \o "Liu, 2013 #2878"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&lt;EndNote&gt;&lt;Cite&gt;&lt;Author&gt;Liu&lt;/Author&gt;&lt;Year&gt;2013&lt;/Year&gt;&lt;RecNum&gt;2878&lt;/RecNum&gt;&lt;DisplayText&gt;&lt;style face="superscript"&gt;17&lt;/style&gt;&lt;/DisplayText&gt;&lt;record&gt;&lt;rec-number&gt;2878&lt;/rec-number&gt;&lt;foreign-keys&gt;&lt;key app="EN" db-id="p5tvrefenpt90reepsx50xesffpw09pt9dwv" timestamp="1568642076"&gt;2878&lt;/key&gt;&lt;/foreign-keys&gt;&lt;ref-type name="Journal Article"&gt;17&lt;/ref-type&gt;&lt;contributors&gt;&lt;authors&gt;&lt;author&gt;Liu, Xu&lt;/author&gt;&lt;author&gt;Liu, Shuai&lt;/author&gt;&lt;author&gt;Wu, Jiali&lt;/author&gt;&lt;author&gt;Zhang, Biyu&lt;/author&gt;&lt;author&gt;Li, Xiaoyun&lt;/author&gt;&lt;author&gt;Yan, Youchen&lt;/author&gt;&lt;author&gt;Li, Ling&lt;/author&gt;&lt;/authors&gt;&lt;/contributors&gt;&lt;titles&gt;&lt;title&gt;Overexpression of Arachis hypogaea NAC3 in tobacco enhances dehydration and drought tolerance by increasing superoxide scavenging&lt;/title&gt;&lt;secondary-title&gt;Plant Physiology and Biochemistry&lt;/secondary-title&gt;&lt;/titles&gt;&lt;periodical&gt;&lt;full-title&gt;Plant Physiology and Biochemistry&lt;/full-title&gt;&lt;abbr-1&gt;Plant Physiol. Biochem.&lt;/abbr-1&gt;&lt;abbr-2&gt;Plant Physiol Biochem&lt;/abbr-2&gt;&lt;abbr-3&gt;Plant Physiology &amp;amp; Biochemistry&lt;/abbr-3&gt;&lt;/periodical&gt;&lt;pages&gt;354–359&lt;/pages&gt;&lt;volume&gt;70&lt;/volume&gt;&lt;dates&gt;&lt;year&gt;2013&lt;/year&gt;&lt;pub-dates&gt;&lt;date&gt;2013/09&lt;/date&gt;&lt;/pub-dates&gt;&lt;/dates&gt;&lt;publisher&gt;Elsevier BV&lt;/publisher&gt;&lt;isbn&gt;0981-9428&lt;/isbn&gt;&lt;urls&gt;&lt;related-urls&gt;&lt;url&gt;https://dx.doi.org/10.1016/j.plaphy.2013.05.018&lt;/url&gt;&lt;/related-urls&gt;&lt;/urls&gt;&lt;electronic-resource-num&gt;10.1016/j.plaphy.2013.05.018&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17</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H</w:t>
      </w:r>
      <w:r>
        <w:rPr>
          <w:color w:val="000000" w:themeColor="text1"/>
          <w:vertAlign w:val="subscript"/>
          <w:lang w:val="en-US"/>
          <w14:textFill>
            <w14:solidFill>
              <w14:schemeClr w14:val="tx1"/>
            </w14:solidFill>
          </w14:textFill>
        </w:rPr>
        <w:t>2</w:t>
      </w:r>
      <w:r>
        <w:rPr>
          <w:color w:val="000000" w:themeColor="text1"/>
          <w:lang w:val="en-US"/>
          <w14:textFill>
            <w14:solidFill>
              <w14:schemeClr w14:val="tx1"/>
            </w14:solidFill>
          </w14:textFill>
        </w:rPr>
        <w:t>O</w:t>
      </w:r>
      <w:r>
        <w:rPr>
          <w:color w:val="000000" w:themeColor="text1"/>
          <w:vertAlign w:val="subscript"/>
          <w:lang w:val="en-US"/>
          <w14:textFill>
            <w14:solidFill>
              <w14:schemeClr w14:val="tx1"/>
            </w14:solidFill>
          </w14:textFill>
        </w:rPr>
        <w:t>2</w:t>
      </w:r>
      <w:r>
        <w:rPr>
          <w:color w:val="000000" w:themeColor="text1"/>
          <w:lang w:val="en-US"/>
          <w14:textFill>
            <w14:solidFill>
              <w14:schemeClr w14:val="tx1"/>
            </w14:solidFill>
          </w14:textFill>
        </w:rPr>
        <w:t xml:space="preserve"> content in transgenic and control tobacco plants was measured after the drought treatment concluded.</w:t>
      </w:r>
      <w:r>
        <w:fldChar w:fldCharType="begin"/>
      </w:r>
      <w:r>
        <w:instrText xml:space="preserve"> HYPERLINK \l "_ENREF_18" \o "Jiang, 2001 #2879"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&lt;EndNote&gt;&lt;Cite&gt;&lt;Author&gt;Jiang&lt;/Author&gt;&lt;Year&gt;2001&lt;/Year&gt;&lt;RecNum&gt;2879&lt;/RecNum&gt;&lt;DisplayText&gt;&lt;style face="superscript"&gt;18&lt;/style&gt;&lt;/DisplayText&gt;&lt;record&gt;&lt;rec-number&gt;2879&lt;/rec-number&gt;&lt;foreign-keys&gt;&lt;key app="EN" db-id="p5tvrefenpt90reepsx50xesffpw09pt9dwv" timestamp="1568642076"&gt;2879&lt;/key&gt;&lt;/foreign-keys&gt;&lt;ref-type name="Journal Article"&gt;17&lt;/ref-type&gt;&lt;contributors&gt;&lt;authors&gt;&lt;author&gt;Jiang, Mingyi&lt;/author&gt;&lt;author&gt;Zhang, Jianhua&lt;/author&gt;&lt;/authors&gt;&lt;/contributors&gt;&lt;titles&gt;&lt;title&gt;Effect of abscisic acid on active oxygen species, antioxidative defence system and oxidative damage in leaves of maize seedlings&lt;/title&gt;&lt;secondary-title&gt;Plant and Cell Physiology&lt;/secondary-title&gt;&lt;/titles&gt;&lt;periodical&gt;&lt;full-title&gt;Plant and Cell Physiology&lt;/full-title&gt;&lt;abbr-1&gt;Plant Cell Physiol.&lt;/abbr-1&gt;&lt;abbr-2&gt;Plant Cell Physiol&lt;/abbr-2&gt;&lt;abbr-3&gt;Plant &amp;amp; Cell Physiology&lt;/abbr-3&gt;&lt;/periodical&gt;&lt;pages&gt;1265–1273&lt;/pages&gt;&lt;volume&gt;42&lt;/volume&gt;&lt;number&gt;11&lt;/number&gt;&lt;dates&gt;&lt;year&gt;2001&lt;/year&gt;&lt;pub-dates&gt;&lt;date&gt;2001/11/15&lt;/date&gt;&lt;/pub-dates&gt;&lt;/dates&gt;&lt;publisher&gt;Oxford University Press (OUP)&lt;/publisher&gt;&lt;isbn&gt;1471-9053&amp;#xD;0032-0781&lt;/isbn&gt;&lt;urls&gt;&lt;related-urls&gt;&lt;url&gt;https://dx.doi.org/10.1093/pcp/pce162&lt;/url&gt;&lt;/related-urls&gt;&lt;/urls&gt;&lt;electronic-resource-num&gt;10.1093/pcp/pce162&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18</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Content of malondialdehyde (MDA) was detected using the thiobarbituric acid (TBA) method.</w:t>
      </w:r>
      <w:r>
        <w:fldChar w:fldCharType="begin"/>
      </w:r>
      <w:r>
        <w:instrText xml:space="preserve"> HYPERLINK \l "_ENREF_19" \o "Madhava Rao, 2000 #2880"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&lt;EndNote&gt;&lt;Cite&gt;&lt;Author&gt;Madhava Rao&lt;/Author&gt;&lt;Year&gt;2000&lt;/Year&gt;&lt;RecNum&gt;2880&lt;/RecNum&gt;&lt;DisplayText&gt;&lt;style face="superscript"&gt;19&lt;/style&gt;&lt;/DisplayText&gt;&lt;record&gt;&lt;rec-number&gt;2880&lt;/rec-number&gt;&lt;foreign-keys&gt;&lt;key app="EN" db-id="p5tvrefenpt90reepsx50xesffpw09pt9dwv" timestamp="1568642076"&gt;2880&lt;/key&gt;&lt;/foreign-keys&gt;&lt;ref-type name="Journal Article"&gt;17&lt;/ref-type&gt;&lt;contributors&gt;&lt;authors&gt;&lt;author&gt;Madhava Rao, K. V.&lt;/author&gt;&lt;author&gt;Sresty, T. V. S.&lt;/author&gt;&lt;/authors&gt;&lt;/contributors&gt;&lt;titles&gt;&lt;title&gt;Antioxidative parameters in the seedlings of pigeonpea (Cajanus cajan (L.) Millspaugh) in response to Zn and Ni stresses&lt;/title&gt;&lt;secondary-title&gt;Plant Science&lt;/secondary-title&gt;&lt;/titles&gt;&lt;periodical&gt;&lt;full-title&gt;Plant Science&lt;/full-title&gt;&lt;abbr-1&gt;Plant Sci.&lt;/abbr-1&gt;&lt;abbr-2&gt;Plant Sci&lt;/abbr-2&gt;&lt;/periodical&gt;&lt;pages&gt;113–128&lt;/pages&gt;&lt;volume&gt;157&lt;/volume&gt;&lt;number&gt;1&lt;/number&gt;&lt;dates&gt;&lt;year&gt;2000&lt;/year&gt;&lt;pub-dates&gt;&lt;date&gt;2000/08&lt;/date&gt;&lt;/pub-dates&gt;&lt;/dates&gt;&lt;publisher&gt;Elsevier BV&lt;/publisher&gt;&lt;isbn&gt;0168-9452&lt;/isbn&gt;&lt;urls&gt;&lt;related-urls&gt;&lt;url&gt;https://dx.doi.org/10.1016/s0168-9452(00)00273-9&lt;/url&gt;&lt;/related-urls&gt;&lt;/urls&gt;&lt;electronic-resource-num&gt;10.1016/s0168-9452(00)00273-9&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19</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p>
    <w:p>
      <w:pPr>
        <w:pStyle w:val="84"/>
        <w:rPr>
          <w:color w:val="000000" w:themeColor="text1"/>
          <w:w w:val="108"/>
          <w:lang w:val="en-US"/>
          <w14:textFill>
            <w14:solidFill>
              <w14:schemeClr w14:val="tx1"/>
            </w14:solidFill>
          </w14:textFill>
        </w:rPr>
      </w:pPr>
      <w:r>
        <w:rPr>
          <w:color w:val="000000" w:themeColor="text1"/>
          <w:w w:val="108"/>
          <w:lang w:val="en-US"/>
          <w14:textFill>
            <w14:solidFill>
              <w14:schemeClr w14:val="tx1"/>
            </w14:solidFill>
          </w14:textFill>
        </w:rPr>
        <w:t>2.4</w:t>
      </w:r>
      <w:r>
        <w:rPr>
          <w:rFonts w:hint="eastAsia"/>
          <w:color w:val="000000" w:themeColor="text1"/>
          <w:w w:val="108"/>
          <w:lang w:val="en-US"/>
          <w14:textFill>
            <w14:solidFill>
              <w14:schemeClr w14:val="tx1"/>
            </w14:solidFill>
          </w14:textFill>
        </w:rPr>
        <w:t>.</w:t>
      </w:r>
      <w:r>
        <w:rPr>
          <w:color w:val="000000" w:themeColor="text1"/>
          <w:w w:val="108"/>
          <w:lang w:val="en-US"/>
          <w14:textFill>
            <w14:solidFill>
              <w14:schemeClr w14:val="tx1"/>
            </w14:solidFill>
          </w14:textFill>
        </w:rPr>
        <w:t xml:space="preserve"> RNA isolation and RT-qPCR</w:t>
      </w:r>
    </w:p>
    <w:p>
      <w:pPr>
        <w:pStyle w:val="31"/>
        <w:rPr>
          <w:color w:val="000000" w:themeColor="text1"/>
          <w:lang w:val="en-US"/>
          <w14:textFill>
            <w14:solidFill>
              <w14:schemeClr w14:val="tx1"/>
            </w14:solidFill>
          </w14:textFill>
        </w:rPr>
      </w:pPr>
      <w:r>
        <w:rPr>
          <w:color w:val="000000" w:themeColor="text1"/>
          <w:lang w:val="en-US"/>
          <w14:textFill>
            <w14:solidFill>
              <w14:schemeClr w14:val="tx1"/>
            </w14:solidFill>
          </w14:textFill>
        </w:rPr>
        <w:t xml:space="preserve">Total RNA was extracted from the leaves of </w:t>
      </w:r>
      <w:r>
        <w:rPr>
          <w:i/>
          <w:color w:val="000000" w:themeColor="text1"/>
          <w:lang w:val="en-US"/>
          <w14:textFill>
            <w14:solidFill>
              <w14:schemeClr w14:val="tx1"/>
            </w14:solidFill>
          </w14:textFill>
        </w:rPr>
        <w:t>CHS</w:t>
      </w:r>
      <w:r>
        <w:rPr>
          <w:color w:val="000000" w:themeColor="text1"/>
          <w:lang w:val="en-US"/>
          <w14:textFill>
            <w14:solidFill>
              <w14:schemeClr w14:val="tx1"/>
            </w14:solidFill>
          </w14:textFill>
        </w:rPr>
        <w:t>-overexpressing tobacco and control plants using an RNeasy plant mini kit (Qiagen, Duesseldorf, Germany). Then, first-strand cDNA was synthesized. The aforementioned RT-qPCR conditions and internal standard gene were used here.</w:t>
      </w:r>
      <w:bookmarkStart w:id="47" w:name="OLE_LINK65"/>
      <w:bookmarkStart w:id="48" w:name="OLE_LINK51"/>
      <w:r>
        <w:rPr>
          <w:color w:val="000000" w:themeColor="text1"/>
          <w:lang w:val="en-US"/>
          <w14:textFill>
            <w14:solidFill>
              <w14:schemeClr w14:val="tx1"/>
            </w14:solidFill>
          </w14:textFill>
        </w:rPr>
        <w:t xml:space="preserve"> The forward and reverse primers used for RT-qPCR were as follows:</w:t>
      </w:r>
      <w:bookmarkEnd w:id="47"/>
      <w:bookmarkEnd w:id="48"/>
      <w:r>
        <w:rPr>
          <w:color w:val="000000" w:themeColor="text1"/>
          <w:lang w:val="en-US"/>
          <w14:textFill>
            <w14:solidFill>
              <w14:schemeClr w14:val="tx1"/>
            </w14:solidFill>
          </w14:textFill>
        </w:rPr>
        <w:t xml:space="preserve"> CHS, 5´-AGAAAAGCCTTGTGGAAGCA-3´, 5´-ACTTGGTCCAAAATTGCAGG-3´; CHI, 5´-GAAATCCTCCGATCCAGTGA-3´, 5´-CAACGTTGACAACATCAGGC-3´; F3H, 5´-ACAGGGTGAAGTGGTCCAAG-3´, 5´-CCTTGGTTAAGGCCTCCTTC-3´; F3’H, 5´-TCCAAGAATACTGGCCCAAG-3´, 5´-CTCACAACTCTCGGATGCAA-3´; FLS, 5´-GAACTTGAAGGGAAAAGGGG-3´, 5´-TCCCTGTAGGAGGGAGGATT-3´; DFR, 5´-TCCCATCATGCGATCATCTA-3´, 5´-ATGGCTTCTTTGTCACGTCC-3´; and, 26S rRNA, 5´-CACGGACCAAGGAGTCTGACAT-3´, 5´-TCCCAC CAATCAGCTTCCTTAC-3´.</w:t>
      </w:r>
    </w:p>
    <w:p>
      <w:pPr>
        <w:pStyle w:val="84"/>
        <w:rPr>
          <w:color w:val="000000" w:themeColor="text1"/>
          <w:w w:val="108"/>
          <w:lang w:val="en-US"/>
          <w14:textFill>
            <w14:solidFill>
              <w14:schemeClr w14:val="tx1"/>
            </w14:solidFill>
          </w14:textFill>
        </w:rPr>
      </w:pPr>
      <w:bookmarkStart w:id="49" w:name="OLE_LINK177"/>
      <w:bookmarkStart w:id="50" w:name="OLE_LINK178"/>
      <w:r>
        <w:rPr>
          <w:color w:val="000000" w:themeColor="text1"/>
          <w:w w:val="108"/>
          <w:lang w:val="en-US"/>
          <w14:textFill>
            <w14:solidFill>
              <w14:schemeClr w14:val="tx1"/>
            </w14:solidFill>
          </w14:textFill>
        </w:rPr>
        <w:t>2.5</w:t>
      </w:r>
      <w:r>
        <w:rPr>
          <w:rFonts w:hint="eastAsia"/>
          <w:color w:val="000000" w:themeColor="text1"/>
          <w:w w:val="108"/>
          <w:lang w:val="en-US"/>
          <w14:textFill>
            <w14:solidFill>
              <w14:schemeClr w14:val="tx1"/>
            </w14:solidFill>
          </w14:textFill>
        </w:rPr>
        <w:t>.</w:t>
      </w:r>
      <w:r>
        <w:rPr>
          <w:color w:val="000000" w:themeColor="text1"/>
          <w:w w:val="108"/>
          <w:lang w:val="en-US"/>
          <w14:textFill>
            <w14:solidFill>
              <w14:schemeClr w14:val="tx1"/>
            </w14:solidFill>
          </w14:textFill>
        </w:rPr>
        <w:t xml:space="preserve"> Liquid chromatography and tandem mass spectrometry</w:t>
      </w:r>
      <w:bookmarkEnd w:id="49"/>
      <w:bookmarkEnd w:id="50"/>
    </w:p>
    <w:p>
      <w:pPr>
        <w:pStyle w:val="31"/>
        <w:rPr>
          <w:color w:val="000000" w:themeColor="text1"/>
          <w:lang w:val="en-US"/>
          <w14:textFill>
            <w14:solidFill>
              <w14:schemeClr w14:val="tx1"/>
            </w14:solidFill>
          </w14:textFill>
        </w:rPr>
        <w:sectPr>
          <w:type w:val="continuous"/>
          <w:pgSz w:w="11907" w:h="16840"/>
          <w:pgMar w:top="1009" w:right="851" w:bottom="1758" w:left="851" w:header="851" w:footer="1049" w:gutter="0"/>
          <w:cols w:space="227" w:num="2"/>
          <w:titlePg/>
          <w:docGrid w:linePitch="360" w:charSpace="0"/>
        </w:sectPr>
      </w:pPr>
      <w:r>
        <w:rPr>
          <w:color w:val="000000" w:themeColor="text1"/>
          <w:lang w:val="en-US"/>
          <w14:textFill>
            <w14:solidFill>
              <w14:schemeClr w14:val="tx1"/>
            </w14:solidFill>
          </w14:textFill>
        </w:rPr>
        <w:t>Flavonoids were extracted from tobacco plants following standard protocol with minor modifications.</w:t>
      </w:r>
      <w:r>
        <w:fldChar w:fldCharType="begin"/>
      </w:r>
      <w:r>
        <w:instrText xml:space="preserve"> HYPERLINK \l "_ENREF_20" \o "Qian, 2004 #2881"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&lt;EndNote&gt;&lt;Cite&gt;&lt;Author&gt;Qian&lt;/Author&gt;&lt;Year&gt;2004&lt;/Year&gt;&lt;RecNum&gt;2881&lt;/RecNum&gt;&lt;DisplayText&gt;&lt;style face="superscript"&gt;20&lt;/style&gt;&lt;/DisplayText&gt;&lt;record&gt;&lt;rec-number&gt;2881&lt;/rec-number&gt;&lt;foreign-keys&gt;&lt;key app="EN" db-id="p5tvrefenpt90reepsx50xesffpw09pt9dwv" timestamp="1568642076"&gt;2881&lt;/key&gt;&lt;/foreign-keys&gt;&lt;ref-type name="Journal Article"&gt;17&lt;/ref-type&gt;&lt;contributors&gt;&lt;authors&gt;&lt;author&gt;Qian, Jian Ya&lt;/author&gt;&lt;author&gt;Liu, Dong&lt;/author&gt;&lt;author&gt;Huang, A Gen&lt;/author&gt;&lt;/authors&gt;&lt;/contributors&gt;&lt;titles&gt;&lt;title&gt;The efficiency of flavonoids in polar extracts of Lycium chinense Mill fruits as free radical scavenger&lt;/title&gt;&lt;secondary-title&gt;Food Chemistry&lt;/secondary-title&gt;&lt;/titles&gt;&lt;periodical&gt;&lt;full-title&gt;Food Chemistry&lt;/full-title&gt;&lt;abbr-1&gt;Food Chem.&lt;/abbr-1&gt;&lt;abbr-2&gt;Food Chem&lt;/abbr-2&gt;&lt;/periodical&gt;&lt;pages&gt;283–288&lt;/pages&gt;&lt;volume&gt;87&lt;/volume&gt;&lt;number&gt;2&lt;/number&gt;&lt;dates&gt;&lt;year&gt;2004&lt;/year&gt;&lt;pub-dates&gt;&lt;date&gt;2004/09&lt;/date&gt;&lt;/pub-dates&gt;&lt;/dates&gt;&lt;publisher&gt;Elsevier BV&lt;/publisher&gt;&lt;isbn&gt;0308-8146&lt;/isbn&gt;&lt;urls&gt;&lt;related-urls&gt;&lt;url&gt;https://dx.doi.org/10.1016/j.foodchem.2003.11.008&lt;/url&gt;&lt;/related-urls&gt;&lt;/urls&gt;&lt;electronic-resource-num&gt;10.1016/j.foodchem.2003.11.008&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20</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Freeze-dried tobacco powder (50 mg) and 2 mL water/methanol extract </w:t>
      </w:r>
    </w:p>
    <w:p>
      <w:pPr>
        <w:pStyle w:val="31"/>
        <w:spacing w:line="240" w:lineRule="auto"/>
        <w:jc w:val="center"/>
        <w:rPr>
          <w:color w:val="000000" w:themeColor="text1"/>
          <w:lang w:val="en-US" w:eastAsia="zh-CN"/>
          <w14:textFill>
            <w14:solidFill>
              <w14:schemeClr w14:val="tx1"/>
            </w14:solidFill>
          </w14:textFill>
        </w:rPr>
      </w:pPr>
      <w:r>
        <w:rPr>
          <w:lang w:val="en-US" w:eastAsia="zh-CN"/>
        </w:rPr>
        <w:drawing>
          <wp:inline distT="0" distB="0" distL="0" distR="0">
            <wp:extent cx="3168015" cy="3518535"/>
            <wp:effectExtent l="0" t="0" r="0" b="571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0"/>
                    <a:stretch>
                      <a:fillRect/>
                    </a:stretch>
                  </pic:blipFill>
                  <pic:spPr>
                    <a:xfrm>
                      <a:off x="0" y="0"/>
                      <a:ext cx="3168015" cy="3518550"/>
                    </a:xfrm>
                    <a:prstGeom prst="rect">
                      <a:avLst/>
                    </a:prstGeom>
                  </pic:spPr>
                </pic:pic>
              </a:graphicData>
            </a:graphic>
          </wp:inline>
        </w:drawing>
      </w:r>
    </w:p>
    <w:p>
      <w:pPr>
        <w:pStyle w:val="91"/>
        <w:rPr>
          <w:lang w:val="en-US" w:eastAsia="zh-CN"/>
        </w:rPr>
      </w:pPr>
      <w:r>
        <w:rPr>
          <w:b/>
          <w:lang w:val="en-US" w:eastAsia="zh-CN"/>
        </w:rPr>
        <w:t>Fig</w:t>
      </w:r>
      <w:r>
        <w:rPr>
          <w:rFonts w:hint="eastAsia"/>
          <w:b/>
          <w:lang w:val="en-US" w:eastAsia="zh-CN"/>
        </w:rPr>
        <w:t>.</w:t>
      </w:r>
      <w:r>
        <w:rPr>
          <w:b/>
          <w:lang w:val="en-US" w:eastAsia="zh-CN"/>
        </w:rPr>
        <w:t xml:space="preserve"> 1</w:t>
      </w:r>
      <w:r>
        <w:rPr>
          <w:lang w:val="en-US" w:eastAsia="zh-CN"/>
        </w:rPr>
        <w:t xml:space="preserve"> Schematic map of the tDNA region of</w:t>
      </w:r>
      <w:bookmarkStart w:id="51" w:name="OLE_LINK75"/>
      <w:bookmarkStart w:id="52" w:name="OLE_LINK74"/>
      <w:r>
        <w:rPr>
          <w:lang w:val="en-US" w:eastAsia="zh-CN"/>
        </w:rPr>
        <w:t xml:space="preserve"> pH7WG2D-</w:t>
      </w:r>
      <w:bookmarkStart w:id="53" w:name="OLE_LINK77"/>
      <w:bookmarkStart w:id="54" w:name="OLE_LINK76"/>
      <w:r>
        <w:rPr>
          <w:i/>
          <w:lang w:val="en-US" w:eastAsia="zh-CN"/>
        </w:rPr>
        <w:t>NtCHS</w:t>
      </w:r>
      <w:bookmarkEnd w:id="51"/>
      <w:bookmarkEnd w:id="52"/>
      <w:bookmarkEnd w:id="53"/>
      <w:bookmarkEnd w:id="54"/>
      <w:r>
        <w:rPr>
          <w:lang w:val="en-US" w:eastAsia="zh-CN"/>
        </w:rPr>
        <w:t xml:space="preserve"> and confirmation of successful transformation. (a) schematic representation of ph7wg2d harboring the </w:t>
      </w:r>
      <w:r>
        <w:rPr>
          <w:i/>
          <w:lang w:val="en-US" w:eastAsia="zh-CN"/>
        </w:rPr>
        <w:t>ntchs</w:t>
      </w:r>
      <w:r>
        <w:rPr>
          <w:lang w:val="en-US" w:eastAsia="zh-CN"/>
        </w:rPr>
        <w:t xml:space="preserve"> cdna. (b) pcr using genomic DNA as the template confirms the introduction of </w:t>
      </w:r>
      <w:r>
        <w:rPr>
          <w:i/>
          <w:lang w:val="en-US" w:eastAsia="zh-CN"/>
        </w:rPr>
        <w:t>npt II</w:t>
      </w:r>
      <w:r>
        <w:rPr>
          <w:lang w:val="en-US" w:eastAsia="zh-CN"/>
        </w:rPr>
        <w:t xml:space="preserve"> into the transgenic tobacco line. </w:t>
      </w:r>
      <w:r>
        <w:rPr>
          <w:i/>
          <w:lang w:val="en-US" w:eastAsia="zh-CN"/>
        </w:rPr>
        <w:t>Npt II</w:t>
      </w:r>
      <w:r>
        <w:rPr>
          <w:lang w:val="en-US" w:eastAsia="zh-CN"/>
        </w:rPr>
        <w:t xml:space="preserve"> is absent in the control tobacco lines, C1, C2, and C3.</w:t>
      </w:r>
    </w:p>
    <w:p>
      <w:pPr>
        <w:pStyle w:val="31"/>
        <w:rPr>
          <w:color w:val="000000" w:themeColor="text1"/>
          <w:lang w:val="en-US"/>
          <w14:textFill>
            <w14:solidFill>
              <w14:schemeClr w14:val="tx1"/>
            </w14:solidFill>
          </w14:textFill>
        </w:rPr>
      </w:pPr>
      <w:r>
        <w:rPr>
          <w:color w:val="000000" w:themeColor="text1"/>
          <w:lang w:val="en-US"/>
          <w14:textFill>
            <w14:solidFill>
              <w14:schemeClr w14:val="tx1"/>
            </w14:solidFill>
          </w14:textFill>
        </w:rPr>
        <w:t>solution (4:1</w:t>
      </w:r>
      <w:bookmarkStart w:id="55" w:name="OLE_LINK103"/>
      <w:bookmarkStart w:id="56" w:name="OLE_LINK104"/>
      <w:r>
        <w:rPr>
          <w:color w:val="000000" w:themeColor="text1"/>
          <w:lang w:val="en-US"/>
          <w14:textFill>
            <w14:solidFill>
              <w14:schemeClr w14:val="tx1"/>
            </w14:solidFill>
          </w14:textFill>
        </w:rPr>
        <w:t>) were mixed and</w:t>
      </w:r>
      <w:bookmarkEnd w:id="55"/>
      <w:bookmarkEnd w:id="56"/>
      <w:r>
        <w:rPr>
          <w:color w:val="000000" w:themeColor="text1"/>
          <w:lang w:val="en-US"/>
          <w14:textFill>
            <w14:solidFill>
              <w14:schemeClr w14:val="tx1"/>
            </w14:solidFill>
          </w14:textFill>
        </w:rPr>
        <w:t xml:space="preserve"> sonicated in an ultrasonic bath at 30°C for 20 min. Then, the extracts were centrifuged at 4000 rpm for 20 min, and the supernatants were collected. Seven flavonoids (</w:t>
      </w:r>
      <w:bookmarkStart w:id="57" w:name="OLE_LINK33"/>
      <w:bookmarkStart w:id="58" w:name="OLE_LINK34"/>
      <w:r>
        <w:rPr>
          <w:color w:val="000000" w:themeColor="text1"/>
          <w:lang w:val="en-US"/>
          <w14:textFill>
            <w14:solidFill>
              <w14:schemeClr w14:val="tx1"/>
            </w14:solidFill>
          </w14:textFill>
        </w:rPr>
        <w:t>i.e., rutin, quercetin, kaempferol-3-rutinoside, kaempferol-glucopyranoside, naringin, naringenin, and isoliquiritigenin</w:t>
      </w:r>
      <w:bookmarkEnd w:id="57"/>
      <w:bookmarkEnd w:id="58"/>
      <w:r>
        <w:rPr>
          <w:color w:val="000000" w:themeColor="text1"/>
          <w:lang w:val="en-US"/>
          <w14:textFill>
            <w14:solidFill>
              <w14:schemeClr w14:val="tx1"/>
            </w14:solidFill>
          </w14:textFill>
        </w:rPr>
        <w:t>) were identified and quantified by using a QQQ 6490 high-performance liquid chromatography mass spectrometry (HPLC-MS) system (Agilent, CA, USA) and electrospray ionization operated in positive ion mode (ESI</w:t>
      </w:r>
      <w:r>
        <w:rPr>
          <w:color w:val="000000" w:themeColor="text1"/>
          <w:vertAlign w:val="superscript"/>
          <w:lang w:val="en-US"/>
          <w14:textFill>
            <w14:solidFill>
              <w14:schemeClr w14:val="tx1"/>
            </w14:solidFill>
          </w14:textFill>
        </w:rPr>
        <w:t>+</w:t>
      </w:r>
      <w:r>
        <w:rPr>
          <w:color w:val="000000" w:themeColor="text1"/>
          <w:lang w:val="en-US"/>
          <w14:textFill>
            <w14:solidFill>
              <w14:schemeClr w14:val="tx1"/>
            </w14:solidFill>
          </w14:textFill>
        </w:rPr>
        <w:t>). The flavonoids were separated on a zorbax sb-c18 column (100 × 2.1 mm</w:t>
      </w:r>
      <w:r>
        <w:rPr>
          <w:color w:val="000000" w:themeColor="text1"/>
          <w:vertAlign w:val="superscript"/>
          <w:lang w:val="en-US"/>
          <w14:textFill>
            <w14:solidFill>
              <w14:schemeClr w14:val="tx1"/>
            </w14:solidFill>
          </w14:textFill>
        </w:rPr>
        <w:t>2</w:t>
      </w:r>
      <w:r>
        <w:rPr>
          <w:color w:val="000000" w:themeColor="text1"/>
          <w:lang w:val="en-US"/>
          <w14:textFill>
            <w14:solidFill>
              <w14:schemeClr w14:val="tx1"/>
            </w14:solidFill>
          </w14:textFill>
        </w:rPr>
        <w:t>; particle size, 1.8 m) (Agilent, CA, USA) at 30°C. The mobile phase consisted of water/formic acid (A) (99.9:0.1) and acetonitrile/formic acid (B) (99.9:0.1) at a flow rate of 0.3 mL</w:t>
      </w:r>
      <w:r>
        <w:rPr>
          <w:rFonts w:hint="eastAsia"/>
          <w:color w:val="000000" w:themeColor="text1"/>
          <w:lang w:val="en-US"/>
          <w14:textFill>
            <w14:solidFill>
              <w14:schemeClr w14:val="tx1"/>
            </w14:solidFill>
          </w14:textFill>
        </w:rPr>
        <w:t xml:space="preserve"> </w:t>
      </w:r>
      <w:r>
        <w:rPr>
          <w:color w:val="000000" w:themeColor="text1"/>
          <w:lang w:val="en-US"/>
          <w14:textFill>
            <w14:solidFill>
              <w14:schemeClr w14:val="tx1"/>
            </w14:solidFill>
          </w14:textFill>
        </w:rPr>
        <w:t>min</w:t>
      </w:r>
      <w:r>
        <w:rPr>
          <w:rFonts w:hint="eastAsia" w:ascii="MS Mincho" w:hAnsi="MS Mincho" w:eastAsia="MS Mincho" w:cs="MS Mincho"/>
          <w:color w:val="000000" w:themeColor="text1"/>
          <w:vertAlign w:val="superscript"/>
          <w:lang w:val="en-US"/>
          <w14:textFill>
            <w14:solidFill>
              <w14:schemeClr w14:val="tx1"/>
            </w14:solidFill>
          </w14:textFill>
        </w:rPr>
        <w:t>−</w:t>
      </w:r>
      <w:r>
        <w:rPr>
          <w:rFonts w:hint="eastAsia"/>
          <w:color w:val="000000" w:themeColor="text1"/>
          <w:vertAlign w:val="superscript"/>
          <w:lang w:val="en-US"/>
          <w14:textFill>
            <w14:solidFill>
              <w14:schemeClr w14:val="tx1"/>
            </w14:solidFill>
          </w14:textFill>
        </w:rPr>
        <w:t>1</w:t>
      </w:r>
      <w:r>
        <w:rPr>
          <w:color w:val="000000" w:themeColor="text1"/>
          <w:lang w:val="en-US"/>
          <w14:textFill>
            <w14:solidFill>
              <w14:schemeClr w14:val="tx1"/>
            </w14:solidFill>
          </w14:textFill>
        </w:rPr>
        <w:t>. Optimal separation was achieved with a gradient elution of 95% A and 5% B in the beginning maintained for 2 min, changed to 75% A for 10 min, and 5% A for 12 min. The injection volume was 3</w:t>
      </w:r>
      <w:bookmarkStart w:id="59" w:name="OLE_LINK167"/>
      <w:bookmarkStart w:id="60" w:name="OLE_LINK168"/>
      <w:r>
        <w:rPr>
          <w:color w:val="000000" w:themeColor="text1"/>
          <w:lang w:val="en-US"/>
          <w14:textFill>
            <w14:solidFill>
              <w14:schemeClr w14:val="tx1"/>
            </w14:solidFill>
          </w14:textFill>
        </w:rPr>
        <w:t xml:space="preserve"> μL</w:t>
      </w:r>
      <w:bookmarkEnd w:id="59"/>
      <w:bookmarkEnd w:id="60"/>
      <w:r>
        <w:rPr>
          <w:color w:val="000000" w:themeColor="text1"/>
          <w:lang w:val="en-US"/>
          <w14:textFill>
            <w14:solidFill>
              <w14:schemeClr w14:val="tx1"/>
            </w14:solidFill>
          </w14:textFill>
        </w:rPr>
        <w:t>.</w:t>
      </w:r>
    </w:p>
    <w:p>
      <w:pPr>
        <w:pStyle w:val="31"/>
        <w:ind w:firstLine="194" w:firstLineChars="100"/>
        <w:rPr>
          <w:color w:val="000000" w:themeColor="text1"/>
          <w:lang w:val="en-US"/>
          <w14:textFill>
            <w14:solidFill>
              <w14:schemeClr w14:val="tx1"/>
            </w14:solidFill>
          </w14:textFill>
        </w:rPr>
      </w:pPr>
      <w:bookmarkStart w:id="61" w:name="OLE_LINK7"/>
      <w:bookmarkStart w:id="62" w:name="OLE_LINK8"/>
      <w:r>
        <w:rPr>
          <w:color w:val="000000" w:themeColor="text1"/>
          <w:lang w:val="en-US"/>
          <w14:textFill>
            <w14:solidFill>
              <w14:schemeClr w14:val="tx1"/>
            </w14:solidFill>
          </w14:textFill>
        </w:rPr>
        <w:t>The optimized MS parameters were as follows: drying gas at 350°C; capillary voltage 4.0 kV; drying gas flow rate 11 L</w:t>
      </w:r>
      <w:r>
        <w:rPr>
          <w:rFonts w:hint="eastAsia"/>
          <w:color w:val="000000" w:themeColor="text1"/>
          <w:lang w:val="en-US"/>
          <w14:textFill>
            <w14:solidFill>
              <w14:schemeClr w14:val="tx1"/>
            </w14:solidFill>
          </w14:textFill>
        </w:rPr>
        <w:t xml:space="preserve"> </w:t>
      </w:r>
      <w:r>
        <w:rPr>
          <w:color w:val="000000" w:themeColor="text1"/>
          <w:lang w:val="en-US"/>
          <w14:textFill>
            <w14:solidFill>
              <w14:schemeClr w14:val="tx1"/>
            </w14:solidFill>
          </w14:textFill>
        </w:rPr>
        <w:t>min</w:t>
      </w:r>
      <w:r>
        <w:rPr>
          <w:rFonts w:hint="eastAsia" w:ascii="MS Mincho" w:hAnsi="MS Mincho" w:eastAsia="MS Mincho" w:cs="MS Mincho"/>
          <w:color w:val="000000" w:themeColor="text1"/>
          <w:vertAlign w:val="superscript"/>
          <w:lang w:val="en-US"/>
          <w14:textFill>
            <w14:solidFill>
              <w14:schemeClr w14:val="tx1"/>
            </w14:solidFill>
          </w14:textFill>
        </w:rPr>
        <w:t>−</w:t>
      </w:r>
      <w:r>
        <w:rPr>
          <w:rFonts w:hint="eastAsia"/>
          <w:color w:val="000000" w:themeColor="text1"/>
          <w:vertAlign w:val="superscript"/>
          <w:lang w:val="en-US"/>
          <w14:textFill>
            <w14:solidFill>
              <w14:schemeClr w14:val="tx1"/>
            </w14:solidFill>
          </w14:textFill>
        </w:rPr>
        <w:t>1</w:t>
      </w:r>
      <w:r>
        <w:rPr>
          <w:color w:val="000000" w:themeColor="text1"/>
          <w:lang w:val="en-US"/>
          <w14:textFill>
            <w14:solidFill>
              <w14:schemeClr w14:val="tx1"/>
            </w14:solidFill>
          </w14:textFill>
        </w:rPr>
        <w:t>; nebulizer pressure 45 psi. The reaction-monitoring mode with ESI</w:t>
      </w:r>
      <w:r>
        <w:rPr>
          <w:color w:val="000000" w:themeColor="text1"/>
          <w:vertAlign w:val="superscript"/>
          <w:lang w:val="en-US"/>
          <w14:textFill>
            <w14:solidFill>
              <w14:schemeClr w14:val="tx1"/>
            </w14:solidFill>
          </w14:textFill>
        </w:rPr>
        <w:t>+</w:t>
      </w:r>
      <w:r>
        <w:rPr>
          <w:color w:val="000000" w:themeColor="text1"/>
          <w:lang w:val="en-US"/>
          <w14:textFill>
            <w14:solidFill>
              <w14:schemeClr w14:val="tx1"/>
            </w14:solidFill>
          </w14:textFill>
        </w:rPr>
        <w:t xml:space="preserve"> was m/z 449.1→287.0 for kaempferol-glucopyranoside, m/z 581.2→273.1 for naringin, m/z 273.1→153.1 for naringenin, m/z 257.1→137.1 for isoliquiritigenin, and m/z 433.1→313.1 for the internal standard, vitexin. Flavonoids were quantified by referring to the standard curves of the seven flavonoids and vitexin dissolved in methanol/water (4:1). Instrument control, data acquisition, and evaluations were completed with MassHunter Agilent 2003–2007 Data Acquisition for Triple Quad B.01.04 (B84).</w:t>
      </w:r>
    </w:p>
    <w:p>
      <w:pPr>
        <w:pStyle w:val="84"/>
        <w:rPr>
          <w:color w:val="000000" w:themeColor="text1"/>
          <w:w w:val="108"/>
          <w:lang w:val="en-US"/>
          <w14:textFill>
            <w14:solidFill>
              <w14:schemeClr w14:val="tx1"/>
            </w14:solidFill>
          </w14:textFill>
        </w:rPr>
      </w:pPr>
      <w:r>
        <w:rPr>
          <w:color w:val="000000" w:themeColor="text1"/>
          <w:w w:val="108"/>
          <w:lang w:val="en-US"/>
          <w14:textFill>
            <w14:solidFill>
              <w14:schemeClr w14:val="tx1"/>
            </w14:solidFill>
          </w14:textFill>
        </w:rPr>
        <w:t>2.6</w:t>
      </w:r>
      <w:r>
        <w:rPr>
          <w:rFonts w:hint="eastAsia"/>
          <w:color w:val="000000" w:themeColor="text1"/>
          <w:w w:val="108"/>
          <w:lang w:val="en-US"/>
          <w14:textFill>
            <w14:solidFill>
              <w14:schemeClr w14:val="tx1"/>
            </w14:solidFill>
          </w14:textFill>
        </w:rPr>
        <w:t>.</w:t>
      </w:r>
      <w:r>
        <w:rPr>
          <w:color w:val="000000" w:themeColor="text1"/>
          <w:w w:val="108"/>
          <w:lang w:val="en-US"/>
          <w14:textFill>
            <w14:solidFill>
              <w14:schemeClr w14:val="tx1"/>
            </w14:solidFill>
          </w14:textFill>
        </w:rPr>
        <w:t xml:space="preserve"> Mining of CHS family genes and bioinformatics analyses</w:t>
      </w:r>
    </w:p>
    <w:p>
      <w:pPr>
        <w:pStyle w:val="31"/>
        <w:rPr>
          <w:color w:val="000000" w:themeColor="text1"/>
          <w:lang w:val="en-US"/>
          <w14:textFill>
            <w14:solidFill>
              <w14:schemeClr w14:val="tx1"/>
            </w14:solidFill>
          </w14:textFill>
        </w:rPr>
      </w:pPr>
      <w:r>
        <w:rPr>
          <w:color w:val="000000" w:themeColor="text1"/>
          <w:lang w:val="en-US"/>
          <w14:textFill>
            <w14:solidFill>
              <w14:schemeClr w14:val="tx1"/>
            </w14:solidFill>
          </w14:textFill>
        </w:rPr>
        <w:t>CDS and peptide sequence datasets were downloaded for Arabidopsis, tomato, coffee, tobacco (N. tabacum), and N. attenuata. Datasets were preprocessed to clean sequences and accession lines.</w:t>
      </w:r>
      <w:r>
        <w:fldChar w:fldCharType="begin"/>
      </w:r>
      <w:r>
        <w:instrText xml:space="preserve"> HYPERLINK \l "_ENREF_21" \o "Sierro, 2014 #2882" </w:instrText>
      </w:r>
      <w:r>
        <w:fldChar w:fldCharType="separate"/>
      </w:r>
      <w:r>
        <w:rPr>
          <w:rStyle w:val="20"/>
          <w:color w:val="000000" w:themeColor="text1"/>
          <w:u w:val="none"/>
          <w:lang w:val="en-US"/>
          <w14:textFill>
            <w14:solidFill>
              <w14:schemeClr w14:val="tx1"/>
            </w14:solidFill>
          </w14:textFill>
        </w:rPr>
        <w:fldChar w:fldCharType="begin">
          <w:fldData xml:space="preserve">PEVuZE5vdGU+PENpdGU+PEF1dGhvcj5TaWVycm88L0F1dGhvcj48WWVhcj4yMDE0PC9ZZWFyPjxS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</w:fldData>
        </w:fldChar>
      </w:r>
      <w:r>
        <w:rPr>
          <w:rStyle w:val="20"/>
          <w:color w:val="000000" w:themeColor="text1"/>
          <w:u w:val="none"/>
          <w:lang w:val="en-US"/>
          <w14:textFill>
            <w14:solidFill>
              <w14:schemeClr w14:val="tx1"/>
            </w14:solidFill>
          </w14:textFill>
        </w:rPr>
        <w:instrText xml:space="preserve"> ADDIN EN.CITE </w:instrText>
      </w:r>
      <w:r>
        <w:rPr>
          <w:rStyle w:val="20"/>
          <w:color w:val="000000" w:themeColor="text1"/>
          <w:u w:val="none"/>
          <w:lang w:val="en-US"/>
          <w14:textFill>
            <w14:solidFill>
              <w14:schemeClr w14:val="tx1"/>
            </w14:solidFill>
          </w14:textFill>
        </w:rPr>
        <w:fldChar w:fldCharType="begin">
          <w:fldData xml:space="preserve">PEVuZE5vdGU+PENpdGU+PEF1dGhvcj5TaWVycm88L0F1dGhvcj48WWVhcj4yMDE0PC9ZZWFyPjxS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</w:fldData>
        </w:fldChar>
      </w:r>
      <w:r>
        <w:rPr>
          <w:rStyle w:val="20"/>
          <w:color w:val="000000" w:themeColor="text1"/>
          <w:u w:val="none"/>
          <w:lang w:val="en-US"/>
          <w14:textFill>
            <w14:solidFill>
              <w14:schemeClr w14:val="tx1"/>
            </w14:solidFill>
          </w14:textFill>
        </w:rPr>
        <w:instrText xml:space="preserve"> ADDIN EN.CITE.DATA </w:instrText>
      </w:r>
      <w:r>
        <w:rPr>
          <w:rStyle w:val="20"/>
          <w:color w:val="000000" w:themeColor="text1"/>
          <w:u w:val="none"/>
          <w14:textFill>
            <w14:solidFill>
              <w14:schemeClr w14:val="tx1"/>
            </w14:solidFill>
          </w14:textFill>
        </w:rPr>
        <w:fldChar w:fldCharType="end"/>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21-25</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The cloned Arabidopsis and tobacco CHS genes were used for retrieving peptides with the same conserved domains using HMMER against a library of Pfam-A families with default parameters.</w:t>
      </w:r>
      <w:r>
        <w:fldChar w:fldCharType="begin"/>
      </w:r>
      <w:r>
        <w:instrText xml:space="preserve"> HYPERLINK \l "_ENREF_26" \o "Bateman, 2004 #2887"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&lt;EndNote&gt;&lt;Cite&gt;&lt;Author&gt;Bateman&lt;/Author&gt;&lt;Year&gt;2004&lt;/Year&gt;&lt;RecNum&gt;2887&lt;/RecNum&gt;&lt;DisplayText&gt;&lt;style face="superscript"&gt;26&lt;/style&gt;&lt;/DisplayText&gt;&lt;record&gt;&lt;rec-number&gt;2887&lt;/rec-number&gt;&lt;foreign-keys&gt;&lt;key app="EN" db-id="p5tvrefenpt90reepsx50xesffpw09pt9dwv" timestamp="1568642076"&gt;2887&lt;/key&gt;&lt;/foreign-keys&gt;&lt;ref-type name="Journal Article"&gt;17&lt;/ref-type&gt;&lt;contributors&gt;&lt;authors&gt;&lt;author&gt;Bateman, Alex&lt;/author&gt;&lt;author&gt;Coin, Lachlan&lt;/author&gt;&lt;author&gt;Durbin, Richard&lt;/author&gt;&lt;author&gt;Finn, Robert D.&lt;/author&gt;&lt;author&gt;Hollich, Volker&lt;/author&gt;&lt;author&gt;Griffiths-Jones, Sam&lt;/author&gt;&lt;author&gt;Khanna, Ajay&lt;/author&gt;&lt;author&gt;Marshall, Mhairi&lt;/author&gt;&lt;author&gt;Moxon, Simon&lt;/author&gt;&lt;author&gt;Sonnhammer, Erik L. L.&lt;/author&gt;&lt;author&gt;Studholme, David J.&lt;/author&gt;&lt;author&gt;Yeats, Corin&lt;/author&gt;&lt;author&gt;Eddy, Sean R.&lt;/author&gt;&lt;/authors&gt;&lt;/contributors&gt;&lt;titles&gt;&lt;title&gt;The Pfam protein families database&lt;/title&gt;&lt;secondary-title&gt;Nucleic Acids Research&lt;/secondary-title&gt;&lt;/titles&gt;&lt;periodical&gt;&lt;full-title&gt;Nucleic Acids Research&lt;/full-title&gt;&lt;abbr-1&gt;Nucleic Acids Res.&lt;/abbr-1&gt;&lt;abbr-2&gt;Nucleic Acids Res&lt;/abbr-2&gt;&lt;/periodical&gt;&lt;pages&gt;D138–D141&lt;/pages&gt;&lt;volume&gt;32&lt;/volume&gt;&lt;number&gt;S1&lt;/number&gt;&lt;dates&gt;&lt;year&gt;2004&lt;/year&gt;&lt;pub-dates&gt;&lt;date&gt;2004/01/01&lt;/date&gt;&lt;/pub-dates&gt;&lt;/dates&gt;&lt;publisher&gt;Oxford University Press (OUP)&lt;/publisher&gt;&lt;isbn&gt;1362-4962&lt;/isbn&gt;&lt;urls&gt;&lt;related-urls&gt;&lt;url&gt;https://dx.doi.org/10.1093/nar/gkh121&lt;/url&gt;&lt;/related-urls&gt;&lt;/urls&gt;&lt;electronic-resource-num&gt;10.1093/nar/gkh121&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26</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CDS sequences were retrieved from CDS datasets based on the locus IDs of peptide sequences. Peptide sequences were aligned using Probcons v1.12.</w:t>
      </w:r>
      <w:r>
        <w:fldChar w:fldCharType="begin"/>
      </w:r>
      <w:r>
        <w:instrText xml:space="preserve"> HYPERLINK \l "_ENREF_27" \o "Do, 2005 #2888"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&lt;EndNote&gt;&lt;Cite&gt;&lt;Author&gt;Do&lt;/Author&gt;&lt;Year&gt;2005&lt;/Year&gt;&lt;RecNum&gt;2888&lt;/RecNum&gt;&lt;DisplayText&gt;&lt;style face="superscript"&gt;27&lt;/style&gt;&lt;/DisplayText&gt;&lt;record&gt;&lt;rec-number&gt;2888&lt;/rec-number&gt;&lt;foreign-keys&gt;&lt;key app="EN" db-id="p5tvrefenpt90reepsx50xesffpw09pt9dwv" timestamp="1568642076"&gt;2888&lt;/key&gt;&lt;/foreign-keys&gt;&lt;ref-type name="Journal Article"&gt;17&lt;/ref-type&gt;&lt;contributors&gt;&lt;authors&gt;&lt;author&gt;Do, Chuong B.&lt;/author&gt;&lt;author&gt;Mahabhashyam, Mahathi S. P.&lt;/author&gt;&lt;author&gt;Brudno, Michael&lt;/author&gt;&lt;author&gt;Batzoglou, Serafim&lt;/author&gt;&lt;/authors&gt;&lt;/contributors&gt;&lt;titles&gt;&lt;title&gt;ProbCons: probabilistic consistency-based multiple sequence alignment&lt;/title&gt;&lt;secondary-title&gt;Genome Research&lt;/secondary-title&gt;&lt;/titles&gt;&lt;periodical&gt;&lt;full-title&gt;Genome Research&lt;/full-title&gt;&lt;abbr-1&gt;Genome Res.&lt;/abbr-1&gt;&lt;abbr-2&gt;Genome Res&lt;/abbr-2&gt;&lt;/periodical&gt;&lt;pages&gt;330–340&lt;/pages&gt;&lt;volume&gt;15&lt;/volume&gt;&lt;number&gt;2&lt;/number&gt;&lt;dates&gt;&lt;year&gt;2005&lt;/year&gt;&lt;pub-dates&gt;&lt;date&gt;2005/01/14&lt;/date&gt;&lt;/pub-dates&gt;&lt;/dates&gt;&lt;publisher&gt;Cold Spring Harbor Laboratory&lt;/publisher&gt;&lt;isbn&gt;1088-9051&lt;/isbn&gt;&lt;urls&gt;&lt;related-urls&gt;&lt;url&gt;https://dx.doi.org/10.1101/gr.2821705&lt;/url&gt;&lt;/related-urls&gt;&lt;/urls&gt;&lt;electronic-resource-num&gt;10.1101/gr.2821705&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27</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If required, the file formats of aligned sequences were converted to phy. Maximum-likelihood phylogenetic trees were reconstructed using PhyML using a bootstrap method with 1,000 replicates.</w:t>
      </w:r>
      <w:r>
        <w:fldChar w:fldCharType="begin"/>
      </w:r>
      <w:r>
        <w:instrText xml:space="preserve"> HYPERLINK \l "_ENREF_28" \o "Guindon, 2009 #2889"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&lt;EndNote&gt;&lt;Cite&gt;&lt;Author&gt;Guindon&lt;/Author&gt;&lt;Year&gt;2009&lt;/Year&gt;&lt;RecNum&gt;2889&lt;/RecNum&gt;&lt;DisplayText&gt;&lt;style face="superscript"&gt;28&lt;/style&gt;&lt;/DisplayText&gt;&lt;record&gt;&lt;rec-number&gt;2889&lt;/rec-number&gt;&lt;foreign-keys&gt;&lt;key app="EN" db-id="p5tvrefenpt90reepsx50xesffpw09pt9dwv" timestamp="1568642076"&gt;2889&lt;/key&gt;&lt;/foreign-keys&gt;&lt;ref-type name="Book Section"&gt;5&lt;/ref-type&gt;&lt;contributors&gt;&lt;authors&gt;&lt;author&gt;Guindon, Stéphane&lt;/author&gt;&lt;author&gt;Delsuc, Frédéric&lt;/author&gt;&lt;author&gt;Dufayard, Jean François&lt;/author&gt;&lt;author&gt;Gascuel, Olivier&lt;/author&gt;&lt;/authors&gt;&lt;secondary-authors&gt;&lt;author&gt;Posada, David&lt;/author&gt;&lt;/secondary-authors&gt;&lt;/contributors&gt;&lt;titles&gt;&lt;title&gt;Estimating maximum likelihood phylogenies with PhyML&lt;/title&gt;&lt;secondary-title&gt;Bioinformatics for DNA Sequence Analysis&lt;/secondary-title&gt;&lt;/titles&gt;&lt;pages&gt;113–137&lt;/pages&gt;&lt;dates&gt;&lt;year&gt;2009&lt;/year&gt;&lt;/dates&gt;&lt;pub-location&gt;Totowa, NJ&lt;/pub-location&gt;&lt;publisher&gt;Humana Press&lt;/publisher&gt;&lt;isbn&gt;1064-3745&amp;#xD;1940-6029&amp;#xD;9781588299109&amp;#xD;9781597452519&lt;/isbn&gt;&lt;urls&gt;&lt;related-urls&gt;&lt;url&gt;https://dx.doi.org/10.1007/978-1-59745-251-9_6&lt;/url&gt;&lt;/related-urls&gt;&lt;/urls&gt;&lt;electronic-resource-num&gt;10.1007/978-1-59745-251-9_6&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28</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Unless otherwise indicated, default parameters of phylogeny inference were used. Phylogenetic trees were visualized with FigTree v1.3.1.</w:t>
      </w:r>
    </w:p>
    <w:p>
      <w:pPr>
        <w:pStyle w:val="30"/>
        <w:rPr>
          <w:color w:val="000000" w:themeColor="text1"/>
          <w:w w:val="108"/>
          <w:lang w:val="en-US"/>
          <w14:textFill>
            <w14:solidFill>
              <w14:schemeClr w14:val="tx1"/>
            </w14:solidFill>
          </w14:textFill>
        </w:rPr>
      </w:pPr>
      <w:r>
        <w:rPr>
          <w:color w:val="000000" w:themeColor="text1"/>
          <w:w w:val="108"/>
          <w:lang w:val="en-US"/>
          <w14:textFill>
            <w14:solidFill>
              <w14:schemeClr w14:val="tx1"/>
            </w14:solidFill>
          </w14:textFill>
        </w:rPr>
        <w:t>3. Results</w:t>
      </w:r>
    </w:p>
    <w:bookmarkEnd w:id="61"/>
    <w:bookmarkEnd w:id="62"/>
    <w:p>
      <w:pPr>
        <w:pStyle w:val="84"/>
        <w:rPr>
          <w:color w:val="000000" w:themeColor="text1"/>
          <w:w w:val="108"/>
          <w:lang w:val="en-US"/>
          <w14:textFill>
            <w14:solidFill>
              <w14:schemeClr w14:val="tx1"/>
            </w14:solidFill>
          </w14:textFill>
        </w:rPr>
      </w:pPr>
      <w:r>
        <w:rPr>
          <w:color w:val="000000" w:themeColor="text1"/>
          <w:w w:val="108"/>
          <w:lang w:val="en-US"/>
          <w14:textFill>
            <w14:solidFill>
              <w14:schemeClr w14:val="tx1"/>
            </w14:solidFill>
          </w14:textFill>
        </w:rPr>
        <w:t>3.1</w:t>
      </w:r>
      <w:r>
        <w:rPr>
          <w:rFonts w:hint="eastAsia"/>
          <w:color w:val="000000" w:themeColor="text1"/>
          <w:w w:val="108"/>
          <w:lang w:val="en-US"/>
          <w14:textFill>
            <w14:solidFill>
              <w14:schemeClr w14:val="tx1"/>
            </w14:solidFill>
          </w14:textFill>
        </w:rPr>
        <w:t>.</w:t>
      </w:r>
      <w:r>
        <w:rPr>
          <w:color w:val="000000" w:themeColor="text1"/>
          <w:w w:val="108"/>
          <w:lang w:val="en-US"/>
          <w14:textFill>
            <w14:solidFill>
              <w14:schemeClr w14:val="tx1"/>
            </w14:solidFill>
          </w14:textFill>
        </w:rPr>
        <w:t xml:space="preserve"> Generation of </w:t>
      </w:r>
      <w:r>
        <w:rPr>
          <w:i/>
          <w:color w:val="000000" w:themeColor="text1"/>
          <w:w w:val="108"/>
          <w:lang w:val="en-US"/>
          <w14:textFill>
            <w14:solidFill>
              <w14:schemeClr w14:val="tx1"/>
            </w14:solidFill>
          </w14:textFill>
        </w:rPr>
        <w:t>NtCHS</w:t>
      </w:r>
      <w:r>
        <w:rPr>
          <w:color w:val="000000" w:themeColor="text1"/>
          <w:w w:val="108"/>
          <w:lang w:val="en-US"/>
          <w14:textFill>
            <w14:solidFill>
              <w14:schemeClr w14:val="tx1"/>
            </w14:solidFill>
          </w14:textFill>
        </w:rPr>
        <w:t xml:space="preserve"> overexpressing tobacco plants</w:t>
      </w:r>
    </w:p>
    <w:p>
      <w:pPr>
        <w:pStyle w:val="31"/>
        <w:rPr>
          <w:color w:val="000000" w:themeColor="text1"/>
          <w:lang w:val="en-US"/>
          <w14:textFill>
            <w14:solidFill>
              <w14:schemeClr w14:val="tx1"/>
            </w14:solidFill>
          </w14:textFill>
        </w:rPr>
      </w:pPr>
      <w:r>
        <w:rPr>
          <w:color w:val="000000" w:themeColor="text1"/>
          <w:lang w:val="en-US"/>
          <w14:textFill>
            <w14:solidFill>
              <w14:schemeClr w14:val="tx1"/>
            </w14:solidFill>
          </w14:textFill>
        </w:rPr>
        <w:t>An overexpression construct,</w:t>
      </w:r>
      <w:bookmarkStart w:id="63" w:name="OLE_LINK128"/>
      <w:r>
        <w:rPr>
          <w:color w:val="000000" w:themeColor="text1"/>
          <w:lang w:val="en-US"/>
          <w14:textFill>
            <w14:solidFill>
              <w14:schemeClr w14:val="tx1"/>
            </w14:solidFill>
          </w14:textFill>
        </w:rPr>
        <w:t xml:space="preserve"> pH7WG2D-</w:t>
      </w:r>
      <w:bookmarkEnd w:id="63"/>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 xml:space="preserve">, with </w:t>
      </w: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 xml:space="preserve"> cDNA (AF311783.1) under the control of the CaMV35S promoter was transformed into </w:t>
      </w:r>
      <w:r>
        <w:rPr>
          <w:i/>
          <w:color w:val="000000" w:themeColor="text1"/>
          <w:lang w:val="en-US"/>
          <w14:textFill>
            <w14:solidFill>
              <w14:schemeClr w14:val="tx1"/>
            </w14:solidFill>
          </w14:textFill>
        </w:rPr>
        <w:t>N. tabacum</w:t>
      </w:r>
      <w:r>
        <w:rPr>
          <w:color w:val="000000" w:themeColor="text1"/>
          <w:lang w:val="en-US"/>
          <w14:textFill>
            <w14:solidFill>
              <w14:schemeClr w14:val="tx1"/>
            </w14:solidFill>
          </w14:textFill>
        </w:rPr>
        <w:t xml:space="preserve"> K326 (Fig. 1a). Three independent putative positive lines were selected on the MS medium with kanamycin. Positive lines were further confirmed with genomic PCR using the primer pair, </w:t>
      </w:r>
      <w:r>
        <w:rPr>
          <w:i/>
          <w:color w:val="000000" w:themeColor="text1"/>
          <w:lang w:val="en-US"/>
          <w14:textFill>
            <w14:solidFill>
              <w14:schemeClr w14:val="tx1"/>
            </w14:solidFill>
          </w14:textFill>
        </w:rPr>
        <w:t>npt II</w:t>
      </w:r>
      <w:r>
        <w:rPr>
          <w:color w:val="000000" w:themeColor="text1"/>
          <w:lang w:val="en-US"/>
          <w14:textFill>
            <w14:solidFill>
              <w14:schemeClr w14:val="tx1"/>
            </w14:solidFill>
          </w14:textFill>
        </w:rPr>
        <w:t xml:space="preserve">-F and </w:t>
      </w:r>
      <w:r>
        <w:rPr>
          <w:i/>
          <w:color w:val="000000" w:themeColor="text1"/>
          <w:lang w:val="en-US"/>
          <w14:textFill>
            <w14:solidFill>
              <w14:schemeClr w14:val="tx1"/>
            </w14:solidFill>
          </w14:textFill>
        </w:rPr>
        <w:t>npt II</w:t>
      </w:r>
      <w:r>
        <w:rPr>
          <w:color w:val="000000" w:themeColor="text1"/>
          <w:lang w:val="en-US"/>
          <w14:textFill>
            <w14:solidFill>
              <w14:schemeClr w14:val="tx1"/>
            </w14:solidFill>
          </w14:textFill>
        </w:rPr>
        <w:t xml:space="preserve">-R. The PCR results revealed that the </w:t>
      </w:r>
      <w:r>
        <w:rPr>
          <w:i/>
          <w:color w:val="000000" w:themeColor="text1"/>
          <w:lang w:val="en-US"/>
          <w14:textFill>
            <w14:solidFill>
              <w14:schemeClr w14:val="tx1"/>
            </w14:solidFill>
          </w14:textFill>
        </w:rPr>
        <w:t>npt II</w:t>
      </w:r>
      <w:r>
        <w:rPr>
          <w:color w:val="000000" w:themeColor="text1"/>
          <w:lang w:val="en-US"/>
          <w14:textFill>
            <w14:solidFill>
              <w14:schemeClr w14:val="tx1"/>
            </w14:solidFill>
          </w14:textFill>
        </w:rPr>
        <w:t xml:space="preserve"> gene was expressed in the three selected transgenic lines (i.e., F1, F2, and F3), but not in the control plants (i.e., C1, C2, and C3) (Fig. 1b). Since the empty vector, pH7WG2D, contained a suicide gene, </w:t>
      </w:r>
      <w:r>
        <w:rPr>
          <w:i/>
          <w:color w:val="000000" w:themeColor="text1"/>
          <w:lang w:val="en-US"/>
          <w14:textFill>
            <w14:solidFill>
              <w14:schemeClr w14:val="tx1"/>
            </w14:solidFill>
          </w14:textFill>
        </w:rPr>
        <w:t>ccdB</w:t>
      </w:r>
      <w:r>
        <w:rPr>
          <w:color w:val="000000" w:themeColor="text1"/>
          <w:lang w:val="en-US"/>
          <w14:textFill>
            <w14:solidFill>
              <w14:schemeClr w14:val="tx1"/>
            </w14:solidFill>
          </w14:textFill>
        </w:rPr>
        <w:t>, between the attR1 and attR2 sites, the plasmid pH7WG2D-</w:t>
      </w: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 xml:space="preserve"> was successfully transferred into tobacco plants. Transgenic lines were further selected by kanamycin resistance for subsequent analyses.</w:t>
      </w:r>
    </w:p>
    <w:p>
      <w:pPr>
        <w:pStyle w:val="84"/>
        <w:rPr>
          <w:color w:val="000000" w:themeColor="text1"/>
          <w:w w:val="108"/>
          <w:lang w:val="en-US"/>
          <w14:textFill>
            <w14:solidFill>
              <w14:schemeClr w14:val="tx1"/>
            </w14:solidFill>
          </w14:textFill>
        </w:rPr>
      </w:pPr>
      <w:r>
        <w:rPr>
          <w:color w:val="000000" w:themeColor="text1"/>
          <w:w w:val="108"/>
          <w:lang w:val="en-US"/>
          <w14:textFill>
            <w14:solidFill>
              <w14:schemeClr w14:val="tx1"/>
            </w14:solidFill>
          </w14:textFill>
        </w:rPr>
        <w:t>3.2</w:t>
      </w:r>
      <w:r>
        <w:rPr>
          <w:rFonts w:hint="eastAsia"/>
          <w:color w:val="000000" w:themeColor="text1"/>
          <w:w w:val="108"/>
          <w:lang w:val="en-US"/>
          <w14:textFill>
            <w14:solidFill>
              <w14:schemeClr w14:val="tx1"/>
            </w14:solidFill>
          </w14:textFill>
        </w:rPr>
        <w:t>.</w:t>
      </w:r>
      <w:r>
        <w:rPr>
          <w:color w:val="000000" w:themeColor="text1"/>
          <w:w w:val="108"/>
          <w:lang w:val="en-US"/>
          <w14:textFill>
            <w14:solidFill>
              <w14:schemeClr w14:val="tx1"/>
            </w14:solidFill>
          </w14:textFill>
        </w:rPr>
        <w:t xml:space="preserve"> Expression patterns of</w:t>
      </w:r>
      <w:bookmarkStart w:id="64" w:name="OLE_LINK27"/>
      <w:bookmarkStart w:id="65" w:name="OLE_LINK30"/>
      <w:r>
        <w:rPr>
          <w:color w:val="000000" w:themeColor="text1"/>
          <w:w w:val="108"/>
          <w:lang w:val="en-US"/>
          <w14:textFill>
            <w14:solidFill>
              <w14:schemeClr w14:val="tx1"/>
            </w14:solidFill>
          </w14:textFill>
        </w:rPr>
        <w:t xml:space="preserve"> flavonoid</w:t>
      </w:r>
      <w:bookmarkEnd w:id="64"/>
      <w:bookmarkEnd w:id="65"/>
      <w:r>
        <w:rPr>
          <w:color w:val="000000" w:themeColor="text1"/>
          <w:w w:val="108"/>
          <w:lang w:val="en-US"/>
          <w14:textFill>
            <w14:solidFill>
              <w14:schemeClr w14:val="tx1"/>
            </w14:solidFill>
          </w14:textFill>
        </w:rPr>
        <w:t xml:space="preserve"> genes in transgenic tobacco</w:t>
      </w:r>
    </w:p>
    <w:p>
      <w:pPr>
        <w:pStyle w:val="31"/>
        <w:rPr>
          <w:color w:val="000000" w:themeColor="text1"/>
          <w:lang w:val="en-US"/>
          <w14:textFill>
            <w14:solidFill>
              <w14:schemeClr w14:val="tx1"/>
            </w14:solidFill>
          </w14:textFill>
        </w:rPr>
      </w:pPr>
      <w:r>
        <w:rPr>
          <w:color w:val="000000" w:themeColor="text1"/>
          <w:lang w:val="en-US"/>
          <w14:textFill>
            <w14:solidFill>
              <w14:schemeClr w14:val="tx1"/>
            </w14:solidFill>
          </w14:textFill>
        </w:rPr>
        <w:t xml:space="preserve">In order to investigate the expression patterns of the flavonoid genes, leaves at the </w:t>
      </w:r>
      <w:r>
        <w:rPr>
          <w:bCs/>
          <w:color w:val="000000" w:themeColor="text1"/>
          <w:lang w:val="en-US"/>
          <w14:textFill>
            <w14:solidFill>
              <w14:schemeClr w14:val="tx1"/>
            </w14:solidFill>
          </w14:textFill>
        </w:rPr>
        <w:t>vigorous growing stage</w:t>
      </w:r>
      <w:r>
        <w:rPr>
          <w:color w:val="000000" w:themeColor="text1"/>
          <w:lang w:val="en-US"/>
          <w14:textFill>
            <w14:solidFill>
              <w14:schemeClr w14:val="tx1"/>
            </w14:solidFill>
          </w14:textFill>
        </w:rPr>
        <w:t xml:space="preserve"> were harvested from transgenic and control plants</w:t>
      </w:r>
      <w:r>
        <w:rPr>
          <w:bCs/>
          <w:color w:val="000000" w:themeColor="text1"/>
          <w:lang w:val="en-US"/>
          <w14:textFill>
            <w14:solidFill>
              <w14:schemeClr w14:val="tx1"/>
            </w14:solidFill>
          </w14:textFill>
        </w:rPr>
        <w:t xml:space="preserve">. The </w:t>
      </w:r>
      <w:r>
        <w:rPr>
          <w:color w:val="000000" w:themeColor="text1"/>
          <w:lang w:val="en-US"/>
          <w14:textFill>
            <w14:solidFill>
              <w14:schemeClr w14:val="tx1"/>
            </w14:solidFill>
          </w14:textFill>
        </w:rPr>
        <w:t xml:space="preserve">three transgenic tobacco lines exhibited significantly higher </w:t>
      </w: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 xml:space="preserve"> transcription levels compared to the control plants (</w:t>
      </w:r>
      <w:r>
        <w:rPr>
          <w:i/>
          <w:color w:val="000000" w:themeColor="text1"/>
          <w:lang w:val="en-US"/>
          <w14:textFill>
            <w14:solidFill>
              <w14:schemeClr w14:val="tx1"/>
            </w14:solidFill>
          </w14:textFill>
        </w:rPr>
        <w:t>p</w:t>
      </w:r>
      <w:r>
        <w:rPr>
          <w:color w:val="000000" w:themeColor="text1"/>
          <w:lang w:val="en-US"/>
          <w14:textFill>
            <w14:solidFill>
              <w14:schemeClr w14:val="tx1"/>
            </w14:solidFill>
          </w14:textFill>
        </w:rPr>
        <w:t xml:space="preserve"> &lt; 0.01). Therefore, they were selected for subsequent experimentation (Fig. 2a). Moreover, the expression levels of the</w:t>
      </w:r>
      <w:r>
        <w:rPr>
          <w:i/>
          <w:color w:val="000000" w:themeColor="text1"/>
          <w:lang w:val="en-US"/>
          <w14:textFill>
            <w14:solidFill>
              <w14:schemeClr w14:val="tx1"/>
            </w14:solidFill>
          </w14:textFill>
        </w:rPr>
        <w:t xml:space="preserve"> CHI</w:t>
      </w:r>
      <w:r>
        <w:rPr>
          <w:color w:val="000000" w:themeColor="text1"/>
          <w:lang w:val="en-US"/>
          <w14:textFill>
            <w14:solidFill>
              <w14:schemeClr w14:val="tx1"/>
            </w14:solidFill>
          </w14:textFill>
        </w:rPr>
        <w:t>,</w:t>
      </w:r>
      <w:r>
        <w:rPr>
          <w:i/>
          <w:color w:val="000000" w:themeColor="text1"/>
          <w:lang w:val="en-US"/>
          <w14:textFill>
            <w14:solidFill>
              <w14:schemeClr w14:val="tx1"/>
            </w14:solidFill>
          </w14:textFill>
        </w:rPr>
        <w:t xml:space="preserve"> F3H</w:t>
      </w:r>
      <w:r>
        <w:rPr>
          <w:color w:val="000000" w:themeColor="text1"/>
          <w:lang w:val="en-US"/>
          <w14:textFill>
            <w14:solidFill>
              <w14:schemeClr w14:val="tx1"/>
            </w14:solidFill>
          </w14:textFill>
        </w:rPr>
        <w:t>,</w:t>
      </w:r>
      <w:r>
        <w:rPr>
          <w:i/>
          <w:color w:val="000000" w:themeColor="text1"/>
          <w:lang w:val="en-US"/>
          <w14:textFill>
            <w14:solidFill>
              <w14:schemeClr w14:val="tx1"/>
            </w14:solidFill>
          </w14:textFill>
        </w:rPr>
        <w:t xml:space="preserve"> F3'H</w:t>
      </w:r>
      <w:r>
        <w:rPr>
          <w:color w:val="000000" w:themeColor="text1"/>
          <w:lang w:val="en-US"/>
          <w14:textFill>
            <w14:solidFill>
              <w14:schemeClr w14:val="tx1"/>
            </w14:solidFill>
          </w14:textFill>
        </w:rPr>
        <w:t>,</w:t>
      </w:r>
      <w:r>
        <w:rPr>
          <w:i/>
          <w:color w:val="000000" w:themeColor="text1"/>
          <w:lang w:val="en-US"/>
          <w14:textFill>
            <w14:solidFill>
              <w14:schemeClr w14:val="tx1"/>
            </w14:solidFill>
          </w14:textFill>
        </w:rPr>
        <w:t xml:space="preserve"> FLS</w:t>
      </w:r>
      <w:r>
        <w:rPr>
          <w:color w:val="000000" w:themeColor="text1"/>
          <w:lang w:val="en-US"/>
          <w14:textFill>
            <w14:solidFill>
              <w14:schemeClr w14:val="tx1"/>
            </w14:solidFill>
          </w14:textFill>
        </w:rPr>
        <w:t>,</w:t>
      </w:r>
      <w:r>
        <w:rPr>
          <w:i/>
          <w:color w:val="000000" w:themeColor="text1"/>
          <w:lang w:val="en-US"/>
          <w14:textFill>
            <w14:solidFill>
              <w14:schemeClr w14:val="tx1"/>
            </w14:solidFill>
          </w14:textFill>
        </w:rPr>
        <w:t xml:space="preserve"> </w:t>
      </w:r>
      <w:r>
        <w:rPr>
          <w:color w:val="000000" w:themeColor="text1"/>
          <w:lang w:val="en-US"/>
          <w14:textFill>
            <w14:solidFill>
              <w14:schemeClr w14:val="tx1"/>
            </w14:solidFill>
          </w14:textFill>
        </w:rPr>
        <w:t>and</w:t>
      </w:r>
      <w:r>
        <w:rPr>
          <w:i/>
          <w:color w:val="000000" w:themeColor="text1"/>
          <w:lang w:val="en-US"/>
          <w14:textFill>
            <w14:solidFill>
              <w14:schemeClr w14:val="tx1"/>
            </w14:solidFill>
          </w14:textFill>
        </w:rPr>
        <w:t xml:space="preserve"> DFR</w:t>
      </w:r>
      <w:r>
        <w:rPr>
          <w:color w:val="000000" w:themeColor="text1"/>
          <w:lang w:val="en-US"/>
          <w14:textFill>
            <w14:solidFill>
              <w14:schemeClr w14:val="tx1"/>
            </w14:solidFill>
          </w14:textFill>
        </w:rPr>
        <w:t xml:space="preserve"> genes in transgenic tobacco plants were significantly higher compared to the control tobacco plants (</w:t>
      </w:r>
      <w:r>
        <w:rPr>
          <w:i/>
          <w:color w:val="000000" w:themeColor="text1"/>
          <w:lang w:val="en-US"/>
          <w14:textFill>
            <w14:solidFill>
              <w14:schemeClr w14:val="tx1"/>
            </w14:solidFill>
          </w14:textFill>
        </w:rPr>
        <w:t>p</w:t>
      </w:r>
      <w:r>
        <w:rPr>
          <w:color w:val="000000" w:themeColor="text1"/>
          <w:lang w:val="en-US"/>
          <w14:textFill>
            <w14:solidFill>
              <w14:schemeClr w14:val="tx1"/>
            </w14:solidFill>
          </w14:textFill>
        </w:rPr>
        <w:t xml:space="preserve"> &lt; 0.01).</w:t>
      </w:r>
    </w:p>
    <w:p>
      <w:pPr>
        <w:pStyle w:val="84"/>
        <w:rPr>
          <w:color w:val="000000" w:themeColor="text1"/>
          <w:w w:val="108"/>
          <w:lang w:val="en-US"/>
          <w14:textFill>
            <w14:solidFill>
              <w14:schemeClr w14:val="tx1"/>
            </w14:solidFill>
          </w14:textFill>
        </w:rPr>
      </w:pPr>
      <w:bookmarkStart w:id="66" w:name="OLE_LINK61"/>
      <w:bookmarkStart w:id="67" w:name="OLE_LINK66"/>
      <w:r>
        <w:rPr>
          <w:color w:val="000000" w:themeColor="text1"/>
          <w:w w:val="108"/>
          <w:lang w:val="en-US"/>
          <w14:textFill>
            <w14:solidFill>
              <w14:schemeClr w14:val="tx1"/>
            </w14:solidFill>
          </w14:textFill>
        </w:rPr>
        <w:t>3.3</w:t>
      </w:r>
      <w:r>
        <w:rPr>
          <w:rFonts w:hint="eastAsia"/>
          <w:color w:val="000000" w:themeColor="text1"/>
          <w:w w:val="108"/>
          <w:lang w:val="en-US"/>
          <w14:textFill>
            <w14:solidFill>
              <w14:schemeClr w14:val="tx1"/>
            </w14:solidFill>
          </w14:textFill>
        </w:rPr>
        <w:t>.</w:t>
      </w:r>
      <w:r>
        <w:rPr>
          <w:color w:val="000000" w:themeColor="text1"/>
          <w:w w:val="108"/>
          <w:lang w:val="en-US"/>
          <w14:textFill>
            <w14:solidFill>
              <w14:schemeClr w14:val="tx1"/>
            </w14:solidFill>
          </w14:textFill>
        </w:rPr>
        <w:t xml:space="preserve"> Flavonoid</w:t>
      </w:r>
      <w:bookmarkEnd w:id="66"/>
      <w:bookmarkEnd w:id="67"/>
      <w:r>
        <w:rPr>
          <w:color w:val="000000" w:themeColor="text1"/>
          <w:w w:val="108"/>
          <w:lang w:val="en-US"/>
          <w14:textFill>
            <w14:solidFill>
              <w14:schemeClr w14:val="tx1"/>
            </w14:solidFill>
          </w14:textFill>
        </w:rPr>
        <w:t xml:space="preserve"> accumulation in tobacco leaves</w:t>
      </w:r>
    </w:p>
    <w:p>
      <w:pPr>
        <w:pStyle w:val="31"/>
        <w:rPr>
          <w:color w:val="000000" w:themeColor="text1"/>
          <w:lang w:val="en-US"/>
          <w14:textFill>
            <w14:solidFill>
              <w14:schemeClr w14:val="tx1"/>
            </w14:solidFill>
          </w14:textFill>
        </w:rPr>
      </w:pPr>
      <w:r>
        <w:rPr>
          <w:color w:val="000000" w:themeColor="text1"/>
          <w:lang w:val="en-US"/>
          <w14:textFill>
            <w14:solidFill>
              <w14:schemeClr w14:val="tx1"/>
            </w14:solidFill>
          </w14:textFill>
        </w:rPr>
        <w:t xml:space="preserve">In order to investigate the effect of the </w:t>
      </w: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 xml:space="preserve"> gene on flavonoid biosynthesis in tobacco, flavonoid content in transgenic and control leaves was detected. The content of all flavonoids was much higher in transgenic plants compared to control plants (Table 1</w:t>
      </w:r>
      <w:r>
        <w:rPr>
          <w:rFonts w:hint="eastAsia"/>
          <w:color w:val="000000" w:themeColor="text1"/>
          <w:lang w:val="en-US"/>
          <w14:textFill>
            <w14:solidFill>
              <w14:schemeClr w14:val="tx1"/>
            </w14:solidFill>
          </w14:textFill>
        </w:rPr>
        <w:t>, Fig. 3</w:t>
      </w:r>
      <w:r>
        <w:rPr>
          <w:color w:val="000000" w:themeColor="text1"/>
          <w:lang w:val="en-US"/>
          <w14:textFill>
            <w14:solidFill>
              <w14:schemeClr w14:val="tx1"/>
            </w14:solidFill>
          </w14:textFill>
        </w:rPr>
        <w:t>).</w:t>
      </w:r>
    </w:p>
    <w:p>
      <w:pPr>
        <w:pStyle w:val="84"/>
        <w:rPr>
          <w:color w:val="000000" w:themeColor="text1"/>
          <w:w w:val="108"/>
          <w:lang w:val="en-US"/>
          <w14:textFill>
            <w14:solidFill>
              <w14:schemeClr w14:val="tx1"/>
            </w14:solidFill>
          </w14:textFill>
        </w:rPr>
      </w:pPr>
      <w:r>
        <w:rPr>
          <w:color w:val="000000" w:themeColor="text1"/>
          <w:w w:val="108"/>
          <w:lang w:val="en-US"/>
          <w14:textFill>
            <w14:solidFill>
              <w14:schemeClr w14:val="tx1"/>
            </w14:solidFill>
          </w14:textFill>
        </w:rPr>
        <w:t>3.4</w:t>
      </w:r>
      <w:r>
        <w:rPr>
          <w:rFonts w:hint="eastAsia"/>
          <w:color w:val="000000" w:themeColor="text1"/>
          <w:w w:val="108"/>
          <w:lang w:val="en-US"/>
          <w14:textFill>
            <w14:solidFill>
              <w14:schemeClr w14:val="tx1"/>
            </w14:solidFill>
          </w14:textFill>
        </w:rPr>
        <w:t>.</w:t>
      </w:r>
      <w:r>
        <w:rPr>
          <w:color w:val="000000" w:themeColor="text1"/>
          <w:w w:val="108"/>
          <w:lang w:val="en-US"/>
          <w14:textFill>
            <w14:solidFill>
              <w14:schemeClr w14:val="tx1"/>
            </w14:solidFill>
          </w14:textFill>
        </w:rPr>
        <w:t xml:space="preserve"> Drought tolerance of tobacco plants</w:t>
      </w:r>
    </w:p>
    <w:p>
      <w:pPr>
        <w:pStyle w:val="31"/>
        <w:rPr>
          <w:color w:val="000000" w:themeColor="text1"/>
          <w:lang w:val="en-US" w:eastAsia="zh-CN"/>
          <w14:textFill>
            <w14:solidFill>
              <w14:schemeClr w14:val="tx1"/>
            </w14:solidFill>
          </w14:textFill>
        </w:rPr>
        <w:sectPr>
          <w:type w:val="continuous"/>
          <w:pgSz w:w="11907" w:h="16840"/>
          <w:pgMar w:top="1009" w:right="851" w:bottom="1758" w:left="851" w:header="851" w:footer="1049" w:gutter="0"/>
          <w:cols w:space="227" w:num="2"/>
          <w:docGrid w:linePitch="360" w:charSpace="0"/>
        </w:sectPr>
      </w:pPr>
      <w:r>
        <w:rPr>
          <w:color w:val="000000" w:themeColor="text1"/>
          <w:lang w:val="en-US"/>
          <w14:textFill>
            <w14:solidFill>
              <w14:schemeClr w14:val="tx1"/>
            </w14:solidFill>
          </w14:textFill>
        </w:rPr>
        <w:t xml:space="preserve">In order to evaluate whether </w:t>
      </w: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 xml:space="preserve"> overexpression affects tobacco drought tolerance, a water-deficit treatment was performed. The growth of transgenic plants was notable better</w:t>
      </w:r>
    </w:p>
    <w:p>
      <w:pPr>
        <w:pStyle w:val="38"/>
        <w:rPr>
          <w:color w:val="000000" w:themeColor="text1"/>
          <w:lang w:val="en-US" w:eastAsia="zh-CN"/>
          <w14:textFill>
            <w14:solidFill>
              <w14:schemeClr w14:val="tx1"/>
            </w14:solidFill>
          </w14:textFill>
        </w:rPr>
      </w:pPr>
      <w:r>
        <w:rPr>
          <w:rFonts w:ascii="Times New Roman" w:hAnsi="Times New Roman" w:eastAsia="宋体"/>
          <w:sz w:val="24"/>
          <w:szCs w:val="24"/>
        </w:rPr>
        <w:object>
          <v:shape id="_x0000_i1025" o:spt="75" type="#_x0000_t75" style="height:151.55pt;width:195.45pt;" o:ole="t" filled="f" o:preferrelative="t" stroked="f" coordsize="21600,21600">
            <v:path/>
            <v:fill on="f" focussize="0,0"/>
            <v:stroke on="f" joinstyle="miter"/>
            <v:imagedata r:id="rId12" o:title=""/>
            <o:lock v:ext="edit" aspectratio="t"/>
            <w10:wrap type="none"/>
            <w10:anchorlock/>
          </v:shape>
          <o:OLEObject Type="Embed" ProgID="Origin50.Graph" ShapeID="_x0000_i1025" DrawAspect="Content" ObjectID="_1468075725" r:id="rId11">
            <o:LockedField>false</o:LockedField>
          </o:OLEObject>
        </w:object>
      </w:r>
      <w:r>
        <w:rPr>
          <w:rFonts w:ascii="Times New Roman" w:hAnsi="Times New Roman" w:eastAsia="宋体"/>
          <w:sz w:val="24"/>
          <w:szCs w:val="24"/>
        </w:rPr>
        <w:object>
          <v:shape id="_x0000_i1026" o:spt="75" type="#_x0000_t75" style="height:151.55pt;width:195.45pt;" o:ole="t" filled="f" o:preferrelative="t" stroked="f" coordsize="21600,21600">
            <v:path/>
            <v:fill on="f" focussize="0,0"/>
            <v:stroke on="f" joinstyle="miter"/>
            <v:imagedata r:id="rId14" o:title=""/>
            <o:lock v:ext="edit" aspectratio="t"/>
            <w10:wrap type="none"/>
            <w10:anchorlock/>
          </v:shape>
          <o:OLEObject Type="Embed" ProgID="Origin50.Graph" ShapeID="_x0000_i1026" DrawAspect="Content" ObjectID="_1468075726" r:id="rId13">
            <o:LockedField>false</o:LockedField>
          </o:OLEObject>
        </w:object>
      </w:r>
      <w:r>
        <w:rPr>
          <w:rFonts w:ascii="Times New Roman" w:hAnsi="Times New Roman" w:eastAsia="宋体"/>
          <w:sz w:val="24"/>
          <w:szCs w:val="24"/>
        </w:rPr>
        <w:object>
          <v:shape id="_x0000_i1027" o:spt="75" type="#_x0000_t75" style="height:151.55pt;width:195.45pt;" o:ole="t" filled="f" o:preferrelative="t" stroked="f" coordsize="21600,21600">
            <v:path/>
            <v:fill on="f" focussize="0,0"/>
            <v:stroke on="f" joinstyle="miter"/>
            <v:imagedata r:id="rId16" o:title=""/>
            <o:lock v:ext="edit" aspectratio="t"/>
            <w10:wrap type="none"/>
            <w10:anchorlock/>
          </v:shape>
          <o:OLEObject Type="Embed" ProgID="Origin50.Graph" ShapeID="_x0000_i1027" DrawAspect="Content" ObjectID="_1468075727" r:id="rId15">
            <o:LockedField>false</o:LockedField>
          </o:OLEObject>
        </w:object>
      </w:r>
      <w:r>
        <w:rPr>
          <w:rFonts w:ascii="Times New Roman" w:hAnsi="Times New Roman" w:eastAsia="宋体"/>
          <w:sz w:val="24"/>
          <w:szCs w:val="24"/>
        </w:rPr>
        <w:object>
          <v:shape id="_x0000_i1028" o:spt="75" type="#_x0000_t75" style="height:151.55pt;width:195.45pt;" o:ole="t" filled="f" o:preferrelative="t" stroked="f" coordsize="21600,21600">
            <v:path/>
            <v:fill on="f" focussize="0,0"/>
            <v:stroke on="f" joinstyle="miter"/>
            <v:imagedata r:id="rId18" o:title=""/>
            <o:lock v:ext="edit" aspectratio="t"/>
            <w10:wrap type="none"/>
            <w10:anchorlock/>
          </v:shape>
          <o:OLEObject Type="Embed" ProgID="Origin50.Graph" ShapeID="_x0000_i1028" DrawAspect="Content" ObjectID="_1468075728" r:id="rId17">
            <o:LockedField>false</o:LockedField>
          </o:OLEObject>
        </w:object>
      </w:r>
      <w:r>
        <w:rPr>
          <w:rFonts w:ascii="Times New Roman" w:hAnsi="Times New Roman" w:eastAsia="宋体"/>
          <w:sz w:val="24"/>
          <w:szCs w:val="24"/>
        </w:rPr>
        <w:object>
          <v:shape id="_x0000_i1029" o:spt="75" type="#_x0000_t75" style="height:151.55pt;width:195.45pt;" o:ole="t" filled="f" o:preferrelative="t" stroked="f" coordsize="21600,21600">
            <v:path/>
            <v:fill on="f" focussize="0,0"/>
            <v:stroke on="f" joinstyle="miter"/>
            <v:imagedata r:id="rId20" o:title=""/>
            <o:lock v:ext="edit" aspectratio="t"/>
            <w10:wrap type="none"/>
            <w10:anchorlock/>
          </v:shape>
          <o:OLEObject Type="Embed" ProgID="Origin50.Graph" ShapeID="_x0000_i1029" DrawAspect="Content" ObjectID="_1468075729" r:id="rId19">
            <o:LockedField>false</o:LockedField>
          </o:OLEObject>
        </w:object>
      </w:r>
      <w:r>
        <w:rPr>
          <w:rFonts w:ascii="Times New Roman" w:hAnsi="Times New Roman" w:eastAsia="宋体"/>
          <w:sz w:val="24"/>
          <w:szCs w:val="24"/>
        </w:rPr>
        <w:object>
          <v:shape id="_x0000_i1030" o:spt="75" type="#_x0000_t75" style="height:151.55pt;width:195.45pt;" o:ole="t" filled="f" o:preferrelative="t" stroked="f" coordsize="21600,21600">
            <v:path/>
            <v:fill on="f" focussize="0,0"/>
            <v:stroke on="f" joinstyle="miter"/>
            <v:imagedata r:id="rId22" o:title=""/>
            <o:lock v:ext="edit" aspectratio="t"/>
            <w10:wrap type="none"/>
            <w10:anchorlock/>
          </v:shape>
          <o:OLEObject Type="Embed" ProgID="Origin50.Graph" ShapeID="_x0000_i1030" DrawAspect="Content" ObjectID="_1468075730" r:id="rId21">
            <o:LockedField>false</o:LockedField>
          </o:OLEObject>
        </w:object>
      </w:r>
    </w:p>
    <w:p>
      <w:pPr>
        <w:pStyle w:val="91"/>
        <w:rPr>
          <w:lang w:val="en-US" w:eastAsia="zh-CN"/>
        </w:rPr>
      </w:pPr>
      <w:r>
        <w:rPr>
          <w:b/>
          <w:lang w:val="en-US" w:eastAsia="zh-CN"/>
        </w:rPr>
        <w:t>Fig</w:t>
      </w:r>
      <w:r>
        <w:rPr>
          <w:rFonts w:hint="eastAsia"/>
          <w:b/>
          <w:lang w:val="en-US" w:eastAsia="zh-CN"/>
        </w:rPr>
        <w:t>.</w:t>
      </w:r>
      <w:r>
        <w:rPr>
          <w:b/>
          <w:lang w:val="en-US" w:eastAsia="zh-CN"/>
        </w:rPr>
        <w:t xml:space="preserve"> 2</w:t>
      </w:r>
      <w:r>
        <w:rPr>
          <w:lang w:val="en-US" w:eastAsia="zh-CN"/>
        </w:rPr>
        <w:t xml:space="preserve"> Abundance of the transcripts of flavonoid transcriptional genes in transgenic and control tobacco lines measured by RT-qPCR: (a) </w:t>
      </w:r>
      <w:r>
        <w:rPr>
          <w:i/>
          <w:lang w:val="en-US" w:eastAsia="zh-CN"/>
        </w:rPr>
        <w:t>CHS</w:t>
      </w:r>
      <w:r>
        <w:rPr>
          <w:lang w:val="en-US" w:eastAsia="zh-CN"/>
        </w:rPr>
        <w:t xml:space="preserve">, (b) </w:t>
      </w:r>
      <w:r>
        <w:rPr>
          <w:i/>
          <w:lang w:val="en-US" w:eastAsia="zh-CN"/>
        </w:rPr>
        <w:t>CHI</w:t>
      </w:r>
      <w:r>
        <w:rPr>
          <w:lang w:val="en-US" w:eastAsia="zh-CN"/>
        </w:rPr>
        <w:t xml:space="preserve">, (c) </w:t>
      </w:r>
      <w:r>
        <w:rPr>
          <w:i/>
          <w:lang w:val="en-US" w:eastAsia="zh-CN"/>
        </w:rPr>
        <w:t>F3H</w:t>
      </w:r>
      <w:r>
        <w:rPr>
          <w:lang w:val="en-US" w:eastAsia="zh-CN"/>
        </w:rPr>
        <w:t xml:space="preserve">, (d) </w:t>
      </w:r>
      <w:r>
        <w:rPr>
          <w:i/>
          <w:lang w:val="en-US" w:eastAsia="zh-CN"/>
        </w:rPr>
        <w:t>F3’H</w:t>
      </w:r>
      <w:r>
        <w:rPr>
          <w:lang w:val="en-US" w:eastAsia="zh-CN"/>
        </w:rPr>
        <w:t xml:space="preserve">, (e) </w:t>
      </w:r>
      <w:r>
        <w:rPr>
          <w:i/>
          <w:lang w:val="en-US" w:eastAsia="zh-CN"/>
        </w:rPr>
        <w:t>FLS</w:t>
      </w:r>
      <w:r>
        <w:rPr>
          <w:lang w:val="en-US" w:eastAsia="zh-CN"/>
        </w:rPr>
        <w:t xml:space="preserve">, and (f) </w:t>
      </w:r>
      <w:r>
        <w:rPr>
          <w:i/>
          <w:lang w:val="en-US" w:eastAsia="zh-CN"/>
        </w:rPr>
        <w:t>DFR</w:t>
      </w:r>
      <w:r>
        <w:rPr>
          <w:lang w:val="en-US" w:eastAsia="zh-CN"/>
        </w:rPr>
        <w:t xml:space="preserve">. * </w:t>
      </w:r>
      <w:r>
        <w:rPr>
          <w:i/>
          <w:lang w:val="en-US" w:eastAsia="zh-CN"/>
        </w:rPr>
        <w:t>p</w:t>
      </w:r>
      <w:r>
        <w:rPr>
          <w:lang w:val="en-US" w:eastAsia="zh-CN"/>
        </w:rPr>
        <w:t xml:space="preserve"> &lt; 0.05; ** </w:t>
      </w:r>
      <w:r>
        <w:rPr>
          <w:i/>
          <w:lang w:val="en-US" w:eastAsia="zh-CN"/>
        </w:rPr>
        <w:t>p</w:t>
      </w:r>
      <w:r>
        <w:rPr>
          <w:lang w:val="en-US" w:eastAsia="zh-CN"/>
        </w:rPr>
        <w:t xml:space="preserve"> &lt; 0.01.</w:t>
      </w:r>
    </w:p>
    <w:p>
      <w:pPr>
        <w:pStyle w:val="70"/>
        <w:pBdr>
          <w:bottom w:val="none" w:color="auto" w:sz="0" w:space="0"/>
        </w:pBdr>
        <w:rPr>
          <w:rFonts w:eastAsia="宋体"/>
        </w:rPr>
      </w:pPr>
      <w:r>
        <w:rPr>
          <w:rFonts w:eastAsia="宋体"/>
          <w:b/>
        </w:rPr>
        <w:t>Table 1</w:t>
      </w:r>
      <w:r>
        <w:rPr>
          <w:rFonts w:eastAsia="宋体"/>
        </w:rPr>
        <w:t xml:space="preserve"> Quantification of seven flavonoids in transgenic and control tobacco lines by HPLC-MS ESI</w:t>
      </w:r>
      <w:r>
        <w:rPr>
          <w:rFonts w:eastAsia="宋体"/>
          <w:vertAlign w:val="superscript"/>
        </w:rPr>
        <w:t>+</w:t>
      </w:r>
    </w:p>
    <w:tbl>
      <w:tblPr>
        <w:tblStyle w:val="13"/>
        <w:tblW w:w="10421"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00"/>
        <w:gridCol w:w="1328"/>
        <w:gridCol w:w="1328"/>
        <w:gridCol w:w="1328"/>
        <w:gridCol w:w="1328"/>
        <w:gridCol w:w="1413"/>
        <w:gridCol w:w="1496"/>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00" w:type="dxa"/>
            <w:vMerge w:val="restart"/>
            <w:tcBorders>
              <w:top w:val="single" w:color="auto" w:sz="4" w:space="0"/>
              <w:bottom w:val="nil"/>
            </w:tcBorders>
          </w:tcPr>
          <w:p>
            <w:pPr>
              <w:pStyle w:val="59"/>
              <w:rPr>
                <w:rFonts w:eastAsia="宋体"/>
              </w:rPr>
            </w:pPr>
            <w:r>
              <w:rPr>
                <w:rFonts w:eastAsia="宋体"/>
              </w:rPr>
              <w:t>Flavonoids</w:t>
            </w:r>
          </w:p>
        </w:tc>
        <w:tc>
          <w:tcPr>
            <w:tcW w:w="8221" w:type="dxa"/>
            <w:gridSpan w:val="6"/>
            <w:tcBorders>
              <w:top w:val="single" w:color="auto" w:sz="4" w:space="0"/>
              <w:bottom w:val="nil"/>
            </w:tcBorders>
          </w:tcPr>
          <w:p>
            <w:pPr>
              <w:pStyle w:val="59"/>
              <w:rPr>
                <w:rFonts w:eastAsia="宋体"/>
                <w:bCs/>
              </w:rPr>
            </w:pPr>
            <w:r>
              <w:rPr>
                <w:rFonts w:eastAsia="宋体"/>
                <w:bCs/>
              </w:rPr>
              <w:t>Dry weight (mg</w:t>
            </w:r>
            <w:r>
              <w:rPr>
                <w:rFonts w:hint="eastAsia" w:eastAsia="宋体"/>
                <w:bCs/>
              </w:rPr>
              <w:t xml:space="preserve"> </w:t>
            </w:r>
            <w:r>
              <w:rPr>
                <w:rFonts w:eastAsia="宋体"/>
                <w:bCs/>
              </w:rPr>
              <w:t>g</w:t>
            </w:r>
            <w:r>
              <w:rPr>
                <w:rFonts w:eastAsia="宋体"/>
                <w:vertAlign w:val="superscript"/>
              </w:rPr>
              <w:t>−</w:t>
            </w:r>
            <w:r>
              <w:rPr>
                <w:rFonts w:hint="eastAsia" w:eastAsia="宋体"/>
                <w:vertAlign w:val="superscript"/>
              </w:rPr>
              <w:t>1</w:t>
            </w:r>
            <w:r>
              <w:rPr>
                <w:rFonts w:eastAsia="宋体"/>
                <w:bCs/>
              </w:rPr>
              <w:t>; mean ± S.E.)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00" w:type="dxa"/>
            <w:vMerge w:val="continue"/>
            <w:tcBorders>
              <w:top w:val="nil"/>
              <w:bottom w:val="single" w:color="auto" w:sz="4" w:space="0"/>
            </w:tcBorders>
          </w:tcPr>
          <w:p>
            <w:pPr>
              <w:pStyle w:val="59"/>
              <w:rPr>
                <w:rFonts w:eastAsia="宋体"/>
              </w:rPr>
            </w:pPr>
          </w:p>
        </w:tc>
        <w:tc>
          <w:tcPr>
            <w:tcW w:w="1328" w:type="dxa"/>
            <w:tcBorders>
              <w:top w:val="nil"/>
              <w:bottom w:val="single" w:color="auto" w:sz="4" w:space="0"/>
            </w:tcBorders>
          </w:tcPr>
          <w:p>
            <w:pPr>
              <w:pStyle w:val="59"/>
              <w:rPr>
                <w:rFonts w:eastAsia="宋体"/>
              </w:rPr>
            </w:pPr>
            <w:r>
              <w:rPr>
                <w:rFonts w:eastAsia="宋体"/>
              </w:rPr>
              <w:t>C1</w:t>
            </w:r>
          </w:p>
        </w:tc>
        <w:tc>
          <w:tcPr>
            <w:tcW w:w="1328" w:type="dxa"/>
            <w:tcBorders>
              <w:top w:val="nil"/>
              <w:bottom w:val="single" w:color="auto" w:sz="4" w:space="0"/>
            </w:tcBorders>
          </w:tcPr>
          <w:p>
            <w:pPr>
              <w:pStyle w:val="59"/>
              <w:rPr>
                <w:rFonts w:eastAsia="宋体"/>
              </w:rPr>
            </w:pPr>
            <w:r>
              <w:rPr>
                <w:rFonts w:eastAsia="宋体"/>
              </w:rPr>
              <w:t>C2</w:t>
            </w:r>
          </w:p>
        </w:tc>
        <w:tc>
          <w:tcPr>
            <w:tcW w:w="1328" w:type="dxa"/>
            <w:tcBorders>
              <w:top w:val="nil"/>
              <w:bottom w:val="single" w:color="auto" w:sz="4" w:space="0"/>
            </w:tcBorders>
          </w:tcPr>
          <w:p>
            <w:pPr>
              <w:pStyle w:val="59"/>
              <w:rPr>
                <w:rFonts w:eastAsia="宋体"/>
              </w:rPr>
            </w:pPr>
            <w:r>
              <w:rPr>
                <w:rFonts w:eastAsia="宋体"/>
              </w:rPr>
              <w:t>C3</w:t>
            </w:r>
          </w:p>
        </w:tc>
        <w:tc>
          <w:tcPr>
            <w:tcW w:w="1328" w:type="dxa"/>
            <w:tcBorders>
              <w:top w:val="nil"/>
              <w:bottom w:val="single" w:color="auto" w:sz="4" w:space="0"/>
            </w:tcBorders>
          </w:tcPr>
          <w:p>
            <w:pPr>
              <w:pStyle w:val="59"/>
              <w:rPr>
                <w:rFonts w:eastAsia="宋体"/>
              </w:rPr>
            </w:pPr>
            <w:r>
              <w:rPr>
                <w:rFonts w:eastAsia="宋体"/>
              </w:rPr>
              <w:t>F1</w:t>
            </w:r>
          </w:p>
        </w:tc>
        <w:tc>
          <w:tcPr>
            <w:tcW w:w="1413" w:type="dxa"/>
            <w:tcBorders>
              <w:top w:val="nil"/>
              <w:bottom w:val="single" w:color="auto" w:sz="4" w:space="0"/>
            </w:tcBorders>
          </w:tcPr>
          <w:p>
            <w:pPr>
              <w:pStyle w:val="59"/>
              <w:rPr>
                <w:rFonts w:eastAsia="宋体"/>
              </w:rPr>
            </w:pPr>
            <w:r>
              <w:rPr>
                <w:rFonts w:eastAsia="宋体"/>
              </w:rPr>
              <w:t>F2</w:t>
            </w:r>
          </w:p>
        </w:tc>
        <w:tc>
          <w:tcPr>
            <w:tcW w:w="1496" w:type="dxa"/>
            <w:tcBorders>
              <w:top w:val="nil"/>
              <w:bottom w:val="single" w:color="auto" w:sz="4" w:space="0"/>
            </w:tcBorders>
          </w:tcPr>
          <w:p>
            <w:pPr>
              <w:pStyle w:val="59"/>
              <w:rPr>
                <w:rFonts w:eastAsia="宋体"/>
              </w:rPr>
            </w:pPr>
            <w:r>
              <w:rPr>
                <w:rFonts w:eastAsia="宋体"/>
              </w:rPr>
              <w:t>F3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00" w:type="dxa"/>
            <w:tcBorders>
              <w:top w:val="single" w:color="auto" w:sz="4" w:space="0"/>
            </w:tcBorders>
          </w:tcPr>
          <w:p>
            <w:pPr>
              <w:pStyle w:val="59"/>
              <w:rPr>
                <w:rFonts w:eastAsia="宋体"/>
              </w:rPr>
            </w:pPr>
            <w:r>
              <w:rPr>
                <w:rFonts w:eastAsia="宋体"/>
                <w:bCs/>
              </w:rPr>
              <w:t>Rutin</w:t>
            </w:r>
          </w:p>
        </w:tc>
        <w:tc>
          <w:tcPr>
            <w:tcW w:w="1328" w:type="dxa"/>
            <w:tcBorders>
              <w:top w:val="single" w:color="auto" w:sz="4" w:space="0"/>
            </w:tcBorders>
          </w:tcPr>
          <w:p>
            <w:pPr>
              <w:pStyle w:val="59"/>
              <w:rPr>
                <w:rFonts w:eastAsia="宋体"/>
                <w:bCs/>
              </w:rPr>
            </w:pPr>
            <w:r>
              <w:rPr>
                <w:rFonts w:eastAsia="宋体"/>
                <w:bCs/>
              </w:rPr>
              <w:t>1.2095</w:t>
            </w:r>
            <w:r>
              <w:rPr>
                <w:rFonts w:hint="eastAsia" w:eastAsia="宋体"/>
                <w:bCs/>
              </w:rPr>
              <w:t xml:space="preserve"> </w:t>
            </w:r>
            <w:r>
              <w:rPr>
                <w:rFonts w:eastAsia="宋体"/>
                <w:bCs/>
              </w:rPr>
              <w:t>± 0.3667</w:t>
            </w:r>
          </w:p>
        </w:tc>
        <w:tc>
          <w:tcPr>
            <w:tcW w:w="1328" w:type="dxa"/>
            <w:tcBorders>
              <w:top w:val="single" w:color="auto" w:sz="4" w:space="0"/>
            </w:tcBorders>
          </w:tcPr>
          <w:p>
            <w:pPr>
              <w:pStyle w:val="59"/>
              <w:rPr>
                <w:rFonts w:eastAsia="宋体"/>
                <w:bCs/>
              </w:rPr>
            </w:pPr>
            <w:r>
              <w:rPr>
                <w:rFonts w:eastAsia="宋体"/>
                <w:bCs/>
              </w:rPr>
              <w:t>0.8526</w:t>
            </w:r>
            <w:r>
              <w:rPr>
                <w:rFonts w:hint="eastAsia" w:eastAsia="宋体"/>
                <w:bCs/>
              </w:rPr>
              <w:t xml:space="preserve"> </w:t>
            </w:r>
            <w:r>
              <w:rPr>
                <w:rFonts w:eastAsia="宋体"/>
                <w:bCs/>
              </w:rPr>
              <w:t>± 0.1499</w:t>
            </w:r>
          </w:p>
        </w:tc>
        <w:tc>
          <w:tcPr>
            <w:tcW w:w="1328" w:type="dxa"/>
            <w:tcBorders>
              <w:top w:val="single" w:color="auto" w:sz="4" w:space="0"/>
            </w:tcBorders>
          </w:tcPr>
          <w:p>
            <w:pPr>
              <w:pStyle w:val="59"/>
              <w:rPr>
                <w:rFonts w:eastAsia="宋体"/>
                <w:bCs/>
              </w:rPr>
            </w:pPr>
            <w:r>
              <w:rPr>
                <w:rFonts w:eastAsia="宋体"/>
                <w:bCs/>
              </w:rPr>
              <w:t>0.7171</w:t>
            </w:r>
            <w:r>
              <w:rPr>
                <w:rFonts w:hint="eastAsia" w:eastAsia="宋体"/>
                <w:bCs/>
              </w:rPr>
              <w:t xml:space="preserve"> </w:t>
            </w:r>
            <w:r>
              <w:rPr>
                <w:rFonts w:eastAsia="宋体"/>
                <w:bCs/>
              </w:rPr>
              <w:t>± 0.3721</w:t>
            </w:r>
          </w:p>
        </w:tc>
        <w:tc>
          <w:tcPr>
            <w:tcW w:w="1328" w:type="dxa"/>
            <w:tcBorders>
              <w:top w:val="single" w:color="auto" w:sz="4" w:space="0"/>
            </w:tcBorders>
          </w:tcPr>
          <w:p>
            <w:pPr>
              <w:pStyle w:val="59"/>
              <w:rPr>
                <w:rFonts w:eastAsia="宋体"/>
                <w:bCs/>
              </w:rPr>
            </w:pPr>
            <w:r>
              <w:rPr>
                <w:rFonts w:eastAsia="宋体"/>
                <w:bCs/>
              </w:rPr>
              <w:t>9.8294</w:t>
            </w:r>
            <w:r>
              <w:rPr>
                <w:rFonts w:hint="eastAsia" w:eastAsia="宋体"/>
                <w:bCs/>
              </w:rPr>
              <w:t xml:space="preserve"> </w:t>
            </w:r>
            <w:r>
              <w:rPr>
                <w:rFonts w:eastAsia="宋体"/>
                <w:bCs/>
              </w:rPr>
              <w:t>± 1.2524</w:t>
            </w:r>
          </w:p>
        </w:tc>
        <w:tc>
          <w:tcPr>
            <w:tcW w:w="1413" w:type="dxa"/>
            <w:tcBorders>
              <w:top w:val="single" w:color="auto" w:sz="4" w:space="0"/>
            </w:tcBorders>
          </w:tcPr>
          <w:p>
            <w:pPr>
              <w:pStyle w:val="59"/>
              <w:rPr>
                <w:rFonts w:eastAsia="宋体"/>
                <w:bCs/>
              </w:rPr>
            </w:pPr>
            <w:r>
              <w:rPr>
                <w:rFonts w:eastAsia="宋体"/>
                <w:bCs/>
              </w:rPr>
              <w:t>24.1283</w:t>
            </w:r>
            <w:r>
              <w:rPr>
                <w:rFonts w:hint="eastAsia" w:eastAsia="宋体"/>
                <w:bCs/>
              </w:rPr>
              <w:t xml:space="preserve"> </w:t>
            </w:r>
            <w:r>
              <w:rPr>
                <w:rFonts w:eastAsia="宋体"/>
                <w:bCs/>
              </w:rPr>
              <w:t>± 3.2131</w:t>
            </w:r>
          </w:p>
        </w:tc>
        <w:tc>
          <w:tcPr>
            <w:tcW w:w="1496" w:type="dxa"/>
            <w:tcBorders>
              <w:top w:val="single" w:color="auto" w:sz="4" w:space="0"/>
            </w:tcBorders>
          </w:tcPr>
          <w:p>
            <w:pPr>
              <w:pStyle w:val="59"/>
              <w:rPr>
                <w:rFonts w:eastAsia="宋体"/>
                <w:bCs/>
              </w:rPr>
            </w:pPr>
            <w:r>
              <w:rPr>
                <w:rFonts w:eastAsia="宋体"/>
                <w:bCs/>
              </w:rPr>
              <w:t>42.5386</w:t>
            </w:r>
            <w:r>
              <w:rPr>
                <w:rFonts w:hint="eastAsia" w:eastAsia="宋体"/>
                <w:bCs/>
              </w:rPr>
              <w:t xml:space="preserve"> </w:t>
            </w:r>
            <w:r>
              <w:rPr>
                <w:rFonts w:eastAsia="宋体"/>
                <w:bCs/>
              </w:rPr>
              <w:t>± 14.4964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00" w:type="dxa"/>
          </w:tcPr>
          <w:p>
            <w:pPr>
              <w:pStyle w:val="59"/>
              <w:rPr>
                <w:rFonts w:eastAsia="宋体"/>
              </w:rPr>
            </w:pPr>
            <w:r>
              <w:rPr>
                <w:rFonts w:eastAsia="宋体"/>
                <w:bCs/>
              </w:rPr>
              <w:t>Quercetin</w:t>
            </w:r>
          </w:p>
        </w:tc>
        <w:tc>
          <w:tcPr>
            <w:tcW w:w="1328" w:type="dxa"/>
          </w:tcPr>
          <w:p>
            <w:pPr>
              <w:pStyle w:val="59"/>
              <w:rPr>
                <w:rFonts w:eastAsia="宋体"/>
                <w:bCs/>
              </w:rPr>
            </w:pPr>
            <w:r>
              <w:rPr>
                <w:rFonts w:eastAsia="宋体"/>
                <w:bCs/>
              </w:rPr>
              <w:t>0.4346</w:t>
            </w:r>
            <w:r>
              <w:rPr>
                <w:rFonts w:hint="eastAsia" w:eastAsia="宋体"/>
                <w:bCs/>
              </w:rPr>
              <w:t xml:space="preserve"> </w:t>
            </w:r>
            <w:r>
              <w:rPr>
                <w:rFonts w:eastAsia="宋体"/>
                <w:bCs/>
              </w:rPr>
              <w:t>± 0.1447</w:t>
            </w:r>
          </w:p>
        </w:tc>
        <w:tc>
          <w:tcPr>
            <w:tcW w:w="1328" w:type="dxa"/>
          </w:tcPr>
          <w:p>
            <w:pPr>
              <w:pStyle w:val="59"/>
              <w:rPr>
                <w:rFonts w:eastAsia="宋体"/>
                <w:bCs/>
              </w:rPr>
            </w:pPr>
            <w:r>
              <w:rPr>
                <w:rFonts w:eastAsia="宋体"/>
                <w:bCs/>
              </w:rPr>
              <w:t>0.7190</w:t>
            </w:r>
            <w:r>
              <w:rPr>
                <w:rFonts w:hint="eastAsia" w:eastAsia="宋体"/>
                <w:bCs/>
              </w:rPr>
              <w:t xml:space="preserve"> </w:t>
            </w:r>
            <w:r>
              <w:rPr>
                <w:rFonts w:eastAsia="宋体"/>
                <w:bCs/>
              </w:rPr>
              <w:t>± 0.0708</w:t>
            </w:r>
          </w:p>
        </w:tc>
        <w:tc>
          <w:tcPr>
            <w:tcW w:w="1328" w:type="dxa"/>
          </w:tcPr>
          <w:p>
            <w:pPr>
              <w:pStyle w:val="59"/>
              <w:rPr>
                <w:rFonts w:eastAsia="宋体"/>
                <w:bCs/>
              </w:rPr>
            </w:pPr>
            <w:r>
              <w:rPr>
                <w:rFonts w:eastAsia="宋体"/>
                <w:bCs/>
              </w:rPr>
              <w:t>0.5373</w:t>
            </w:r>
            <w:r>
              <w:rPr>
                <w:rFonts w:hint="eastAsia" w:eastAsia="宋体"/>
                <w:bCs/>
              </w:rPr>
              <w:t xml:space="preserve"> </w:t>
            </w:r>
            <w:r>
              <w:rPr>
                <w:rFonts w:eastAsia="宋体"/>
                <w:bCs/>
              </w:rPr>
              <w:t>± 0.2265</w:t>
            </w:r>
          </w:p>
        </w:tc>
        <w:tc>
          <w:tcPr>
            <w:tcW w:w="1328" w:type="dxa"/>
          </w:tcPr>
          <w:p>
            <w:pPr>
              <w:pStyle w:val="59"/>
              <w:rPr>
                <w:rFonts w:eastAsia="宋体"/>
                <w:bCs/>
              </w:rPr>
            </w:pPr>
            <w:r>
              <w:rPr>
                <w:rFonts w:eastAsia="宋体"/>
                <w:bCs/>
              </w:rPr>
              <w:t>7.5818</w:t>
            </w:r>
            <w:r>
              <w:rPr>
                <w:rFonts w:hint="eastAsia" w:eastAsia="宋体"/>
                <w:bCs/>
              </w:rPr>
              <w:t xml:space="preserve"> </w:t>
            </w:r>
            <w:r>
              <w:rPr>
                <w:rFonts w:eastAsia="宋体"/>
                <w:bCs/>
              </w:rPr>
              <w:t>± 4.2555</w:t>
            </w:r>
          </w:p>
        </w:tc>
        <w:tc>
          <w:tcPr>
            <w:tcW w:w="1413" w:type="dxa"/>
          </w:tcPr>
          <w:p>
            <w:pPr>
              <w:pStyle w:val="59"/>
              <w:rPr>
                <w:rFonts w:eastAsia="宋体"/>
                <w:bCs/>
              </w:rPr>
            </w:pPr>
            <w:r>
              <w:rPr>
                <w:rFonts w:eastAsia="宋体"/>
                <w:bCs/>
              </w:rPr>
              <w:t>10.2958</w:t>
            </w:r>
            <w:r>
              <w:rPr>
                <w:rFonts w:hint="eastAsia" w:eastAsia="宋体"/>
                <w:bCs/>
              </w:rPr>
              <w:t xml:space="preserve"> </w:t>
            </w:r>
            <w:r>
              <w:rPr>
                <w:rFonts w:eastAsia="宋体"/>
                <w:bCs/>
              </w:rPr>
              <w:t>± 2.6337</w:t>
            </w:r>
          </w:p>
        </w:tc>
        <w:tc>
          <w:tcPr>
            <w:tcW w:w="1496" w:type="dxa"/>
          </w:tcPr>
          <w:p>
            <w:pPr>
              <w:pStyle w:val="59"/>
              <w:rPr>
                <w:rFonts w:eastAsia="宋体"/>
                <w:bCs/>
              </w:rPr>
            </w:pPr>
            <w:r>
              <w:rPr>
                <w:rFonts w:eastAsia="宋体"/>
                <w:bCs/>
              </w:rPr>
              <w:t>12.1381</w:t>
            </w:r>
            <w:r>
              <w:rPr>
                <w:rFonts w:hint="eastAsia" w:eastAsia="宋体"/>
                <w:bCs/>
              </w:rPr>
              <w:t xml:space="preserve"> </w:t>
            </w:r>
            <w:r>
              <w:rPr>
                <w:rFonts w:eastAsia="宋体"/>
                <w:bCs/>
              </w:rPr>
              <w:t>± 5.4301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00" w:type="dxa"/>
          </w:tcPr>
          <w:p>
            <w:pPr>
              <w:pStyle w:val="59"/>
              <w:rPr>
                <w:rFonts w:eastAsia="宋体"/>
              </w:rPr>
            </w:pPr>
            <w:r>
              <w:rPr>
                <w:rFonts w:eastAsia="宋体"/>
                <w:bCs/>
              </w:rPr>
              <w:t>Naringenin</w:t>
            </w:r>
          </w:p>
        </w:tc>
        <w:tc>
          <w:tcPr>
            <w:tcW w:w="1328" w:type="dxa"/>
          </w:tcPr>
          <w:p>
            <w:pPr>
              <w:pStyle w:val="59"/>
              <w:rPr>
                <w:rFonts w:eastAsia="宋体"/>
                <w:bCs/>
              </w:rPr>
            </w:pPr>
            <w:r>
              <w:rPr>
                <w:rFonts w:eastAsia="宋体"/>
                <w:bCs/>
              </w:rPr>
              <w:t>0.0333</w:t>
            </w:r>
            <w:r>
              <w:rPr>
                <w:rFonts w:hint="eastAsia" w:eastAsia="宋体"/>
                <w:bCs/>
              </w:rPr>
              <w:t xml:space="preserve"> </w:t>
            </w:r>
            <w:r>
              <w:rPr>
                <w:rFonts w:eastAsia="宋体"/>
                <w:bCs/>
              </w:rPr>
              <w:t>± 0.0138</w:t>
            </w:r>
          </w:p>
        </w:tc>
        <w:tc>
          <w:tcPr>
            <w:tcW w:w="1328" w:type="dxa"/>
          </w:tcPr>
          <w:p>
            <w:pPr>
              <w:pStyle w:val="59"/>
              <w:rPr>
                <w:rFonts w:eastAsia="宋体"/>
                <w:bCs/>
              </w:rPr>
            </w:pPr>
            <w:r>
              <w:rPr>
                <w:rFonts w:eastAsia="宋体"/>
                <w:bCs/>
              </w:rPr>
              <w:t>0.0371</w:t>
            </w:r>
            <w:r>
              <w:rPr>
                <w:rFonts w:hint="eastAsia" w:eastAsia="宋体"/>
                <w:bCs/>
              </w:rPr>
              <w:t xml:space="preserve"> </w:t>
            </w:r>
            <w:r>
              <w:rPr>
                <w:rFonts w:eastAsia="宋体"/>
                <w:bCs/>
              </w:rPr>
              <w:t>± 0.0063</w:t>
            </w:r>
          </w:p>
        </w:tc>
        <w:tc>
          <w:tcPr>
            <w:tcW w:w="1328" w:type="dxa"/>
          </w:tcPr>
          <w:p>
            <w:pPr>
              <w:pStyle w:val="59"/>
              <w:rPr>
                <w:rFonts w:eastAsia="宋体"/>
                <w:bCs/>
              </w:rPr>
            </w:pPr>
            <w:r>
              <w:rPr>
                <w:rFonts w:eastAsia="宋体"/>
                <w:bCs/>
              </w:rPr>
              <w:t>0.0345</w:t>
            </w:r>
            <w:r>
              <w:rPr>
                <w:rFonts w:hint="eastAsia" w:eastAsia="宋体"/>
                <w:bCs/>
              </w:rPr>
              <w:t xml:space="preserve"> </w:t>
            </w:r>
            <w:r>
              <w:rPr>
                <w:rFonts w:eastAsia="宋体"/>
                <w:bCs/>
              </w:rPr>
              <w:t>± 0.0041</w:t>
            </w:r>
          </w:p>
        </w:tc>
        <w:tc>
          <w:tcPr>
            <w:tcW w:w="1328" w:type="dxa"/>
          </w:tcPr>
          <w:p>
            <w:pPr>
              <w:pStyle w:val="59"/>
              <w:rPr>
                <w:rFonts w:eastAsia="宋体"/>
                <w:bCs/>
              </w:rPr>
            </w:pPr>
            <w:r>
              <w:rPr>
                <w:rFonts w:eastAsia="宋体"/>
                <w:bCs/>
              </w:rPr>
              <w:t>0.7983</w:t>
            </w:r>
            <w:r>
              <w:rPr>
                <w:rFonts w:hint="eastAsia" w:eastAsia="宋体"/>
                <w:bCs/>
              </w:rPr>
              <w:t xml:space="preserve"> </w:t>
            </w:r>
            <w:r>
              <w:rPr>
                <w:rFonts w:eastAsia="宋体"/>
                <w:bCs/>
              </w:rPr>
              <w:t>± 0.3606</w:t>
            </w:r>
          </w:p>
        </w:tc>
        <w:tc>
          <w:tcPr>
            <w:tcW w:w="1413" w:type="dxa"/>
          </w:tcPr>
          <w:p>
            <w:pPr>
              <w:pStyle w:val="59"/>
              <w:rPr>
                <w:rFonts w:eastAsia="宋体"/>
                <w:bCs/>
              </w:rPr>
            </w:pPr>
            <w:r>
              <w:rPr>
                <w:rFonts w:eastAsia="宋体"/>
                <w:bCs/>
              </w:rPr>
              <w:t>0.4717</w:t>
            </w:r>
            <w:r>
              <w:rPr>
                <w:rFonts w:hint="eastAsia" w:eastAsia="宋体"/>
                <w:bCs/>
              </w:rPr>
              <w:t xml:space="preserve"> </w:t>
            </w:r>
            <w:r>
              <w:rPr>
                <w:rFonts w:eastAsia="宋体"/>
                <w:bCs/>
              </w:rPr>
              <w:t>± 0.0425</w:t>
            </w:r>
          </w:p>
        </w:tc>
        <w:tc>
          <w:tcPr>
            <w:tcW w:w="1496" w:type="dxa"/>
          </w:tcPr>
          <w:p>
            <w:pPr>
              <w:pStyle w:val="59"/>
              <w:rPr>
                <w:rFonts w:eastAsia="宋体"/>
                <w:bCs/>
              </w:rPr>
            </w:pPr>
            <w:r>
              <w:rPr>
                <w:rFonts w:eastAsia="宋体"/>
                <w:bCs/>
              </w:rPr>
              <w:t>0.5750</w:t>
            </w:r>
            <w:r>
              <w:rPr>
                <w:rFonts w:hint="eastAsia" w:eastAsia="宋体"/>
                <w:bCs/>
              </w:rPr>
              <w:t xml:space="preserve"> </w:t>
            </w:r>
            <w:r>
              <w:rPr>
                <w:rFonts w:eastAsia="宋体"/>
                <w:bCs/>
              </w:rPr>
              <w:t>± 0.0913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00" w:type="dxa"/>
          </w:tcPr>
          <w:p>
            <w:pPr>
              <w:pStyle w:val="59"/>
              <w:rPr>
                <w:rFonts w:eastAsia="宋体"/>
              </w:rPr>
            </w:pPr>
            <w:r>
              <w:rPr>
                <w:rFonts w:eastAsia="宋体"/>
              </w:rPr>
              <w:t>Kaempferol-3-rutinoside</w:t>
            </w:r>
          </w:p>
        </w:tc>
        <w:tc>
          <w:tcPr>
            <w:tcW w:w="1328" w:type="dxa"/>
          </w:tcPr>
          <w:p>
            <w:pPr>
              <w:pStyle w:val="59"/>
              <w:rPr>
                <w:rFonts w:eastAsia="宋体"/>
                <w:bCs/>
              </w:rPr>
            </w:pPr>
            <w:r>
              <w:rPr>
                <w:rFonts w:eastAsia="宋体"/>
                <w:bCs/>
              </w:rPr>
              <w:t>0.0240</w:t>
            </w:r>
            <w:r>
              <w:rPr>
                <w:rFonts w:hint="eastAsia" w:eastAsia="宋体"/>
                <w:bCs/>
              </w:rPr>
              <w:t xml:space="preserve"> </w:t>
            </w:r>
            <w:r>
              <w:rPr>
                <w:rFonts w:eastAsia="宋体"/>
                <w:bCs/>
              </w:rPr>
              <w:t>± 0.0034</w:t>
            </w:r>
          </w:p>
        </w:tc>
        <w:tc>
          <w:tcPr>
            <w:tcW w:w="1328" w:type="dxa"/>
          </w:tcPr>
          <w:p>
            <w:pPr>
              <w:pStyle w:val="59"/>
              <w:rPr>
                <w:rFonts w:eastAsia="宋体"/>
                <w:bCs/>
              </w:rPr>
            </w:pPr>
            <w:r>
              <w:rPr>
                <w:rFonts w:eastAsia="宋体"/>
                <w:bCs/>
              </w:rPr>
              <w:t>0.2122</w:t>
            </w:r>
            <w:r>
              <w:rPr>
                <w:rFonts w:hint="eastAsia" w:eastAsia="宋体"/>
                <w:bCs/>
              </w:rPr>
              <w:t xml:space="preserve"> </w:t>
            </w:r>
            <w:r>
              <w:rPr>
                <w:rFonts w:eastAsia="宋体"/>
                <w:bCs/>
              </w:rPr>
              <w:t>± 0.0268</w:t>
            </w:r>
          </w:p>
        </w:tc>
        <w:tc>
          <w:tcPr>
            <w:tcW w:w="1328" w:type="dxa"/>
          </w:tcPr>
          <w:p>
            <w:pPr>
              <w:pStyle w:val="59"/>
              <w:rPr>
                <w:rFonts w:eastAsia="宋体"/>
                <w:bCs/>
              </w:rPr>
            </w:pPr>
            <w:r>
              <w:rPr>
                <w:rFonts w:eastAsia="宋体"/>
                <w:bCs/>
              </w:rPr>
              <w:t>0.0493</w:t>
            </w:r>
            <w:r>
              <w:rPr>
                <w:rFonts w:hint="eastAsia" w:eastAsia="宋体"/>
                <w:bCs/>
              </w:rPr>
              <w:t xml:space="preserve"> </w:t>
            </w:r>
            <w:r>
              <w:rPr>
                <w:rFonts w:eastAsia="宋体"/>
                <w:bCs/>
              </w:rPr>
              <w:t>± 0.0197</w:t>
            </w:r>
          </w:p>
        </w:tc>
        <w:tc>
          <w:tcPr>
            <w:tcW w:w="1328" w:type="dxa"/>
          </w:tcPr>
          <w:p>
            <w:pPr>
              <w:pStyle w:val="59"/>
              <w:rPr>
                <w:rFonts w:eastAsia="宋体"/>
                <w:bCs/>
              </w:rPr>
            </w:pPr>
            <w:r>
              <w:rPr>
                <w:rFonts w:eastAsia="宋体"/>
                <w:bCs/>
              </w:rPr>
              <w:t>7.4321</w:t>
            </w:r>
            <w:r>
              <w:rPr>
                <w:rFonts w:hint="eastAsia" w:eastAsia="宋体"/>
                <w:bCs/>
              </w:rPr>
              <w:t xml:space="preserve"> </w:t>
            </w:r>
            <w:r>
              <w:rPr>
                <w:rFonts w:eastAsia="宋体"/>
                <w:bCs/>
              </w:rPr>
              <w:t>± 0.6083</w:t>
            </w:r>
          </w:p>
        </w:tc>
        <w:tc>
          <w:tcPr>
            <w:tcW w:w="1413" w:type="dxa"/>
          </w:tcPr>
          <w:p>
            <w:pPr>
              <w:pStyle w:val="59"/>
              <w:rPr>
                <w:rFonts w:eastAsia="宋体"/>
                <w:bCs/>
              </w:rPr>
            </w:pPr>
            <w:r>
              <w:rPr>
                <w:rFonts w:eastAsia="宋体"/>
                <w:bCs/>
              </w:rPr>
              <w:t>12.1679</w:t>
            </w:r>
            <w:r>
              <w:rPr>
                <w:rFonts w:hint="eastAsia" w:eastAsia="宋体"/>
                <w:bCs/>
              </w:rPr>
              <w:t xml:space="preserve"> </w:t>
            </w:r>
            <w:r>
              <w:rPr>
                <w:rFonts w:eastAsia="宋体"/>
                <w:bCs/>
              </w:rPr>
              <w:t>± 2.0946</w:t>
            </w:r>
          </w:p>
        </w:tc>
        <w:tc>
          <w:tcPr>
            <w:tcW w:w="1496" w:type="dxa"/>
          </w:tcPr>
          <w:p>
            <w:pPr>
              <w:pStyle w:val="59"/>
              <w:rPr>
                <w:rFonts w:eastAsia="宋体"/>
                <w:bCs/>
              </w:rPr>
            </w:pPr>
            <w:r>
              <w:rPr>
                <w:rFonts w:eastAsia="宋体"/>
                <w:bCs/>
              </w:rPr>
              <w:t>16.0063</w:t>
            </w:r>
            <w:r>
              <w:rPr>
                <w:rFonts w:hint="eastAsia" w:eastAsia="宋体"/>
                <w:bCs/>
              </w:rPr>
              <w:t xml:space="preserve"> </w:t>
            </w:r>
            <w:r>
              <w:rPr>
                <w:rFonts w:eastAsia="宋体"/>
                <w:bCs/>
              </w:rPr>
              <w:t>± 3.4738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00" w:type="dxa"/>
          </w:tcPr>
          <w:p>
            <w:pPr>
              <w:pStyle w:val="59"/>
              <w:rPr>
                <w:rFonts w:eastAsia="宋体"/>
              </w:rPr>
            </w:pPr>
            <w:r>
              <w:rPr>
                <w:rFonts w:eastAsia="宋体"/>
              </w:rPr>
              <w:t>Kaempferol-glucopyranoside</w:t>
            </w:r>
          </w:p>
        </w:tc>
        <w:tc>
          <w:tcPr>
            <w:tcW w:w="1328" w:type="dxa"/>
          </w:tcPr>
          <w:p>
            <w:pPr>
              <w:pStyle w:val="59"/>
              <w:rPr>
                <w:rFonts w:eastAsia="宋体"/>
                <w:bCs/>
              </w:rPr>
            </w:pPr>
            <w:r>
              <w:rPr>
                <w:rFonts w:eastAsia="宋体"/>
                <w:bCs/>
              </w:rPr>
              <w:t>ND</w:t>
            </w:r>
          </w:p>
        </w:tc>
        <w:tc>
          <w:tcPr>
            <w:tcW w:w="1328" w:type="dxa"/>
          </w:tcPr>
          <w:p>
            <w:pPr>
              <w:pStyle w:val="59"/>
              <w:rPr>
                <w:rFonts w:eastAsia="宋体"/>
                <w:bCs/>
              </w:rPr>
            </w:pPr>
            <w:r>
              <w:rPr>
                <w:rFonts w:eastAsia="宋体"/>
                <w:bCs/>
              </w:rPr>
              <w:t>0.1032</w:t>
            </w:r>
            <w:r>
              <w:rPr>
                <w:rFonts w:hint="eastAsia" w:eastAsia="宋体"/>
                <w:bCs/>
              </w:rPr>
              <w:t xml:space="preserve"> </w:t>
            </w:r>
            <w:r>
              <w:rPr>
                <w:rFonts w:eastAsia="宋体"/>
                <w:bCs/>
              </w:rPr>
              <w:t>± 0.0131</w:t>
            </w:r>
          </w:p>
        </w:tc>
        <w:tc>
          <w:tcPr>
            <w:tcW w:w="1328" w:type="dxa"/>
          </w:tcPr>
          <w:p>
            <w:pPr>
              <w:pStyle w:val="59"/>
              <w:rPr>
                <w:rFonts w:eastAsia="宋体"/>
                <w:bCs/>
              </w:rPr>
            </w:pPr>
            <w:r>
              <w:rPr>
                <w:rFonts w:eastAsia="宋体"/>
                <w:bCs/>
              </w:rPr>
              <w:t>ND</w:t>
            </w:r>
          </w:p>
        </w:tc>
        <w:tc>
          <w:tcPr>
            <w:tcW w:w="1328" w:type="dxa"/>
          </w:tcPr>
          <w:p>
            <w:pPr>
              <w:pStyle w:val="59"/>
              <w:rPr>
                <w:rFonts w:eastAsia="宋体"/>
                <w:bCs/>
              </w:rPr>
            </w:pPr>
            <w:r>
              <w:rPr>
                <w:rFonts w:eastAsia="宋体"/>
                <w:bCs/>
              </w:rPr>
              <w:t>1.4398</w:t>
            </w:r>
            <w:r>
              <w:rPr>
                <w:rFonts w:hint="eastAsia" w:eastAsia="宋体"/>
                <w:bCs/>
              </w:rPr>
              <w:t xml:space="preserve"> </w:t>
            </w:r>
            <w:r>
              <w:rPr>
                <w:rFonts w:eastAsia="宋体"/>
                <w:bCs/>
              </w:rPr>
              <w:t>± 0.3965</w:t>
            </w:r>
          </w:p>
        </w:tc>
        <w:tc>
          <w:tcPr>
            <w:tcW w:w="1413" w:type="dxa"/>
          </w:tcPr>
          <w:p>
            <w:pPr>
              <w:pStyle w:val="59"/>
              <w:rPr>
                <w:rFonts w:eastAsia="宋体"/>
                <w:bCs/>
              </w:rPr>
            </w:pPr>
            <w:r>
              <w:rPr>
                <w:rFonts w:eastAsia="宋体"/>
                <w:bCs/>
              </w:rPr>
              <w:t>0.8898</w:t>
            </w:r>
            <w:r>
              <w:rPr>
                <w:rFonts w:hint="eastAsia" w:eastAsia="宋体"/>
                <w:bCs/>
              </w:rPr>
              <w:t xml:space="preserve"> </w:t>
            </w:r>
            <w:r>
              <w:rPr>
                <w:rFonts w:eastAsia="宋体"/>
                <w:bCs/>
              </w:rPr>
              <w:t>± 0.1120</w:t>
            </w:r>
          </w:p>
        </w:tc>
        <w:tc>
          <w:tcPr>
            <w:tcW w:w="1496" w:type="dxa"/>
          </w:tcPr>
          <w:p>
            <w:pPr>
              <w:pStyle w:val="59"/>
              <w:rPr>
                <w:rFonts w:eastAsia="宋体"/>
                <w:bCs/>
              </w:rPr>
            </w:pPr>
            <w:r>
              <w:rPr>
                <w:rFonts w:eastAsia="宋体"/>
                <w:bCs/>
              </w:rPr>
              <w:t>1.0927</w:t>
            </w:r>
            <w:r>
              <w:rPr>
                <w:rFonts w:hint="eastAsia" w:eastAsia="宋体"/>
                <w:bCs/>
              </w:rPr>
              <w:t xml:space="preserve"> </w:t>
            </w:r>
            <w:r>
              <w:rPr>
                <w:rFonts w:eastAsia="宋体"/>
                <w:bCs/>
              </w:rPr>
              <w:t>± 0.3114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00" w:type="dxa"/>
          </w:tcPr>
          <w:p>
            <w:pPr>
              <w:pStyle w:val="59"/>
              <w:rPr>
                <w:rFonts w:eastAsia="宋体"/>
              </w:rPr>
            </w:pPr>
            <w:r>
              <w:rPr>
                <w:rFonts w:eastAsia="宋体"/>
                <w:bCs/>
              </w:rPr>
              <w:t>Naringin</w:t>
            </w:r>
          </w:p>
        </w:tc>
        <w:tc>
          <w:tcPr>
            <w:tcW w:w="1328" w:type="dxa"/>
          </w:tcPr>
          <w:p>
            <w:pPr>
              <w:pStyle w:val="59"/>
              <w:rPr>
                <w:rFonts w:eastAsia="宋体"/>
                <w:bCs/>
              </w:rPr>
            </w:pPr>
            <w:r>
              <w:rPr>
                <w:rFonts w:eastAsia="宋体"/>
                <w:bCs/>
              </w:rPr>
              <w:t>ND</w:t>
            </w:r>
          </w:p>
        </w:tc>
        <w:tc>
          <w:tcPr>
            <w:tcW w:w="1328" w:type="dxa"/>
          </w:tcPr>
          <w:p>
            <w:pPr>
              <w:pStyle w:val="59"/>
              <w:rPr>
                <w:rFonts w:eastAsia="宋体"/>
                <w:bCs/>
              </w:rPr>
            </w:pPr>
            <w:r>
              <w:rPr>
                <w:rFonts w:eastAsia="宋体"/>
                <w:bCs/>
              </w:rPr>
              <w:t>ND</w:t>
            </w:r>
          </w:p>
        </w:tc>
        <w:tc>
          <w:tcPr>
            <w:tcW w:w="1328" w:type="dxa"/>
          </w:tcPr>
          <w:p>
            <w:pPr>
              <w:pStyle w:val="59"/>
              <w:rPr>
                <w:rFonts w:eastAsia="宋体"/>
                <w:bCs/>
              </w:rPr>
            </w:pPr>
            <w:r>
              <w:rPr>
                <w:rFonts w:eastAsia="宋体"/>
                <w:bCs/>
              </w:rPr>
              <w:t>ND</w:t>
            </w:r>
          </w:p>
        </w:tc>
        <w:tc>
          <w:tcPr>
            <w:tcW w:w="1328" w:type="dxa"/>
          </w:tcPr>
          <w:p>
            <w:pPr>
              <w:pStyle w:val="59"/>
              <w:rPr>
                <w:rFonts w:eastAsia="宋体"/>
                <w:bCs/>
              </w:rPr>
            </w:pPr>
            <w:r>
              <w:rPr>
                <w:rFonts w:eastAsia="宋体"/>
                <w:bCs/>
              </w:rPr>
              <w:t>1.3620</w:t>
            </w:r>
            <w:r>
              <w:rPr>
                <w:rFonts w:hint="eastAsia" w:eastAsia="宋体"/>
                <w:bCs/>
              </w:rPr>
              <w:t xml:space="preserve"> </w:t>
            </w:r>
            <w:r>
              <w:rPr>
                <w:rFonts w:eastAsia="宋体"/>
                <w:bCs/>
              </w:rPr>
              <w:t>± 0.4234</w:t>
            </w:r>
          </w:p>
        </w:tc>
        <w:tc>
          <w:tcPr>
            <w:tcW w:w="1413" w:type="dxa"/>
          </w:tcPr>
          <w:p>
            <w:pPr>
              <w:pStyle w:val="59"/>
              <w:rPr>
                <w:rFonts w:eastAsia="宋体"/>
                <w:bCs/>
              </w:rPr>
            </w:pPr>
            <w:r>
              <w:rPr>
                <w:rFonts w:eastAsia="宋体"/>
                <w:bCs/>
              </w:rPr>
              <w:t>1.4423</w:t>
            </w:r>
            <w:r>
              <w:rPr>
                <w:rFonts w:hint="eastAsia" w:eastAsia="宋体"/>
                <w:bCs/>
              </w:rPr>
              <w:t xml:space="preserve"> </w:t>
            </w:r>
            <w:r>
              <w:rPr>
                <w:rFonts w:eastAsia="宋体"/>
                <w:bCs/>
              </w:rPr>
              <w:t>± 0.1459</w:t>
            </w:r>
          </w:p>
        </w:tc>
        <w:tc>
          <w:tcPr>
            <w:tcW w:w="1496" w:type="dxa"/>
          </w:tcPr>
          <w:p>
            <w:pPr>
              <w:pStyle w:val="59"/>
              <w:rPr>
                <w:rFonts w:eastAsia="宋体"/>
                <w:bCs/>
              </w:rPr>
            </w:pPr>
            <w:r>
              <w:rPr>
                <w:rFonts w:eastAsia="宋体"/>
                <w:bCs/>
              </w:rPr>
              <w:t>0.9575</w:t>
            </w:r>
            <w:r>
              <w:rPr>
                <w:rFonts w:hint="eastAsia" w:eastAsia="宋体"/>
                <w:bCs/>
              </w:rPr>
              <w:t xml:space="preserve"> </w:t>
            </w:r>
            <w:r>
              <w:rPr>
                <w:rFonts w:eastAsia="宋体"/>
                <w:bCs/>
              </w:rPr>
              <w:t>± 0.1395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00" w:type="dxa"/>
          </w:tcPr>
          <w:p>
            <w:pPr>
              <w:pStyle w:val="59"/>
              <w:rPr>
                <w:rFonts w:eastAsia="宋体"/>
              </w:rPr>
            </w:pPr>
            <w:r>
              <w:rPr>
                <w:rFonts w:eastAsia="宋体"/>
                <w:bCs/>
              </w:rPr>
              <w:t>Isoliquiritigenin</w:t>
            </w:r>
          </w:p>
        </w:tc>
        <w:tc>
          <w:tcPr>
            <w:tcW w:w="1328" w:type="dxa"/>
          </w:tcPr>
          <w:p>
            <w:pPr>
              <w:pStyle w:val="59"/>
              <w:rPr>
                <w:rFonts w:eastAsia="宋体"/>
                <w:bCs/>
              </w:rPr>
            </w:pPr>
            <w:r>
              <w:rPr>
                <w:rFonts w:eastAsia="宋体"/>
                <w:bCs/>
              </w:rPr>
              <w:t>0.0108</w:t>
            </w:r>
            <w:r>
              <w:rPr>
                <w:rFonts w:hint="eastAsia" w:eastAsia="宋体"/>
                <w:bCs/>
              </w:rPr>
              <w:t xml:space="preserve"> </w:t>
            </w:r>
            <w:r>
              <w:rPr>
                <w:rFonts w:eastAsia="宋体"/>
                <w:bCs/>
              </w:rPr>
              <w:t>± 0.0030</w:t>
            </w:r>
          </w:p>
        </w:tc>
        <w:tc>
          <w:tcPr>
            <w:tcW w:w="1328" w:type="dxa"/>
          </w:tcPr>
          <w:p>
            <w:pPr>
              <w:pStyle w:val="59"/>
              <w:rPr>
                <w:rFonts w:eastAsia="宋体"/>
                <w:bCs/>
              </w:rPr>
            </w:pPr>
            <w:r>
              <w:rPr>
                <w:rFonts w:eastAsia="宋体"/>
                <w:bCs/>
              </w:rPr>
              <w:t>0.0132</w:t>
            </w:r>
            <w:r>
              <w:rPr>
                <w:rFonts w:hint="eastAsia" w:eastAsia="宋体"/>
                <w:bCs/>
              </w:rPr>
              <w:t xml:space="preserve"> </w:t>
            </w:r>
            <w:r>
              <w:rPr>
                <w:rFonts w:eastAsia="宋体"/>
                <w:bCs/>
              </w:rPr>
              <w:t>± 0.0024</w:t>
            </w:r>
          </w:p>
        </w:tc>
        <w:tc>
          <w:tcPr>
            <w:tcW w:w="1328" w:type="dxa"/>
          </w:tcPr>
          <w:p>
            <w:pPr>
              <w:pStyle w:val="59"/>
              <w:rPr>
                <w:rFonts w:eastAsia="宋体"/>
                <w:bCs/>
              </w:rPr>
            </w:pPr>
            <w:r>
              <w:rPr>
                <w:rFonts w:eastAsia="宋体"/>
                <w:bCs/>
              </w:rPr>
              <w:t>0.0105</w:t>
            </w:r>
            <w:r>
              <w:rPr>
                <w:rFonts w:hint="eastAsia" w:eastAsia="宋体"/>
                <w:bCs/>
              </w:rPr>
              <w:t xml:space="preserve"> </w:t>
            </w:r>
            <w:r>
              <w:rPr>
                <w:rFonts w:eastAsia="宋体"/>
                <w:bCs/>
              </w:rPr>
              <w:t>± 0.0016</w:t>
            </w:r>
          </w:p>
        </w:tc>
        <w:tc>
          <w:tcPr>
            <w:tcW w:w="1328" w:type="dxa"/>
          </w:tcPr>
          <w:p>
            <w:pPr>
              <w:pStyle w:val="59"/>
              <w:rPr>
                <w:rFonts w:eastAsia="宋体"/>
                <w:bCs/>
              </w:rPr>
            </w:pPr>
            <w:r>
              <w:rPr>
                <w:rFonts w:eastAsia="宋体"/>
                <w:bCs/>
              </w:rPr>
              <w:t>0.0236</w:t>
            </w:r>
            <w:r>
              <w:rPr>
                <w:rFonts w:hint="eastAsia" w:eastAsia="宋体"/>
                <w:bCs/>
              </w:rPr>
              <w:t xml:space="preserve"> </w:t>
            </w:r>
            <w:r>
              <w:rPr>
                <w:rFonts w:eastAsia="宋体"/>
                <w:bCs/>
              </w:rPr>
              <w:t>± 0.0067</w:t>
            </w:r>
          </w:p>
        </w:tc>
        <w:tc>
          <w:tcPr>
            <w:tcW w:w="1413" w:type="dxa"/>
          </w:tcPr>
          <w:p>
            <w:pPr>
              <w:pStyle w:val="59"/>
              <w:rPr>
                <w:rFonts w:eastAsia="宋体"/>
                <w:bCs/>
              </w:rPr>
            </w:pPr>
            <w:r>
              <w:rPr>
                <w:rFonts w:eastAsia="宋体"/>
                <w:bCs/>
              </w:rPr>
              <w:t>0.0170</w:t>
            </w:r>
            <w:r>
              <w:rPr>
                <w:rFonts w:hint="eastAsia" w:eastAsia="宋体"/>
                <w:bCs/>
              </w:rPr>
              <w:t xml:space="preserve"> </w:t>
            </w:r>
            <w:r>
              <w:rPr>
                <w:rFonts w:eastAsia="宋体"/>
                <w:bCs/>
              </w:rPr>
              <w:t>± 0.0023</w:t>
            </w:r>
          </w:p>
        </w:tc>
        <w:tc>
          <w:tcPr>
            <w:tcW w:w="1496" w:type="dxa"/>
          </w:tcPr>
          <w:p>
            <w:pPr>
              <w:pStyle w:val="59"/>
              <w:rPr>
                <w:rFonts w:eastAsia="宋体"/>
                <w:bCs/>
              </w:rPr>
            </w:pPr>
            <w:r>
              <w:rPr>
                <w:rFonts w:eastAsia="宋体"/>
                <w:bCs/>
              </w:rPr>
              <w:t>0.0268</w:t>
            </w:r>
            <w:r>
              <w:rPr>
                <w:rFonts w:hint="eastAsia" w:eastAsia="宋体"/>
                <w:bCs/>
              </w:rPr>
              <w:t xml:space="preserve"> </w:t>
            </w:r>
            <w:r>
              <w:rPr>
                <w:rFonts w:eastAsia="宋体"/>
                <w:bCs/>
              </w:rPr>
              <w:t>± 0.0039</w:t>
            </w:r>
          </w:p>
        </w:tc>
      </w:tr>
    </w:tbl>
    <w:p>
      <w:pPr>
        <w:pStyle w:val="68"/>
        <w:rPr>
          <w:rFonts w:eastAsia="宋体"/>
          <w:lang w:eastAsia="zh-CN"/>
        </w:rPr>
      </w:pPr>
      <w:r>
        <w:rPr>
          <w:rFonts w:eastAsia="宋体"/>
        </w:rPr>
        <w:t>ND,</w:t>
      </w:r>
      <w:r>
        <w:rPr>
          <w:rFonts w:eastAsia="宋体"/>
          <w:b/>
        </w:rPr>
        <w:t xml:space="preserve"> </w:t>
      </w:r>
      <w:r>
        <w:rPr>
          <w:rFonts w:eastAsia="宋体"/>
        </w:rPr>
        <w:t>not detected (n = 3).</w:t>
      </w:r>
    </w:p>
    <w:p>
      <w:pPr>
        <w:pStyle w:val="38"/>
        <w:rPr>
          <w:lang w:val="en-US" w:eastAsia="zh-CN"/>
        </w:rPr>
      </w:pPr>
      <w:r>
        <w:rPr>
          <w:lang w:val="en-US" w:eastAsia="zh-CN"/>
        </w:rPr>
        <w:drawing>
          <wp:inline distT="0" distB="0" distL="0" distR="0">
            <wp:extent cx="4171950" cy="3023870"/>
            <wp:effectExtent l="0" t="0" r="0" b="508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3"/>
                    <a:stretch>
                      <a:fillRect/>
                    </a:stretch>
                  </pic:blipFill>
                  <pic:spPr>
                    <a:xfrm>
                      <a:off x="0" y="0"/>
                      <a:ext cx="4172400" cy="3024000"/>
                    </a:xfrm>
                    <a:prstGeom prst="rect">
                      <a:avLst/>
                    </a:prstGeom>
                  </pic:spPr>
                </pic:pic>
              </a:graphicData>
            </a:graphic>
          </wp:inline>
        </w:drawing>
      </w:r>
    </w:p>
    <w:p>
      <w:pPr>
        <w:pStyle w:val="91"/>
        <w:rPr>
          <w:lang w:val="en-US" w:eastAsia="zh-CN"/>
        </w:rPr>
      </w:pPr>
      <w:r>
        <w:rPr>
          <w:rFonts w:hint="eastAsia"/>
          <w:b/>
          <w:lang w:val="en-US" w:eastAsia="zh-CN"/>
        </w:rPr>
        <w:t>Fig. 3</w:t>
      </w:r>
      <w:r>
        <w:rPr>
          <w:rFonts w:hint="eastAsia"/>
          <w:lang w:val="en-US" w:eastAsia="zh-CN"/>
        </w:rPr>
        <w:t xml:space="preserve"> </w:t>
      </w:r>
      <w:r>
        <w:rPr>
          <w:lang w:val="en-US" w:eastAsia="zh-CN"/>
        </w:rPr>
        <w:t>Quantification of seven flavonoids in transgenic and control tobacco lines by HPLC-MS ESI</w:t>
      </w:r>
      <w:r>
        <w:rPr>
          <w:vertAlign w:val="superscript"/>
          <w:lang w:val="en-US" w:eastAsia="zh-CN"/>
        </w:rPr>
        <w:t>+</w:t>
      </w:r>
      <w:r>
        <w:rPr>
          <w:lang w:val="en-US" w:eastAsia="zh-CN"/>
        </w:rPr>
        <w:t>.</w:t>
      </w:r>
    </w:p>
    <w:p>
      <w:pPr>
        <w:pStyle w:val="31"/>
        <w:rPr>
          <w:color w:val="000000" w:themeColor="text1"/>
          <w:lang w:val="en-US" w:eastAsia="zh-CN"/>
          <w14:textFill>
            <w14:solidFill>
              <w14:schemeClr w14:val="tx1"/>
            </w14:solidFill>
          </w14:textFill>
        </w:rPr>
        <w:sectPr>
          <w:type w:val="continuous"/>
          <w:pgSz w:w="11907" w:h="16840"/>
          <w:pgMar w:top="1009" w:right="851" w:bottom="1758" w:left="851" w:header="851" w:footer="1049" w:gutter="0"/>
          <w:cols w:space="227" w:num="1"/>
          <w:docGrid w:linePitch="360" w:charSpace="0"/>
        </w:sectPr>
      </w:pPr>
    </w:p>
    <w:p>
      <w:pPr>
        <w:pStyle w:val="31"/>
        <w:rPr>
          <w:color w:val="000000" w:themeColor="text1"/>
          <w:lang w:val="en-US" w:eastAsia="zh-CN"/>
          <w14:textFill>
            <w14:solidFill>
              <w14:schemeClr w14:val="tx1"/>
            </w14:solidFill>
          </w14:textFill>
        </w:rPr>
      </w:pPr>
      <w:r>
        <w:rPr>
          <w:color w:val="000000" w:themeColor="text1"/>
          <w:lang w:val="en-US"/>
          <w14:textFill>
            <w14:solidFill>
              <w14:schemeClr w14:val="tx1"/>
            </w14:solidFill>
          </w14:textFill>
        </w:rPr>
        <w:t>compared to control plants after 14 d (Fig. 4a). To further characterize the performance of transgenic tobacco plants under drought stress, changes in the concentrations of RWC, MDA, and H</w:t>
      </w:r>
      <w:r>
        <w:rPr>
          <w:color w:val="000000" w:themeColor="text1"/>
          <w:vertAlign w:val="subscript"/>
          <w:lang w:val="en-US"/>
          <w14:textFill>
            <w14:solidFill>
              <w14:schemeClr w14:val="tx1"/>
            </w14:solidFill>
          </w14:textFill>
        </w:rPr>
        <w:t>2</w:t>
      </w:r>
      <w:r>
        <w:rPr>
          <w:color w:val="000000" w:themeColor="text1"/>
          <w:lang w:val="en-US"/>
          <w14:textFill>
            <w14:solidFill>
              <w14:schemeClr w14:val="tx1"/>
            </w14:solidFill>
          </w14:textFill>
        </w:rPr>
        <w:t>O</w:t>
      </w:r>
      <w:r>
        <w:rPr>
          <w:color w:val="000000" w:themeColor="text1"/>
          <w:vertAlign w:val="subscript"/>
          <w:lang w:val="en-US"/>
          <w14:textFill>
            <w14:solidFill>
              <w14:schemeClr w14:val="tx1"/>
            </w14:solidFill>
          </w14:textFill>
        </w:rPr>
        <w:t>2</w:t>
      </w:r>
      <w:r>
        <w:rPr>
          <w:color w:val="000000" w:themeColor="text1"/>
          <w:lang w:val="en-US"/>
          <w14:textFill>
            <w14:solidFill>
              <w14:schemeClr w14:val="tx1"/>
            </w14:solidFill>
          </w14:textFill>
        </w:rPr>
        <w:t xml:space="preserve"> were monitored before and</w:t>
      </w:r>
      <w:bookmarkStart w:id="68" w:name="OLE_LINK60"/>
      <w:bookmarkStart w:id="69" w:name="OLE_LINK62"/>
      <w:r>
        <w:rPr>
          <w:color w:val="000000" w:themeColor="text1"/>
          <w:lang w:val="en-US"/>
          <w14:textFill>
            <w14:solidFill>
              <w14:schemeClr w14:val="tx1"/>
            </w14:solidFill>
          </w14:textFill>
        </w:rPr>
        <w:t xml:space="preserve"> after drought treatment</w:t>
      </w:r>
      <w:bookmarkEnd w:id="68"/>
      <w:bookmarkEnd w:id="69"/>
      <w:r>
        <w:rPr>
          <w:color w:val="000000" w:themeColor="text1"/>
          <w:lang w:val="en-US"/>
          <w14:textFill>
            <w14:solidFill>
              <w14:schemeClr w14:val="tx1"/>
            </w14:solidFill>
          </w14:textFill>
        </w:rPr>
        <w:t>. After 14 d of water shortage, the RWCs of the three transgenic lines were significantly higher compared to the control plants (</w:t>
      </w:r>
      <w:r>
        <w:rPr>
          <w:i/>
          <w:color w:val="000000" w:themeColor="text1"/>
          <w:lang w:val="en-US"/>
          <w14:textFill>
            <w14:solidFill>
              <w14:schemeClr w14:val="tx1"/>
            </w14:solidFill>
          </w14:textFill>
        </w:rPr>
        <w:t>p</w:t>
      </w:r>
      <w:r>
        <w:rPr>
          <w:color w:val="000000" w:themeColor="text1"/>
          <w:lang w:val="en-US"/>
          <w14:textFill>
            <w14:solidFill>
              <w14:schemeClr w14:val="tx1"/>
            </w14:solidFill>
          </w14:textFill>
        </w:rPr>
        <w:t xml:space="preserve"> &lt; 0.01) (Fig. </w:t>
      </w:r>
      <w:r>
        <w:rPr>
          <w:rFonts w:hint="eastAsia"/>
          <w:color w:val="000000" w:themeColor="text1"/>
          <w:lang w:val="en-US"/>
          <w14:textFill>
            <w14:solidFill>
              <w14:schemeClr w14:val="tx1"/>
            </w14:solidFill>
          </w14:textFill>
        </w:rPr>
        <w:t>4</w:t>
      </w:r>
      <w:r>
        <w:rPr>
          <w:color w:val="000000" w:themeColor="text1"/>
          <w:lang w:val="en-US"/>
          <w14:textFill>
            <w14:solidFill>
              <w14:schemeClr w14:val="tx1"/>
            </w14:solidFill>
          </w14:textFill>
        </w:rPr>
        <w:t xml:space="preserve">b). Leaf MDA concentrations also increased in transgenic and control tobacco plants following drought stress (Fig. </w:t>
      </w:r>
      <w:r>
        <w:rPr>
          <w:rFonts w:hint="eastAsia"/>
          <w:color w:val="000000" w:themeColor="text1"/>
          <w:lang w:val="en-US"/>
          <w14:textFill>
            <w14:solidFill>
              <w14:schemeClr w14:val="tx1"/>
            </w14:solidFill>
          </w14:textFill>
        </w:rPr>
        <w:t>4</w:t>
      </w:r>
      <w:r>
        <w:rPr>
          <w:color w:val="000000" w:themeColor="text1"/>
          <w:lang w:val="en-US"/>
          <w14:textFill>
            <w14:solidFill>
              <w14:schemeClr w14:val="tx1"/>
            </w14:solidFill>
          </w14:textFill>
        </w:rPr>
        <w:t>c). The concentrations of ROS were not significantly different under drought treatment conditions. However, control tobacco plants had higher concentrations of H</w:t>
      </w:r>
      <w:r>
        <w:rPr>
          <w:color w:val="000000" w:themeColor="text1"/>
          <w:vertAlign w:val="subscript"/>
          <w:lang w:val="en-US"/>
          <w14:textFill>
            <w14:solidFill>
              <w14:schemeClr w14:val="tx1"/>
            </w14:solidFill>
          </w14:textFill>
        </w:rPr>
        <w:t>2</w:t>
      </w:r>
      <w:r>
        <w:rPr>
          <w:color w:val="000000" w:themeColor="text1"/>
          <w:lang w:val="en-US"/>
          <w14:textFill>
            <w14:solidFill>
              <w14:schemeClr w14:val="tx1"/>
            </w14:solidFill>
          </w14:textFill>
        </w:rPr>
        <w:t>O</w:t>
      </w:r>
      <w:r>
        <w:rPr>
          <w:color w:val="000000" w:themeColor="text1"/>
          <w:vertAlign w:val="subscript"/>
          <w:lang w:val="en-US"/>
          <w14:textFill>
            <w14:solidFill>
              <w14:schemeClr w14:val="tx1"/>
            </w14:solidFill>
          </w14:textFill>
        </w:rPr>
        <w:t>2</w:t>
      </w:r>
      <w:r>
        <w:rPr>
          <w:color w:val="000000" w:themeColor="text1"/>
          <w:lang w:val="en-US"/>
          <w14:textFill>
            <w14:solidFill>
              <w14:schemeClr w14:val="tx1"/>
            </w14:solidFill>
          </w14:textFill>
        </w:rPr>
        <w:t xml:space="preserve"> compared to transgenic plants under drought treatment conditions (Fig. </w:t>
      </w:r>
      <w:r>
        <w:rPr>
          <w:rFonts w:hint="eastAsia"/>
          <w:color w:val="000000" w:themeColor="text1"/>
          <w:lang w:val="en-US"/>
          <w14:textFill>
            <w14:solidFill>
              <w14:schemeClr w14:val="tx1"/>
            </w14:solidFill>
          </w14:textFill>
        </w:rPr>
        <w:t>4</w:t>
      </w:r>
      <w:r>
        <w:rPr>
          <w:color w:val="000000" w:themeColor="text1"/>
          <w:lang w:val="en-US"/>
          <w14:textFill>
            <w14:solidFill>
              <w14:schemeClr w14:val="tx1"/>
            </w14:solidFill>
          </w14:textFill>
        </w:rPr>
        <w:t>d).</w:t>
      </w:r>
    </w:p>
    <w:p>
      <w:pPr>
        <w:pStyle w:val="84"/>
        <w:rPr>
          <w:color w:val="000000" w:themeColor="text1"/>
          <w:w w:val="108"/>
          <w:lang w:val="en-US"/>
          <w14:textFill>
            <w14:solidFill>
              <w14:schemeClr w14:val="tx1"/>
            </w14:solidFill>
          </w14:textFill>
        </w:rPr>
      </w:pPr>
      <w:r>
        <w:rPr>
          <w:color w:val="000000" w:themeColor="text1"/>
          <w:w w:val="108"/>
          <w:lang w:val="en-US"/>
          <w14:textFill>
            <w14:solidFill>
              <w14:schemeClr w14:val="tx1"/>
            </w14:solidFill>
          </w14:textFill>
        </w:rPr>
        <w:t>3.5</w:t>
      </w:r>
      <w:r>
        <w:rPr>
          <w:rFonts w:hint="eastAsia"/>
          <w:color w:val="000000" w:themeColor="text1"/>
          <w:w w:val="108"/>
          <w:lang w:val="en-US"/>
          <w14:textFill>
            <w14:solidFill>
              <w14:schemeClr w14:val="tx1"/>
            </w14:solidFill>
          </w14:textFill>
        </w:rPr>
        <w:t>.</w:t>
      </w:r>
      <w:r>
        <w:rPr>
          <w:color w:val="000000" w:themeColor="text1"/>
          <w:w w:val="108"/>
          <w:lang w:val="en-US"/>
          <w14:textFill>
            <w14:solidFill>
              <w14:schemeClr w14:val="tx1"/>
            </w14:solidFill>
          </w14:textFill>
        </w:rPr>
        <w:t xml:space="preserve"> Mining of </w:t>
      </w:r>
      <w:r>
        <w:rPr>
          <w:i/>
          <w:color w:val="000000" w:themeColor="text1"/>
          <w:w w:val="108"/>
          <w:lang w:val="en-US"/>
          <w14:textFill>
            <w14:solidFill>
              <w14:schemeClr w14:val="tx1"/>
            </w14:solidFill>
          </w14:textFill>
        </w:rPr>
        <w:t>CHS</w:t>
      </w:r>
      <w:r>
        <w:rPr>
          <w:color w:val="000000" w:themeColor="text1"/>
          <w:w w:val="108"/>
          <w:lang w:val="en-US"/>
          <w14:textFill>
            <w14:solidFill>
              <w14:schemeClr w14:val="tx1"/>
            </w14:solidFill>
          </w14:textFill>
        </w:rPr>
        <w:t xml:space="preserve"> family genes in the tobacco genome</w:t>
      </w:r>
    </w:p>
    <w:p>
      <w:pPr>
        <w:pStyle w:val="31"/>
        <w:rPr>
          <w:color w:val="000000" w:themeColor="text1"/>
          <w:lang w:val="en-US" w:eastAsia="zh-CN"/>
          <w14:textFill>
            <w14:solidFill>
              <w14:schemeClr w14:val="tx1"/>
            </w14:solidFill>
          </w14:textFill>
        </w:rPr>
      </w:pPr>
      <w:r>
        <w:rPr>
          <w:color w:val="000000" w:themeColor="text1"/>
          <w:lang w:val="en-US"/>
          <w14:textFill>
            <w14:solidFill>
              <w14:schemeClr w14:val="tx1"/>
            </w14:solidFill>
          </w14:textFill>
        </w:rPr>
        <w:t xml:space="preserve">Because cDNA we cloned and identified had a role in flavonoid accumulation and drought tolerance, how this gene evolved was investigated and whether there were other </w:t>
      </w:r>
      <w:r>
        <w:rPr>
          <w:i/>
          <w:color w:val="000000" w:themeColor="text1"/>
          <w:lang w:val="en-US"/>
          <w14:textFill>
            <w14:solidFill>
              <w14:schemeClr w14:val="tx1"/>
            </w14:solidFill>
          </w14:textFill>
        </w:rPr>
        <w:t>CHS</w:t>
      </w:r>
      <w:r>
        <w:rPr>
          <w:color w:val="000000" w:themeColor="text1"/>
          <w:lang w:val="en-US"/>
          <w14:textFill>
            <w14:solidFill>
              <w14:schemeClr w14:val="tx1"/>
            </w14:solidFill>
          </w14:textFill>
        </w:rPr>
        <w:t xml:space="preserve"> genes that possess potential relevant functions was explored. Using HMMER with the known tobacco </w:t>
      </w:r>
      <w:r>
        <w:rPr>
          <w:i/>
          <w:color w:val="000000" w:themeColor="text1"/>
          <w:lang w:val="en-US"/>
          <w14:textFill>
            <w14:solidFill>
              <w14:schemeClr w14:val="tx1"/>
            </w14:solidFill>
          </w14:textFill>
        </w:rPr>
        <w:t>CHS</w:t>
      </w:r>
      <w:r>
        <w:rPr>
          <w:color w:val="000000" w:themeColor="text1"/>
          <w:lang w:val="en-US"/>
          <w14:textFill>
            <w14:solidFill>
              <w14:schemeClr w14:val="tx1"/>
            </w14:solidFill>
          </w14:textFill>
        </w:rPr>
        <w:t xml:space="preserve"> gene (accession No.: AF311783.1) as a query, 11 peptides were mined from the tobacco genome, all of which contained two conserved domains (i.e., Pfam ID: PF02797.14 and PF00195.18), which are signatures of </w:t>
      </w:r>
      <w:r>
        <w:rPr>
          <w:i/>
          <w:color w:val="000000" w:themeColor="text1"/>
          <w:lang w:val="en-US"/>
          <w14:textFill>
            <w14:solidFill>
              <w14:schemeClr w14:val="tx1"/>
            </w14:solidFill>
          </w14:textFill>
        </w:rPr>
        <w:t>CHS</w:t>
      </w:r>
      <w:r>
        <w:rPr>
          <w:color w:val="000000" w:themeColor="text1"/>
          <w:lang w:val="en-US"/>
          <w14:textFill>
            <w14:solidFill>
              <w14:schemeClr w14:val="tx1"/>
            </w14:solidFill>
          </w14:textFill>
        </w:rPr>
        <w:t xml:space="preserve"> peptides. One of the mined peptides (accession No. XP_016480648.1) exhibited 100% identity with the gene cloned in this study (AF311783.1), suggesting that the two genes are virtually the same. Additionally, peptides were mined from the genomes of </w:t>
      </w:r>
      <w:r>
        <w:rPr>
          <w:i/>
          <w:color w:val="000000" w:themeColor="text1"/>
          <w:lang w:val="en-US"/>
          <w14:textFill>
            <w14:solidFill>
              <w14:schemeClr w14:val="tx1"/>
            </w14:solidFill>
          </w14:textFill>
        </w:rPr>
        <w:t xml:space="preserve">N. attenuate </w:t>
      </w:r>
      <w:r>
        <w:rPr>
          <w:color w:val="000000" w:themeColor="text1"/>
          <w:lang w:val="en-US"/>
          <w14:textFill>
            <w14:solidFill>
              <w14:schemeClr w14:val="tx1"/>
            </w14:solidFill>
          </w14:textFill>
        </w:rPr>
        <w:t xml:space="preserve">(n = 7), tomato (n = 7), coffee (n = 10), and </w:t>
      </w:r>
      <w:r>
        <w:rPr>
          <w:i/>
          <w:color w:val="000000" w:themeColor="text1"/>
          <w:lang w:val="en-US"/>
          <w14:textFill>
            <w14:solidFill>
              <w14:schemeClr w14:val="tx1"/>
            </w14:solidFill>
          </w14:textFill>
        </w:rPr>
        <w:t>Arabidopsis</w:t>
      </w:r>
      <w:r>
        <w:rPr>
          <w:color w:val="000000" w:themeColor="text1"/>
          <w:lang w:val="en-US"/>
          <w14:textFill>
            <w14:solidFill>
              <w14:schemeClr w14:val="tx1"/>
            </w14:solidFill>
          </w14:textFill>
        </w:rPr>
        <w:t xml:space="preserve"> (n = 4). In total, 35 peptides were mined from four </w:t>
      </w:r>
      <w:r>
        <w:rPr>
          <w:i/>
          <w:color w:val="000000" w:themeColor="text1"/>
          <w:lang w:val="en-US"/>
          <w14:textFill>
            <w14:solidFill>
              <w14:schemeClr w14:val="tx1"/>
            </w14:solidFill>
          </w14:textFill>
        </w:rPr>
        <w:t>Solanaceae</w:t>
      </w:r>
      <w:r>
        <w:rPr>
          <w:color w:val="000000" w:themeColor="text1"/>
          <w:lang w:val="en-US"/>
          <w14:textFill>
            <w14:solidFill>
              <w14:schemeClr w14:val="tx1"/>
            </w14:solidFill>
          </w14:textFill>
        </w:rPr>
        <w:t xml:space="preserve"> genomes.</w:t>
      </w:r>
    </w:p>
    <w:p>
      <w:pPr>
        <w:pStyle w:val="84"/>
        <w:rPr>
          <w:color w:val="000000" w:themeColor="text1"/>
          <w:w w:val="108"/>
          <w:lang w:val="en-US"/>
          <w14:textFill>
            <w14:solidFill>
              <w14:schemeClr w14:val="tx1"/>
            </w14:solidFill>
          </w14:textFill>
        </w:rPr>
      </w:pPr>
      <w:r>
        <w:rPr>
          <w:color w:val="000000" w:themeColor="text1"/>
          <w:w w:val="108"/>
          <w:lang w:val="en-US"/>
          <w14:textFill>
            <w14:solidFill>
              <w14:schemeClr w14:val="tx1"/>
            </w14:solidFill>
          </w14:textFill>
        </w:rPr>
        <w:t>3.6</w:t>
      </w:r>
      <w:r>
        <w:rPr>
          <w:rFonts w:hint="eastAsia"/>
          <w:color w:val="000000" w:themeColor="text1"/>
          <w:w w:val="108"/>
          <w:lang w:val="en-US"/>
          <w14:textFill>
            <w14:solidFill>
              <w14:schemeClr w14:val="tx1"/>
            </w14:solidFill>
          </w14:textFill>
        </w:rPr>
        <w:t>.</w:t>
      </w:r>
      <w:r>
        <w:rPr>
          <w:color w:val="000000" w:themeColor="text1"/>
          <w:w w:val="108"/>
          <w:lang w:val="en-US"/>
          <w14:textFill>
            <w14:solidFill>
              <w14:schemeClr w14:val="tx1"/>
            </w14:solidFill>
          </w14:textFill>
        </w:rPr>
        <w:t xml:space="preserve"> Phylogenetic relationships of </w:t>
      </w:r>
      <w:r>
        <w:rPr>
          <w:i/>
          <w:color w:val="000000" w:themeColor="text1"/>
          <w:w w:val="108"/>
          <w:lang w:val="en-US"/>
          <w14:textFill>
            <w14:solidFill>
              <w14:schemeClr w14:val="tx1"/>
            </w14:solidFill>
          </w14:textFill>
        </w:rPr>
        <w:t>CHS</w:t>
      </w:r>
      <w:r>
        <w:rPr>
          <w:color w:val="000000" w:themeColor="text1"/>
          <w:w w:val="108"/>
          <w:lang w:val="en-US"/>
          <w14:textFill>
            <w14:solidFill>
              <w14:schemeClr w14:val="tx1"/>
            </w14:solidFill>
          </w14:textFill>
        </w:rPr>
        <w:t xml:space="preserve"> peptides</w:t>
      </w:r>
    </w:p>
    <w:p>
      <w:pPr>
        <w:pStyle w:val="31"/>
        <w:rPr>
          <w:color w:val="000000" w:themeColor="text1"/>
          <w:lang w:val="en-US"/>
          <w14:textFill>
            <w14:solidFill>
              <w14:schemeClr w14:val="tx1"/>
            </w14:solidFill>
          </w14:textFill>
        </w:rPr>
      </w:pPr>
      <w:r>
        <w:rPr>
          <w:color w:val="000000" w:themeColor="text1"/>
          <w:lang w:val="en-US"/>
          <w14:textFill>
            <w14:solidFill>
              <w14:schemeClr w14:val="tx1"/>
            </w14:solidFill>
          </w14:textFill>
        </w:rPr>
        <w:t xml:space="preserve">In order to determine the phylogenetic relationships among the mined genes, 39 peptide sequences were aligned and used as input to infer the phylogenetic tree. The resulting tree revealed that the peptides were split into two distinct groups (Fig. 5a). Identity values among the genes within their respective groups were generally considerably higher than those between the two groups (Table 2). Seven of the tobacco peptides clustered together with a </w:t>
      </w:r>
      <w:r>
        <w:rPr>
          <w:i/>
          <w:color w:val="000000" w:themeColor="text1"/>
          <w:lang w:val="en-US"/>
          <w14:textFill>
            <w14:solidFill>
              <w14:schemeClr w14:val="tx1"/>
            </w14:solidFill>
          </w14:textFill>
        </w:rPr>
        <w:t>bona fide Arabidopsis CHS</w:t>
      </w:r>
      <w:r>
        <w:rPr>
          <w:color w:val="000000" w:themeColor="text1"/>
          <w:lang w:val="en-US"/>
          <w14:textFill>
            <w14:solidFill>
              <w14:schemeClr w14:val="tx1"/>
            </w14:solidFill>
          </w14:textFill>
        </w:rPr>
        <w:t xml:space="preserve"> gene (AT5G13930.1) (Fig. 5a</w:t>
      </w:r>
      <w:r>
        <w:rPr>
          <w:rFonts w:hint="eastAsia"/>
          <w:color w:val="000000" w:themeColor="text1"/>
          <w:lang w:val="en-US"/>
          <w14:textFill>
            <w14:solidFill>
              <w14:schemeClr w14:val="tx1"/>
            </w14:solidFill>
          </w14:textFill>
        </w:rPr>
        <w:t>, I</w:t>
      </w:r>
      <w:r>
        <w:rPr>
          <w:color w:val="000000" w:themeColor="text1"/>
          <w:lang w:val="en-US"/>
          <w14:textFill>
            <w14:solidFill>
              <w14:schemeClr w14:val="tx1"/>
            </w14:solidFill>
          </w14:textFill>
        </w:rPr>
        <w:t xml:space="preserve">), while four peptides grouped with three other </w:t>
      </w:r>
      <w:r>
        <w:rPr>
          <w:i/>
          <w:color w:val="000000" w:themeColor="text1"/>
          <w:lang w:val="en-US"/>
          <w14:textFill>
            <w14:solidFill>
              <w14:schemeClr w14:val="tx1"/>
            </w14:solidFill>
          </w14:textFill>
        </w:rPr>
        <w:t>Arabidopsis</w:t>
      </w:r>
      <w:r>
        <w:rPr>
          <w:color w:val="000000" w:themeColor="text1"/>
          <w:lang w:val="en-US"/>
          <w14:textFill>
            <w14:solidFill>
              <w14:schemeClr w14:val="tx1"/>
            </w14:solidFill>
          </w14:textFill>
        </w:rPr>
        <w:t xml:space="preserve"> peptides, one of which was previously reported to be hydroxyalkyl α-pyrone synthase.</w:t>
      </w:r>
      <w:r>
        <w:rPr>
          <w:color w:val="000000" w:themeColor="text1"/>
          <w:lang w:val="en-US"/>
          <w14:textFill>
            <w14:solidFill>
              <w14:schemeClr w14:val="tx1"/>
            </w14:solidFill>
          </w14:textFill>
        </w:rPr>
        <w:fldChar w:fldCharType="begin">
          <w:fldData xml:space="preserve">PEVuZE5vdGU+PENpdGU+PEF1dGhvcj5BYmU8L0F1dGhvcj48WWVhcj4yMDEwPC9ZZWFyPjxSZWNO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</w:fldData>
        </w:fldChar>
      </w:r>
      <w:r>
        <w:rPr>
          <w:color w:val="000000" w:themeColor="text1"/>
          <w:lang w:val="en-US"/>
          <w14:textFill>
            <w14:solidFill>
              <w14:schemeClr w14:val="tx1"/>
            </w14:solidFill>
          </w14:textFill>
        </w:rPr>
        <w:instrText xml:space="preserve"> ADDIN EN.CITE </w:instrText>
      </w:r>
      <w:r>
        <w:rPr>
          <w:color w:val="000000" w:themeColor="text1"/>
          <w:lang w:val="en-US"/>
          <w14:textFill>
            <w14:solidFill>
              <w14:schemeClr w14:val="tx1"/>
            </w14:solidFill>
          </w14:textFill>
        </w:rPr>
        <w:fldChar w:fldCharType="begin">
          <w:fldData xml:space="preserve">PEVuZE5vdGU+PENpdGU+PEF1dGhvcj5BYmU8L0F1dGhvcj48WWVhcj4yMDEwPC9ZZWFyPjxSZWNO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</w:fldData>
        </w:fldChar>
      </w:r>
      <w:r>
        <w:rPr>
          <w:color w:val="000000" w:themeColor="text1"/>
          <w:lang w:val="en-US"/>
          <w14:textFill>
            <w14:solidFill>
              <w14:schemeClr w14:val="tx1"/>
            </w14:solidFill>
          </w14:textFill>
        </w:rPr>
        <w:instrText xml:space="preserve"> ADDIN EN.CITE.DATA </w:instrText>
      </w:r>
      <w:r>
        <w:rPr>
          <w:color w:val="000000" w:themeColor="text1"/>
          <w14:textFill>
            <w14:solidFill>
              <w14:schemeClr w14:val="tx1"/>
            </w14:solidFill>
          </w14:textFill>
        </w:rPr>
        <w:fldChar w:fldCharType="end"/>
      </w:r>
      <w:r>
        <w:rPr>
          <w:color w:val="000000" w:themeColor="text1"/>
          <w:lang w:val="en-US"/>
          <w14:textFill>
            <w14:solidFill>
              <w14:schemeClr w14:val="tx1"/>
            </w14:solidFill>
          </w14:textFill>
        </w:rPr>
        <w:fldChar w:fldCharType="separate"/>
      </w:r>
      <w:r>
        <w:fldChar w:fldCharType="begin"/>
      </w:r>
      <w:r>
        <w:instrText xml:space="preserve"> HYPERLINK \l "_ENREF_29" \o "Abe, 2010 #2890" </w:instrText>
      </w:r>
      <w:r>
        <w:fldChar w:fldCharType="separate"/>
      </w:r>
      <w:r>
        <w:rPr>
          <w:rStyle w:val="20"/>
          <w:color w:val="000000" w:themeColor="text1"/>
          <w:u w:val="none"/>
          <w:vertAlign w:val="superscript"/>
          <w:lang w:val="en-US"/>
          <w14:textFill>
            <w14:solidFill>
              <w14:schemeClr w14:val="tx1"/>
            </w14:solidFill>
          </w14:textFill>
        </w:rPr>
        <w:t>29</w:t>
      </w:r>
      <w:r>
        <w:rPr>
          <w:rStyle w:val="20"/>
          <w:color w:val="000000" w:themeColor="text1"/>
          <w:u w:val="none"/>
          <w:vertAlign w:val="superscript"/>
          <w:lang w:val="en-US"/>
          <w14:textFill>
            <w14:solidFill>
              <w14:schemeClr w14:val="tx1"/>
            </w14:solidFill>
          </w14:textFill>
        </w:rPr>
        <w:fldChar w:fldCharType="end"/>
      </w:r>
      <w:r>
        <w:rPr>
          <w:color w:val="000000" w:themeColor="text1"/>
          <w:vertAlign w:val="superscript"/>
          <w:lang w:val="en-US"/>
          <w14:textFill>
            <w14:solidFill>
              <w14:schemeClr w14:val="tx1"/>
            </w14:solidFill>
          </w14:textFill>
        </w:rPr>
        <w:t>,</w:t>
      </w:r>
      <w:r>
        <w:fldChar w:fldCharType="begin"/>
      </w:r>
      <w:r>
        <w:instrText xml:space="preserve"> HYPERLINK \l "_ENREF_30" \o "Kim, 2010 #2891" </w:instrText>
      </w:r>
      <w:r>
        <w:fldChar w:fldCharType="separate"/>
      </w:r>
      <w:r>
        <w:rPr>
          <w:rStyle w:val="20"/>
          <w:color w:val="000000" w:themeColor="text1"/>
          <w:u w:val="none"/>
          <w:vertAlign w:val="superscript"/>
          <w:lang w:val="en-US"/>
          <w14:textFill>
            <w14:solidFill>
              <w14:schemeClr w14:val="tx1"/>
            </w14:solidFill>
          </w14:textFill>
        </w:rPr>
        <w:t>30</w:t>
      </w:r>
      <w:r>
        <w:rPr>
          <w:rStyle w:val="20"/>
          <w:color w:val="000000" w:themeColor="text1"/>
          <w:u w:val="none"/>
          <w:vertAlign w:val="superscript"/>
          <w:lang w:val="en-US"/>
          <w14:textFill>
            <w14:solidFill>
              <w14:schemeClr w14:val="tx1"/>
            </w14:solidFill>
          </w14:textFill>
        </w:rPr>
        <w:fldChar w:fldCharType="end"/>
      </w:r>
      <w:r>
        <w:rPr>
          <w:color w:val="000000" w:themeColor="text1"/>
          <w14:textFill>
            <w14:solidFill>
              <w14:schemeClr w14:val="tx1"/>
            </w14:solidFill>
          </w14:textFill>
        </w:rPr>
        <w:fldChar w:fldCharType="end"/>
      </w:r>
      <w:r>
        <w:rPr>
          <w:color w:val="000000" w:themeColor="text1"/>
          <w:lang w:val="en-US"/>
          <w14:textFill>
            <w14:solidFill>
              <w14:schemeClr w14:val="tx1"/>
            </w14:solidFill>
          </w14:textFill>
        </w:rPr>
        <w:t xml:space="preserve"> Therefore, genes in Class I of the mined sequences putatively encode </w:t>
      </w:r>
      <w:r>
        <w:rPr>
          <w:i/>
          <w:color w:val="000000" w:themeColor="text1"/>
          <w:lang w:val="en-US"/>
          <w14:textFill>
            <w14:solidFill>
              <w14:schemeClr w14:val="tx1"/>
            </w14:solidFill>
          </w14:textFill>
        </w:rPr>
        <w:t>CHSs</w:t>
      </w:r>
      <w:r>
        <w:rPr>
          <w:color w:val="000000" w:themeColor="text1"/>
          <w:lang w:val="en-US"/>
          <w14:textFill>
            <w14:solidFill>
              <w14:schemeClr w14:val="tx1"/>
            </w14:solidFill>
          </w14:textFill>
        </w:rPr>
        <w:t xml:space="preserve"> (Fig. 5a).</w:t>
      </w:r>
    </w:p>
    <w:p>
      <w:pPr>
        <w:pStyle w:val="31"/>
        <w:ind w:firstLine="194" w:firstLineChars="100"/>
        <w:rPr>
          <w:color w:val="000000" w:themeColor="text1"/>
          <w:lang w:val="en-US" w:eastAsia="zh-CN"/>
          <w14:textFill>
            <w14:solidFill>
              <w14:schemeClr w14:val="tx1"/>
            </w14:solidFill>
          </w14:textFill>
        </w:rPr>
      </w:pPr>
      <w:r>
        <w:rPr>
          <w:color w:val="000000" w:themeColor="text1"/>
          <w:lang w:val="en-US"/>
          <w14:textFill>
            <w14:solidFill>
              <w14:schemeClr w14:val="tx1"/>
            </w14:solidFill>
          </w14:textFill>
        </w:rPr>
        <w:t xml:space="preserve">To better resolve </w:t>
      </w:r>
      <w:r>
        <w:rPr>
          <w:i/>
          <w:color w:val="000000" w:themeColor="text1"/>
          <w:lang w:val="en-US"/>
          <w14:textFill>
            <w14:solidFill>
              <w14:schemeClr w14:val="tx1"/>
            </w14:solidFill>
          </w14:textFill>
        </w:rPr>
        <w:t>CHS</w:t>
      </w:r>
      <w:r>
        <w:rPr>
          <w:color w:val="000000" w:themeColor="text1"/>
          <w:lang w:val="en-US"/>
          <w14:textFill>
            <w14:solidFill>
              <w14:schemeClr w14:val="tx1"/>
            </w14:solidFill>
          </w14:textFill>
        </w:rPr>
        <w:t xml:space="preserve"> phylogeny, the sequences in Class I were retrieved after globally aligned results were used for phylogenetic inference, which revealed that the </w:t>
      </w:r>
      <w:r>
        <w:rPr>
          <w:i/>
          <w:color w:val="000000" w:themeColor="text1"/>
          <w:lang w:val="en-US"/>
          <w14:textFill>
            <w14:solidFill>
              <w14:schemeClr w14:val="tx1"/>
            </w14:solidFill>
          </w14:textFill>
        </w:rPr>
        <w:t>Solanaceae CHS</w:t>
      </w:r>
      <w:r>
        <w:rPr>
          <w:color w:val="000000" w:themeColor="text1"/>
          <w:lang w:val="en-US"/>
          <w14:textFill>
            <w14:solidFill>
              <w14:schemeClr w14:val="tx1"/>
            </w14:solidFill>
          </w14:textFill>
        </w:rPr>
        <w:t xml:space="preserve"> genes further split into three independent clades with high branch bootstrap support (i.e., Clades i, ii, and iii) (Fig. 5b). In each clade, no less than two tobacco genes were present, while only one tomato copy was present, which was in agreement with the haploid nature of the tomato genome compared to the tetraploid nature of the tobacco genome. The cloned gene clustered in Clade iii (XP_016480648.1), which was phylogenetically close to another tobacco gene (XP_016494384.1) and one tomato gene (Solyc09g091510.2.1) (Fig. 5b). The two tobacco </w:t>
      </w:r>
      <w:r>
        <w:rPr>
          <w:i/>
          <w:color w:val="000000" w:themeColor="text1"/>
          <w:lang w:val="en-US"/>
          <w14:textFill>
            <w14:solidFill>
              <w14:schemeClr w14:val="tx1"/>
            </w14:solidFill>
          </w14:textFill>
        </w:rPr>
        <w:t>CHS</w:t>
      </w:r>
      <w:r>
        <w:rPr>
          <w:color w:val="000000" w:themeColor="text1"/>
          <w:lang w:val="en-US"/>
          <w14:textFill>
            <w14:solidFill>
              <w14:schemeClr w14:val="tx1"/>
            </w14:solidFill>
          </w14:textFill>
        </w:rPr>
        <w:t xml:space="preserve"> peptide sequences in Clade iii exhibited a high identity value (98.7%). High identity values were also observed in tobacco </w:t>
      </w:r>
      <w:r>
        <w:rPr>
          <w:i/>
          <w:color w:val="000000" w:themeColor="text1"/>
          <w:lang w:val="en-US"/>
          <w14:textFill>
            <w14:solidFill>
              <w14:schemeClr w14:val="tx1"/>
            </w14:solidFill>
          </w14:textFill>
        </w:rPr>
        <w:t>CHSs</w:t>
      </w:r>
      <w:r>
        <w:rPr>
          <w:color w:val="000000" w:themeColor="text1"/>
          <w:lang w:val="en-US"/>
          <w14:textFill>
            <w14:solidFill>
              <w14:schemeClr w14:val="tx1"/>
            </w14:solidFill>
          </w14:textFill>
        </w:rPr>
        <w:t xml:space="preserve"> within the other two clades (Table 2).</w:t>
      </w:r>
    </w:p>
    <w:p>
      <w:pPr>
        <w:pStyle w:val="84"/>
        <w:rPr>
          <w:color w:val="000000" w:themeColor="text1"/>
          <w:w w:val="108"/>
          <w:lang w:val="en-US"/>
          <w14:textFill>
            <w14:solidFill>
              <w14:schemeClr w14:val="tx1"/>
            </w14:solidFill>
          </w14:textFill>
        </w:rPr>
      </w:pPr>
      <w:r>
        <w:rPr>
          <w:color w:val="000000" w:themeColor="text1"/>
          <w:w w:val="108"/>
          <w:lang w:val="en-US"/>
          <w14:textFill>
            <w14:solidFill>
              <w14:schemeClr w14:val="tx1"/>
            </w14:solidFill>
          </w14:textFill>
        </w:rPr>
        <w:t>3.7</w:t>
      </w:r>
      <w:r>
        <w:rPr>
          <w:rFonts w:hint="eastAsia"/>
          <w:color w:val="000000" w:themeColor="text1"/>
          <w:w w:val="108"/>
          <w:lang w:val="en-US"/>
          <w14:textFill>
            <w14:solidFill>
              <w14:schemeClr w14:val="tx1"/>
            </w14:solidFill>
          </w14:textFill>
        </w:rPr>
        <w:t>.</w:t>
      </w:r>
      <w:r>
        <w:rPr>
          <w:color w:val="000000" w:themeColor="text1"/>
          <w:w w:val="108"/>
          <w:lang w:val="en-US"/>
          <w14:textFill>
            <w14:solidFill>
              <w14:schemeClr w14:val="tx1"/>
            </w14:solidFill>
          </w14:textFill>
        </w:rPr>
        <w:t xml:space="preserve"> Characteristics of the tobacco </w:t>
      </w:r>
      <w:r>
        <w:rPr>
          <w:i/>
          <w:color w:val="000000" w:themeColor="text1"/>
          <w:w w:val="108"/>
          <w:lang w:val="en-US"/>
          <w14:textFill>
            <w14:solidFill>
              <w14:schemeClr w14:val="tx1"/>
            </w14:solidFill>
          </w14:textFill>
        </w:rPr>
        <w:t>CHS</w:t>
      </w:r>
      <w:r>
        <w:rPr>
          <w:color w:val="000000" w:themeColor="text1"/>
          <w:w w:val="108"/>
          <w:lang w:val="en-US"/>
          <w14:textFill>
            <w14:solidFill>
              <w14:schemeClr w14:val="tx1"/>
            </w14:solidFill>
          </w14:textFill>
        </w:rPr>
        <w:t xml:space="preserve"> family genes and encoded peptides</w:t>
      </w:r>
    </w:p>
    <w:p>
      <w:pPr>
        <w:pStyle w:val="31"/>
        <w:rPr>
          <w:color w:val="000000" w:themeColor="text1"/>
          <w:lang w:val="en-US"/>
          <w14:textFill>
            <w14:solidFill>
              <w14:schemeClr w14:val="tx1"/>
            </w14:solidFill>
          </w14:textFill>
        </w:rPr>
        <w:sectPr>
          <w:type w:val="continuous"/>
          <w:pgSz w:w="11907" w:h="16840"/>
          <w:pgMar w:top="1009" w:right="851" w:bottom="1758" w:left="851" w:header="851" w:footer="1049" w:gutter="0"/>
          <w:cols w:space="227" w:num="2"/>
          <w:titlePg/>
          <w:docGrid w:linePitch="360" w:charSpace="0"/>
        </w:sectPr>
      </w:pPr>
      <w:r>
        <w:rPr>
          <w:color w:val="000000" w:themeColor="text1"/>
          <w:lang w:val="en-US"/>
          <w14:textFill>
            <w14:solidFill>
              <w14:schemeClr w14:val="tx1"/>
            </w14:solidFill>
          </w14:textFill>
        </w:rPr>
        <w:t xml:space="preserve">The 11 tobacco genes were distributed in different scaffolds of the tobacco genome, which may be due to low assembly quality. However, the CDS length (1167–1293 bp), pI values (5.57–8.02), and molecular weights (42.5–47.4 kDa) were highly similar among the genes and their encoded peptides, which represent conserved sequence characteristics among the 11 tobacco genes (Table 3). All peptide sequences </w:t>
      </w:r>
    </w:p>
    <w:p>
      <w:pPr>
        <w:spacing w:after="0" w:line="480" w:lineRule="auto"/>
        <w:rPr>
          <w:rFonts w:ascii="Times New Roman" w:hAnsi="Times New Roman" w:eastAsia="宋体"/>
          <w:sz w:val="24"/>
          <w:szCs w:val="24"/>
        </w:rPr>
      </w:pPr>
    </w:p>
    <w:p>
      <w:pPr>
        <w:spacing w:after="0" w:line="480" w:lineRule="auto"/>
        <w:rPr>
          <w:rFonts w:ascii="Times New Roman" w:hAnsi="Times New Roman" w:eastAsia="宋体"/>
          <w:sz w:val="24"/>
          <w:szCs w:val="24"/>
        </w:rPr>
      </w:pPr>
      <w:r>
        <w:rPr>
          <w:rFonts w:ascii="Times New Roman" w:hAnsi="Times New Roman" w:eastAsia="宋体"/>
          <w:sz w:val="24"/>
          <w:szCs w:val="24"/>
          <w:lang w:val="en-US" w:eastAsia="zh-CN"/>
        </w:rPr>
        <mc:AlternateContent>
          <mc:Choice Requires="wps">
            <w:drawing>
              <wp:anchor distT="0" distB="0" distL="114300" distR="114300" simplePos="0" relativeHeight="251670528" behindDoc="0" locked="0" layoutInCell="1" allowOverlap="1">
                <wp:simplePos x="0" y="0"/>
                <wp:positionH relativeFrom="column">
                  <wp:posOffset>38735</wp:posOffset>
                </wp:positionH>
                <wp:positionV relativeFrom="paragraph">
                  <wp:posOffset>23495</wp:posOffset>
                </wp:positionV>
                <wp:extent cx="384175" cy="330835"/>
                <wp:effectExtent l="10160" t="13970" r="5715" b="7620"/>
                <wp:wrapNone/>
                <wp:docPr id="24"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384175" cy="330835"/>
                        </a:xfrm>
                        <a:prstGeom prst="rect">
                          <a:avLst/>
                        </a:prstGeom>
                        <a:solidFill>
                          <a:srgbClr val="FFFFFF"/>
                        </a:solidFill>
                        <a:ln w="9525">
                          <a:solidFill>
                            <a:srgbClr val="EEECE1"/>
                          </a:solidFill>
                          <a:miter lim="800000"/>
                        </a:ln>
                      </wps:spPr>
                      <wps:txbx>
                        <w:txbxContent>
                          <w:p>
                            <w:pPr>
                              <w:rPr>
                                <w:rFonts w:eastAsia="宋体"/>
                                <w:sz w:val="24"/>
                                <w:szCs w:val="24"/>
                              </w:rPr>
                            </w:pPr>
                            <w:r>
                              <w:rPr>
                                <w:rFonts w:hint="eastAsia" w:eastAsia="宋体"/>
                                <w:sz w:val="24"/>
                                <w:szCs w:val="24"/>
                              </w:rPr>
                              <w:t>A</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05pt;margin-top:1.85pt;height:26.05pt;width:30.25pt;z-index:251670528;mso-width-relative:page;mso-height-relative:page;" fillcolor="#FFFFFF" filled="t" stroked="t" coordsize="21600,21600" o:gfxdata="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x1OS61QAAAAUBAAAPAAAAAAAAAAEAIAAAACIAAABkcnMvZG93bnJldi54bWxQSwECFAAU&#10;AAAACACHTuJA/YI9Hy0CAAA6BAAADgAAAAAAAAABACAAAAAkAQAAZHJzL2Uyb0RvYy54bWxQSwUG&#10;AAAAAAYABgBZAQAAwwUAAAAA&#10;">
                <v:fill on="t" focussize="0,0"/>
                <v:stroke color="#EEECE1" miterlimit="8" joinstyle="miter"/>
                <v:imagedata o:title=""/>
                <o:lock v:ext="edit" aspectratio="f"/>
                <v:textbox>
                  <w:txbxContent>
                    <w:p>
                      <w:pPr>
                        <w:rPr>
                          <w:rFonts w:eastAsia="宋体"/>
                          <w:sz w:val="24"/>
                          <w:szCs w:val="24"/>
                        </w:rPr>
                      </w:pPr>
                      <w:r>
                        <w:rPr>
                          <w:rFonts w:hint="eastAsia" w:eastAsia="宋体"/>
                          <w:sz w:val="24"/>
                          <w:szCs w:val="24"/>
                        </w:rPr>
                        <w:t>A</w:t>
                      </w:r>
                    </w:p>
                  </w:txbxContent>
                </v:textbox>
              </v:shape>
            </w:pict>
          </mc:Fallback>
        </mc:AlternateContent>
      </w:r>
      <w:r>
        <w:rPr>
          <w:rFonts w:ascii="Times New Roman" w:hAnsi="Times New Roman" w:eastAsia="宋体"/>
          <w:sz w:val="24"/>
          <w:szCs w:val="24"/>
          <w:lang w:val="en-US" w:eastAsia="zh-CN"/>
        </w:rPr>
        <mc:AlternateContent>
          <mc:Choice Requires="wps">
            <w:drawing>
              <wp:anchor distT="0" distB="0" distL="114300" distR="114300" simplePos="0" relativeHeight="251666432" behindDoc="0" locked="0" layoutInCell="1" allowOverlap="1">
                <wp:simplePos x="0" y="0"/>
                <wp:positionH relativeFrom="column">
                  <wp:posOffset>3427095</wp:posOffset>
                </wp:positionH>
                <wp:positionV relativeFrom="paragraph">
                  <wp:posOffset>1027430</wp:posOffset>
                </wp:positionV>
                <wp:extent cx="384175" cy="330835"/>
                <wp:effectExtent l="7620" t="8255" r="8255" b="13335"/>
                <wp:wrapNone/>
                <wp:docPr id="23" name="文本框 23"/>
                <wp:cNvGraphicFramePr/>
                <a:graphic xmlns:a="http://schemas.openxmlformats.org/drawingml/2006/main">
                  <a:graphicData uri="http://schemas.microsoft.com/office/word/2010/wordprocessingShape">
                    <wps:wsp>
                      <wps:cNvSpPr txBox="1">
                        <a:spLocks noChangeArrowheads="1"/>
                      </wps:cNvSpPr>
                      <wps:spPr bwMode="auto">
                        <a:xfrm>
                          <a:off x="0" y="0"/>
                          <a:ext cx="384175" cy="330835"/>
                        </a:xfrm>
                        <a:prstGeom prst="rect">
                          <a:avLst/>
                        </a:prstGeom>
                        <a:solidFill>
                          <a:srgbClr val="FFFFFF"/>
                        </a:solidFill>
                        <a:ln w="9525">
                          <a:solidFill>
                            <a:srgbClr val="EEECE1"/>
                          </a:solidFill>
                          <a:miter lim="800000"/>
                        </a:ln>
                      </wps:spPr>
                      <wps:txbx>
                        <w:txbxContent>
                          <w:p>
                            <w:pPr>
                              <w:rPr>
                                <w:rFonts w:ascii="Times New Roman" w:hAnsi="Times New Roman" w:eastAsia="宋体"/>
                                <w:sz w:val="24"/>
                                <w:szCs w:val="24"/>
                              </w:rPr>
                            </w:pPr>
                            <w:r>
                              <w:rPr>
                                <w:rFonts w:hint="eastAsia" w:ascii="Times New Roman" w:hAnsi="Times New Roman" w:eastAsia="宋体"/>
                                <w:sz w:val="24"/>
                                <w:szCs w:val="24"/>
                              </w:rPr>
                              <w:t>C3</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69.85pt;margin-top:80.9pt;height:26.05pt;width:30.25pt;z-index:251666432;mso-width-relative:page;mso-height-relative:page;" fillcolor="#FFFFFF" filled="t" stroked="t" coordsize="21600,21600" o:gfxdata="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8MnLLaAAAACwEAAA8AAAAAAAAAAQAgAAAAIgAAAGRycy9kb3ducmV2LnhtbFBL&#10;AQIUABQAAAAIAIdO4kBgAB+uLQIAADoEAAAOAAAAAAAAAAEAIAAAACkBAABkcnMvZTJvRG9jLnht&#10;bFBLBQYAAAAABgAGAFkBAADIBQAAAAA=&#10;">
                <v:fill on="t" focussize="0,0"/>
                <v:stroke color="#EEECE1" miterlimit="8" joinstyle="miter"/>
                <v:imagedata o:title=""/>
                <o:lock v:ext="edit" aspectratio="f"/>
                <v:textbox>
                  <w:txbxContent>
                    <w:p>
                      <w:pPr>
                        <w:rPr>
                          <w:rFonts w:ascii="Times New Roman" w:hAnsi="Times New Roman" w:eastAsia="宋体"/>
                          <w:sz w:val="24"/>
                          <w:szCs w:val="24"/>
                        </w:rPr>
                      </w:pPr>
                      <w:r>
                        <w:rPr>
                          <w:rFonts w:hint="eastAsia" w:ascii="Times New Roman" w:hAnsi="Times New Roman" w:eastAsia="宋体"/>
                          <w:sz w:val="24"/>
                          <w:szCs w:val="24"/>
                        </w:rPr>
                        <w:t>C3</w:t>
                      </w:r>
                    </w:p>
                  </w:txbxContent>
                </v:textbox>
              </v:shape>
            </w:pict>
          </mc:Fallback>
        </mc:AlternateContent>
      </w:r>
      <w:r>
        <w:rPr>
          <w:rFonts w:ascii="Times New Roman" w:hAnsi="Times New Roman" w:eastAsia="宋体"/>
          <w:sz w:val="24"/>
          <w:szCs w:val="24"/>
          <w:lang w:val="en-US" w:eastAsia="zh-CN"/>
        </w:rPr>
        <mc:AlternateContent>
          <mc:Choice Requires="wps">
            <w:drawing>
              <wp:anchor distT="0" distB="0" distL="114300" distR="114300" simplePos="0" relativeHeight="251669504" behindDoc="0" locked="0" layoutInCell="1" allowOverlap="1">
                <wp:simplePos x="0" y="0"/>
                <wp:positionH relativeFrom="column">
                  <wp:posOffset>1940560</wp:posOffset>
                </wp:positionH>
                <wp:positionV relativeFrom="paragraph">
                  <wp:posOffset>1027430</wp:posOffset>
                </wp:positionV>
                <wp:extent cx="384175" cy="330835"/>
                <wp:effectExtent l="6985" t="8255" r="8890" b="13335"/>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384175" cy="330835"/>
                        </a:xfrm>
                        <a:prstGeom prst="rect">
                          <a:avLst/>
                        </a:prstGeom>
                        <a:solidFill>
                          <a:srgbClr val="FFFFFF"/>
                        </a:solidFill>
                        <a:ln w="9525">
                          <a:solidFill>
                            <a:srgbClr val="EEECE1"/>
                          </a:solidFill>
                          <a:miter lim="800000"/>
                        </a:ln>
                      </wps:spPr>
                      <wps:txbx>
                        <w:txbxContent>
                          <w:p>
                            <w:pPr>
                              <w:rPr>
                                <w:rFonts w:ascii="Times New Roman" w:hAnsi="Times New Roman" w:eastAsia="宋体"/>
                                <w:sz w:val="24"/>
                                <w:szCs w:val="24"/>
                              </w:rPr>
                            </w:pPr>
                            <w:r>
                              <w:rPr>
                                <w:rFonts w:hint="eastAsia" w:ascii="Times New Roman" w:hAnsi="Times New Roman" w:eastAsia="宋体"/>
                                <w:sz w:val="24"/>
                                <w:szCs w:val="24"/>
                              </w:rPr>
                              <w:t>C2</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52.8pt;margin-top:80.9pt;height:26.05pt;width:30.25pt;z-index:251669504;mso-width-relative:page;mso-height-relative:page;" fillcolor="#FFFFFF" filled="t" stroked="t" coordsize="21600,21600" o:gfxdata="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ROaPstkAAAALAQAADwAAAAAAAAABACAAAAAiAAAAZHJzL2Rvd25yZXYueG1sUEsB&#10;AhQAFAAAAAgAh07iQBKD+VwtAgAAOgQAAA4AAAAAAAAAAQAgAAAAKAEAAGRycy9lMm9Eb2MueG1s&#10;UEsFBgAAAAAGAAYAWQEAAMcFAAAAAA==&#10;">
                <v:fill on="t" focussize="0,0"/>
                <v:stroke color="#EEECE1" miterlimit="8" joinstyle="miter"/>
                <v:imagedata o:title=""/>
                <o:lock v:ext="edit" aspectratio="f"/>
                <v:textbox>
                  <w:txbxContent>
                    <w:p>
                      <w:pPr>
                        <w:rPr>
                          <w:rFonts w:ascii="Times New Roman" w:hAnsi="Times New Roman" w:eastAsia="宋体"/>
                          <w:sz w:val="24"/>
                          <w:szCs w:val="24"/>
                        </w:rPr>
                      </w:pPr>
                      <w:r>
                        <w:rPr>
                          <w:rFonts w:hint="eastAsia" w:ascii="Times New Roman" w:hAnsi="Times New Roman" w:eastAsia="宋体"/>
                          <w:sz w:val="24"/>
                          <w:szCs w:val="24"/>
                        </w:rPr>
                        <w:t>C2</w:t>
                      </w:r>
                    </w:p>
                  </w:txbxContent>
                </v:textbox>
              </v:shape>
            </w:pict>
          </mc:Fallback>
        </mc:AlternateContent>
      </w:r>
      <w:r>
        <w:rPr>
          <w:rFonts w:ascii="Times New Roman" w:hAnsi="Times New Roman" w:eastAsia="宋体"/>
          <w:sz w:val="24"/>
          <w:szCs w:val="24"/>
          <w:lang w:val="en-US" w:eastAsia="zh-CN"/>
        </w:rPr>
        <mc:AlternateContent>
          <mc:Choice Requires="wps">
            <w:drawing>
              <wp:anchor distT="0" distB="0" distL="114300" distR="114300" simplePos="0" relativeHeight="251664384" behindDoc="0" locked="0" layoutInCell="1" allowOverlap="1">
                <wp:simplePos x="0" y="0"/>
                <wp:positionH relativeFrom="column">
                  <wp:posOffset>454025</wp:posOffset>
                </wp:positionH>
                <wp:positionV relativeFrom="paragraph">
                  <wp:posOffset>1027430</wp:posOffset>
                </wp:positionV>
                <wp:extent cx="384175" cy="330835"/>
                <wp:effectExtent l="6350" t="8255" r="9525" b="13335"/>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384175" cy="330835"/>
                        </a:xfrm>
                        <a:prstGeom prst="rect">
                          <a:avLst/>
                        </a:prstGeom>
                        <a:solidFill>
                          <a:srgbClr val="FFFFFF"/>
                        </a:solidFill>
                        <a:ln w="9525">
                          <a:solidFill>
                            <a:srgbClr val="EEECE1"/>
                          </a:solidFill>
                          <a:miter lim="800000"/>
                        </a:ln>
                      </wps:spPr>
                      <wps:txbx>
                        <w:txbxContent>
                          <w:p>
                            <w:pPr>
                              <w:rPr>
                                <w:rFonts w:ascii="Times New Roman" w:hAnsi="Times New Roman" w:eastAsia="宋体"/>
                                <w:sz w:val="24"/>
                                <w:szCs w:val="24"/>
                              </w:rPr>
                            </w:pPr>
                            <w:r>
                              <w:rPr>
                                <w:rFonts w:ascii="Times New Roman" w:hAnsi="Times New Roman" w:eastAsia="宋体"/>
                                <w:sz w:val="24"/>
                                <w:szCs w:val="24"/>
                              </w:rPr>
                              <w:t>C1</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75pt;margin-top:80.9pt;height:26.05pt;width:30.25pt;z-index:251664384;mso-width-relative:page;mso-height-relative:page;" fillcolor="#FFFFFF" filled="t" stroked="t" coordsize="21600,21600" o:gfxdata="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jOMAKtkAAAAKAQAADwAAAAAAAAABACAAAAAiAAAAZHJzL2Rvd25yZXYueG1sUEsB&#10;AhQAFAAAAAgAh07iQMUAo5AtAgAAOgQAAA4AAAAAAAAAAQAgAAAAKAEAAGRycy9lMm9Eb2MueG1s&#10;UEsFBgAAAAAGAAYAWQEAAMcFAAAAAA==&#10;">
                <v:fill on="t" focussize="0,0"/>
                <v:stroke color="#EEECE1" miterlimit="8" joinstyle="miter"/>
                <v:imagedata o:title=""/>
                <o:lock v:ext="edit" aspectratio="f"/>
                <v:textbox>
                  <w:txbxContent>
                    <w:p>
                      <w:pPr>
                        <w:rPr>
                          <w:rFonts w:ascii="Times New Roman" w:hAnsi="Times New Roman" w:eastAsia="宋体"/>
                          <w:sz w:val="24"/>
                          <w:szCs w:val="24"/>
                        </w:rPr>
                      </w:pPr>
                      <w:r>
                        <w:rPr>
                          <w:rFonts w:ascii="Times New Roman" w:hAnsi="Times New Roman" w:eastAsia="宋体"/>
                          <w:sz w:val="24"/>
                          <w:szCs w:val="24"/>
                        </w:rPr>
                        <w:t>C1</w:t>
                      </w:r>
                    </w:p>
                  </w:txbxContent>
                </v:textbox>
              </v:shape>
            </w:pict>
          </mc:Fallback>
        </mc:AlternateContent>
      </w:r>
      <w:r>
        <w:rPr>
          <w:rFonts w:ascii="Times New Roman" w:hAnsi="Times New Roman" w:eastAsia="宋体"/>
          <w:sz w:val="24"/>
          <w:szCs w:val="24"/>
          <w:lang w:val="en-US" w:eastAsia="zh-CN"/>
        </w:rPr>
        <w:drawing>
          <wp:inline distT="0" distB="0" distL="0" distR="0">
            <wp:extent cx="1271270" cy="959485"/>
            <wp:effectExtent l="0" t="0" r="5080" b="0"/>
            <wp:docPr id="14" name="图片 14" descr="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1271270" cy="959485"/>
                    </a:xfrm>
                    <a:prstGeom prst="rect">
                      <a:avLst/>
                    </a:prstGeom>
                    <a:noFill/>
                    <a:ln>
                      <a:noFill/>
                    </a:ln>
                  </pic:spPr>
                </pic:pic>
              </a:graphicData>
            </a:graphic>
          </wp:inline>
        </w:drawing>
      </w:r>
      <w:r>
        <w:rPr>
          <w:rFonts w:ascii="Times New Roman" w:hAnsi="Times New Roman" w:eastAsia="宋体"/>
          <w:sz w:val="24"/>
          <w:szCs w:val="24"/>
        </w:rPr>
        <w:t xml:space="preserve">     </w:t>
      </w:r>
      <w:r>
        <w:rPr>
          <w:rFonts w:ascii="Times New Roman" w:hAnsi="Times New Roman" w:eastAsia="宋体"/>
          <w:sz w:val="24"/>
          <w:szCs w:val="24"/>
          <w:lang w:val="en-US" w:eastAsia="zh-CN"/>
        </w:rPr>
        <w:drawing>
          <wp:inline distT="0" distB="0" distL="0" distR="0">
            <wp:extent cx="1297305" cy="972820"/>
            <wp:effectExtent l="0" t="0" r="0" b="0"/>
            <wp:docPr id="12" name="图片 12" descr="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1297305" cy="972820"/>
                    </a:xfrm>
                    <a:prstGeom prst="rect">
                      <a:avLst/>
                    </a:prstGeom>
                    <a:noFill/>
                    <a:ln>
                      <a:noFill/>
                    </a:ln>
                  </pic:spPr>
                </pic:pic>
              </a:graphicData>
            </a:graphic>
          </wp:inline>
        </w:drawing>
      </w:r>
      <w:r>
        <w:rPr>
          <w:rFonts w:ascii="Times New Roman" w:hAnsi="Times New Roman" w:eastAsia="宋体"/>
          <w:sz w:val="24"/>
          <w:szCs w:val="24"/>
        </w:rPr>
        <w:t xml:space="preserve">     </w:t>
      </w:r>
      <w:r>
        <w:rPr>
          <w:rFonts w:ascii="Times New Roman" w:hAnsi="Times New Roman" w:eastAsia="宋体"/>
          <w:sz w:val="24"/>
          <w:szCs w:val="24"/>
          <w:lang w:val="en-US" w:eastAsia="zh-CN"/>
        </w:rPr>
        <w:drawing>
          <wp:inline distT="0" distB="0" distL="0" distR="0">
            <wp:extent cx="1271270" cy="953135"/>
            <wp:effectExtent l="0" t="0" r="5080" b="0"/>
            <wp:docPr id="11" name="图片 11" descr="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1271270" cy="953135"/>
                    </a:xfrm>
                    <a:prstGeom prst="rect">
                      <a:avLst/>
                    </a:prstGeom>
                    <a:noFill/>
                    <a:ln>
                      <a:noFill/>
                    </a:ln>
                  </pic:spPr>
                </pic:pic>
              </a:graphicData>
            </a:graphic>
          </wp:inline>
        </w:drawing>
      </w:r>
    </w:p>
    <w:p>
      <w:pPr>
        <w:spacing w:after="0" w:line="480" w:lineRule="auto"/>
        <w:rPr>
          <w:rFonts w:ascii="Times New Roman" w:hAnsi="Times New Roman" w:eastAsia="宋体"/>
          <w:sz w:val="24"/>
          <w:szCs w:val="24"/>
        </w:rPr>
      </w:pPr>
    </w:p>
    <w:p>
      <w:pPr>
        <w:spacing w:after="0" w:line="480" w:lineRule="auto"/>
        <w:rPr>
          <w:rFonts w:ascii="Times New Roman" w:hAnsi="Times New Roman" w:eastAsia="宋体"/>
          <w:sz w:val="24"/>
          <w:szCs w:val="24"/>
        </w:rPr>
      </w:pPr>
      <w:r>
        <w:rPr>
          <w:rFonts w:ascii="Times New Roman" w:hAnsi="Times New Roman" w:eastAsia="宋体"/>
          <w:sz w:val="24"/>
          <w:szCs w:val="24"/>
          <w:lang w:val="en-US" w:eastAsia="zh-CN"/>
        </w:rPr>
        <mc:AlternateContent>
          <mc:Choice Requires="wps">
            <w:drawing>
              <wp:anchor distT="0" distB="0" distL="114300" distR="114300" simplePos="0" relativeHeight="251668480" behindDoc="0" locked="0" layoutInCell="1" allowOverlap="1">
                <wp:simplePos x="0" y="0"/>
                <wp:positionH relativeFrom="column">
                  <wp:posOffset>1940560</wp:posOffset>
                </wp:positionH>
                <wp:positionV relativeFrom="paragraph">
                  <wp:posOffset>1022985</wp:posOffset>
                </wp:positionV>
                <wp:extent cx="384175" cy="330835"/>
                <wp:effectExtent l="6985" t="13335" r="8890" b="8255"/>
                <wp:wrapNone/>
                <wp:docPr id="20"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384175" cy="330835"/>
                        </a:xfrm>
                        <a:prstGeom prst="rect">
                          <a:avLst/>
                        </a:prstGeom>
                        <a:solidFill>
                          <a:srgbClr val="FFFFFF"/>
                        </a:solidFill>
                        <a:ln w="9525">
                          <a:solidFill>
                            <a:srgbClr val="EEECE1"/>
                          </a:solidFill>
                          <a:miter lim="800000"/>
                        </a:ln>
                      </wps:spPr>
                      <wps:txbx>
                        <w:txbxContent>
                          <w:p>
                            <w:pPr>
                              <w:rPr>
                                <w:rFonts w:ascii="Times New Roman" w:hAnsi="Times New Roman" w:eastAsia="宋体"/>
                                <w:sz w:val="24"/>
                                <w:szCs w:val="24"/>
                              </w:rPr>
                            </w:pPr>
                            <w:r>
                              <w:rPr>
                                <w:rFonts w:hint="eastAsia" w:ascii="Times New Roman" w:hAnsi="Times New Roman" w:eastAsia="宋体"/>
                                <w:sz w:val="24"/>
                                <w:szCs w:val="24"/>
                              </w:rPr>
                              <w:t>F2</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52.8pt;margin-top:80.55pt;height:26.05pt;width:30.25pt;z-index:251668480;mso-width-relative:page;mso-height-relative:page;" fillcolor="#FFFFFF" filled="t" stroked="t" coordsize="21600,21600" o:gfxdata="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AnHLkTZAAAACwEAAA8AAAAAAAAAAQAgAAAAIgAAAGRycy9kb3ducmV2LnhtbFBLAQIU&#10;ABQAAAAIAIdO4kC3g0ViKwIAADoEAAAOAAAAAAAAAAEAIAAAACgBAABkcnMvZTJvRG9jLnhtbFBL&#10;BQYAAAAABgAGAFkBAADFBQAAAAA=&#10;">
                <v:fill on="t" focussize="0,0"/>
                <v:stroke color="#EEECE1" miterlimit="8" joinstyle="miter"/>
                <v:imagedata o:title=""/>
                <o:lock v:ext="edit" aspectratio="f"/>
                <v:textbox>
                  <w:txbxContent>
                    <w:p>
                      <w:pPr>
                        <w:rPr>
                          <w:rFonts w:ascii="Times New Roman" w:hAnsi="Times New Roman" w:eastAsia="宋体"/>
                          <w:sz w:val="24"/>
                          <w:szCs w:val="24"/>
                        </w:rPr>
                      </w:pPr>
                      <w:r>
                        <w:rPr>
                          <w:rFonts w:hint="eastAsia" w:ascii="Times New Roman" w:hAnsi="Times New Roman" w:eastAsia="宋体"/>
                          <w:sz w:val="24"/>
                          <w:szCs w:val="24"/>
                        </w:rPr>
                        <w:t>F2</w:t>
                      </w:r>
                    </w:p>
                  </w:txbxContent>
                </v:textbox>
              </v:shape>
            </w:pict>
          </mc:Fallback>
        </mc:AlternateContent>
      </w:r>
      <w:r>
        <w:rPr>
          <w:rFonts w:ascii="Times New Roman" w:hAnsi="Times New Roman" w:eastAsia="宋体"/>
          <w:sz w:val="24"/>
          <w:szCs w:val="24"/>
          <w:lang w:val="en-US" w:eastAsia="zh-CN"/>
        </w:rPr>
        <mc:AlternateContent>
          <mc:Choice Requires="wps">
            <w:drawing>
              <wp:anchor distT="0" distB="0" distL="114300" distR="114300" simplePos="0" relativeHeight="251665408" behindDoc="0" locked="0" layoutInCell="1" allowOverlap="1">
                <wp:simplePos x="0" y="0"/>
                <wp:positionH relativeFrom="column">
                  <wp:posOffset>3427095</wp:posOffset>
                </wp:positionH>
                <wp:positionV relativeFrom="paragraph">
                  <wp:posOffset>1022985</wp:posOffset>
                </wp:positionV>
                <wp:extent cx="384175" cy="330835"/>
                <wp:effectExtent l="7620" t="13335" r="8255" b="8255"/>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384175" cy="330835"/>
                        </a:xfrm>
                        <a:prstGeom prst="rect">
                          <a:avLst/>
                        </a:prstGeom>
                        <a:solidFill>
                          <a:srgbClr val="FFFFFF"/>
                        </a:solidFill>
                        <a:ln w="9525">
                          <a:solidFill>
                            <a:srgbClr val="EEECE1"/>
                          </a:solidFill>
                          <a:miter lim="800000"/>
                        </a:ln>
                      </wps:spPr>
                      <wps:txbx>
                        <w:txbxContent>
                          <w:p>
                            <w:pPr>
                              <w:rPr>
                                <w:rFonts w:ascii="Times New Roman" w:hAnsi="Times New Roman" w:eastAsia="宋体"/>
                                <w:sz w:val="24"/>
                                <w:szCs w:val="24"/>
                              </w:rPr>
                            </w:pPr>
                            <w:r>
                              <w:rPr>
                                <w:rFonts w:hint="eastAsia" w:ascii="Times New Roman" w:hAnsi="Times New Roman" w:eastAsia="宋体"/>
                                <w:sz w:val="24"/>
                                <w:szCs w:val="24"/>
                              </w:rPr>
                              <w:t>F3</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69.85pt;margin-top:80.55pt;height:26.05pt;width:30.25pt;z-index:251665408;mso-width-relative:page;mso-height-relative:page;" fillcolor="#FFFFFF" filled="t" stroked="t" coordsize="21600,21600" o:gfxdata="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yLT1E2QAAAAsBAAAPAAAAAAAAAAEAIAAAACIAAABkcnMvZG93bnJldi54bWxQSwEC&#10;FAAUAAAACACHTuJApR8ociwCAAA6BAAADgAAAAAAAAABACAAAAAoAQAAZHJzL2Uyb0RvYy54bWxQ&#10;SwUGAAAAAAYABgBZAQAAxgUAAAAA&#10;">
                <v:fill on="t" focussize="0,0"/>
                <v:stroke color="#EEECE1" miterlimit="8" joinstyle="miter"/>
                <v:imagedata o:title=""/>
                <o:lock v:ext="edit" aspectratio="f"/>
                <v:textbox>
                  <w:txbxContent>
                    <w:p>
                      <w:pPr>
                        <w:rPr>
                          <w:rFonts w:ascii="Times New Roman" w:hAnsi="Times New Roman" w:eastAsia="宋体"/>
                          <w:sz w:val="24"/>
                          <w:szCs w:val="24"/>
                        </w:rPr>
                      </w:pPr>
                      <w:r>
                        <w:rPr>
                          <w:rFonts w:hint="eastAsia" w:ascii="Times New Roman" w:hAnsi="Times New Roman" w:eastAsia="宋体"/>
                          <w:sz w:val="24"/>
                          <w:szCs w:val="24"/>
                        </w:rPr>
                        <w:t>F3</w:t>
                      </w:r>
                    </w:p>
                  </w:txbxContent>
                </v:textbox>
              </v:shape>
            </w:pict>
          </mc:Fallback>
        </mc:AlternateContent>
      </w:r>
      <w:r>
        <w:rPr>
          <w:rFonts w:ascii="Times New Roman" w:hAnsi="Times New Roman" w:eastAsia="宋体"/>
          <w:sz w:val="24"/>
          <w:szCs w:val="24"/>
          <w:lang w:val="en-US" w:eastAsia="zh-CN"/>
        </w:rPr>
        <mc:AlternateContent>
          <mc:Choice Requires="wps">
            <w:drawing>
              <wp:anchor distT="0" distB="0" distL="114300" distR="114300" simplePos="0" relativeHeight="251667456" behindDoc="0" locked="0" layoutInCell="1" allowOverlap="1">
                <wp:simplePos x="0" y="0"/>
                <wp:positionH relativeFrom="column">
                  <wp:posOffset>454025</wp:posOffset>
                </wp:positionH>
                <wp:positionV relativeFrom="paragraph">
                  <wp:posOffset>1022985</wp:posOffset>
                </wp:positionV>
                <wp:extent cx="384175" cy="330835"/>
                <wp:effectExtent l="6350" t="13335" r="9525" b="8255"/>
                <wp:wrapNone/>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384175" cy="330835"/>
                        </a:xfrm>
                        <a:prstGeom prst="rect">
                          <a:avLst/>
                        </a:prstGeom>
                        <a:solidFill>
                          <a:srgbClr val="FFFFFF"/>
                        </a:solidFill>
                        <a:ln w="9525">
                          <a:solidFill>
                            <a:srgbClr val="EEECE1"/>
                          </a:solidFill>
                          <a:miter lim="800000"/>
                        </a:ln>
                      </wps:spPr>
                      <wps:txbx>
                        <w:txbxContent>
                          <w:p>
                            <w:pPr>
                              <w:rPr>
                                <w:rFonts w:ascii="Times New Roman" w:hAnsi="Times New Roman" w:eastAsia="宋体"/>
                                <w:sz w:val="24"/>
                                <w:szCs w:val="24"/>
                              </w:rPr>
                            </w:pPr>
                            <w:r>
                              <w:rPr>
                                <w:rFonts w:hint="eastAsia" w:ascii="Times New Roman" w:hAnsi="Times New Roman" w:eastAsia="宋体"/>
                                <w:sz w:val="24"/>
                                <w:szCs w:val="24"/>
                              </w:rPr>
                              <w:t>F1</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75pt;margin-top:80.55pt;height:26.05pt;width:30.25pt;z-index:251667456;mso-width-relative:page;mso-height-relative:page;" fillcolor="#FFFFFF" filled="t" stroked="t" coordsize="21600,21600" o:gfxdata="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wcKh3NgAAAAKAQAADwAAAAAAAAABACAAAAAiAAAAZHJzL2Rvd25yZXYueG1sUEsBAhQA&#10;FAAAAAgAh07iQNeczoArAgAAOgQAAA4AAAAAAAAAAQAgAAAAJwEAAGRycy9lMm9Eb2MueG1sUEsF&#10;BgAAAAAGAAYAWQEAAMQFAAAAAA==&#10;">
                <v:fill on="t" focussize="0,0"/>
                <v:stroke color="#EEECE1" miterlimit="8" joinstyle="miter"/>
                <v:imagedata o:title=""/>
                <o:lock v:ext="edit" aspectratio="f"/>
                <v:textbox>
                  <w:txbxContent>
                    <w:p>
                      <w:pPr>
                        <w:rPr>
                          <w:rFonts w:ascii="Times New Roman" w:hAnsi="Times New Roman" w:eastAsia="宋体"/>
                          <w:sz w:val="24"/>
                          <w:szCs w:val="24"/>
                        </w:rPr>
                      </w:pPr>
                      <w:r>
                        <w:rPr>
                          <w:rFonts w:hint="eastAsia" w:ascii="Times New Roman" w:hAnsi="Times New Roman" w:eastAsia="宋体"/>
                          <w:sz w:val="24"/>
                          <w:szCs w:val="24"/>
                        </w:rPr>
                        <w:t>F1</w:t>
                      </w:r>
                    </w:p>
                  </w:txbxContent>
                </v:textbox>
              </v:shape>
            </w:pict>
          </mc:Fallback>
        </mc:AlternateContent>
      </w:r>
      <w:r>
        <w:rPr>
          <w:rFonts w:ascii="Times New Roman" w:hAnsi="Times New Roman" w:eastAsia="宋体"/>
          <w:sz w:val="24"/>
          <w:szCs w:val="24"/>
          <w:lang w:val="en-US" w:eastAsia="zh-CN"/>
        </w:rPr>
        <w:drawing>
          <wp:inline distT="0" distB="0" distL="0" distR="0">
            <wp:extent cx="1342390" cy="1011555"/>
            <wp:effectExtent l="0" t="0" r="0" b="0"/>
            <wp:docPr id="10" name="图片 10" descr="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1342390" cy="1011555"/>
                    </a:xfrm>
                    <a:prstGeom prst="rect">
                      <a:avLst/>
                    </a:prstGeom>
                    <a:noFill/>
                    <a:ln>
                      <a:noFill/>
                    </a:ln>
                  </pic:spPr>
                </pic:pic>
              </a:graphicData>
            </a:graphic>
          </wp:inline>
        </w:drawing>
      </w:r>
      <w:r>
        <w:rPr>
          <w:rFonts w:ascii="Times New Roman" w:hAnsi="Times New Roman" w:eastAsia="宋体"/>
          <w:sz w:val="24"/>
          <w:szCs w:val="24"/>
        </w:rPr>
        <w:t xml:space="preserve">     </w:t>
      </w:r>
      <w:r>
        <w:rPr>
          <w:rFonts w:ascii="Times New Roman" w:hAnsi="Times New Roman" w:eastAsia="宋体"/>
          <w:sz w:val="24"/>
          <w:szCs w:val="24"/>
          <w:lang w:val="en-US" w:eastAsia="zh-CN"/>
        </w:rPr>
        <w:drawing>
          <wp:inline distT="0" distB="0" distL="0" distR="0">
            <wp:extent cx="1348740" cy="1017905"/>
            <wp:effectExtent l="0" t="0" r="3810" b="0"/>
            <wp:docPr id="9" name="图片 9" descr="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1348740" cy="1017905"/>
                    </a:xfrm>
                    <a:prstGeom prst="rect">
                      <a:avLst/>
                    </a:prstGeom>
                    <a:noFill/>
                    <a:ln>
                      <a:noFill/>
                    </a:ln>
                  </pic:spPr>
                </pic:pic>
              </a:graphicData>
            </a:graphic>
          </wp:inline>
        </w:drawing>
      </w:r>
      <w:r>
        <w:rPr>
          <w:rFonts w:ascii="Times New Roman" w:hAnsi="Times New Roman" w:eastAsia="宋体"/>
          <w:sz w:val="24"/>
          <w:szCs w:val="24"/>
        </w:rPr>
        <w:t xml:space="preserve">    </w:t>
      </w:r>
      <w:r>
        <w:rPr>
          <w:rFonts w:ascii="Times New Roman" w:hAnsi="Times New Roman" w:eastAsia="宋体"/>
          <w:sz w:val="24"/>
          <w:szCs w:val="24"/>
          <w:lang w:val="en-US" w:eastAsia="zh-CN"/>
        </w:rPr>
        <w:drawing>
          <wp:inline distT="0" distB="0" distL="0" distR="0">
            <wp:extent cx="1342390" cy="1011555"/>
            <wp:effectExtent l="0" t="0" r="0" b="0"/>
            <wp:docPr id="8" name="图片 8" descr="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1342390" cy="1011555"/>
                    </a:xfrm>
                    <a:prstGeom prst="rect">
                      <a:avLst/>
                    </a:prstGeom>
                    <a:noFill/>
                    <a:ln>
                      <a:noFill/>
                    </a:ln>
                  </pic:spPr>
                </pic:pic>
              </a:graphicData>
            </a:graphic>
          </wp:inline>
        </w:drawing>
      </w:r>
    </w:p>
    <w:p>
      <w:pPr>
        <w:spacing w:after="0" w:line="480" w:lineRule="auto"/>
        <w:rPr>
          <w:rFonts w:ascii="Times New Roman" w:hAnsi="Times New Roman" w:eastAsia="宋体"/>
          <w:sz w:val="24"/>
          <w:szCs w:val="24"/>
        </w:rPr>
      </w:pPr>
    </w:p>
    <w:p>
      <w:pPr>
        <w:spacing w:after="0" w:line="480" w:lineRule="auto"/>
        <w:rPr>
          <w:rFonts w:ascii="Times New Roman" w:hAnsi="Times New Roman" w:eastAsia="宋体"/>
          <w:sz w:val="24"/>
          <w:szCs w:val="24"/>
        </w:rPr>
      </w:pPr>
      <w:r>
        <w:rPr>
          <w:rFonts w:ascii="Times New Roman" w:hAnsi="Times New Roman" w:eastAsia="宋体"/>
          <w:sz w:val="24"/>
          <w:szCs w:val="24"/>
          <w:lang w:val="en-US" w:eastAsia="zh-CN"/>
        </w:rPr>
        <mc:AlternateContent>
          <mc:Choice Requires="wps">
            <w:drawing>
              <wp:anchor distT="0" distB="0" distL="114300" distR="114300" simplePos="0" relativeHeight="251674624" behindDoc="0" locked="0" layoutInCell="1" allowOverlap="1">
                <wp:simplePos x="0" y="0"/>
                <wp:positionH relativeFrom="column">
                  <wp:posOffset>558165</wp:posOffset>
                </wp:positionH>
                <wp:positionV relativeFrom="paragraph">
                  <wp:posOffset>2067560</wp:posOffset>
                </wp:positionV>
                <wp:extent cx="332105" cy="338455"/>
                <wp:effectExtent l="5715" t="10160" r="5080" b="13335"/>
                <wp:wrapNone/>
                <wp:docPr id="27"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332105" cy="338455"/>
                        </a:xfrm>
                        <a:prstGeom prst="rect">
                          <a:avLst/>
                        </a:prstGeom>
                        <a:solidFill>
                          <a:srgbClr val="FFFFFF"/>
                        </a:solidFill>
                        <a:ln w="9525">
                          <a:solidFill>
                            <a:srgbClr val="000000"/>
                          </a:solidFill>
                          <a:miter lim="800000"/>
                        </a:ln>
                      </wps:spPr>
                      <wps:txbx>
                        <w:txbxContent>
                          <w:p>
                            <w:pPr>
                              <w:rPr>
                                <w:rFonts w:ascii="Times New Roman" w:hAnsi="Times New Roman"/>
                                <w:b/>
                                <w:sz w:val="24"/>
                                <w:szCs w:val="24"/>
                              </w:rPr>
                            </w:pPr>
                            <w:r>
                              <w:rPr>
                                <w:rFonts w:ascii="Times New Roman" w:hAnsi="Times New Roman" w:eastAsia="宋体"/>
                                <w:b/>
                                <w:sz w:val="24"/>
                                <w:szCs w:val="24"/>
                              </w:rPr>
                              <w:t>D</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3.95pt;margin-top:162.8pt;height:26.65pt;width:26.15pt;z-index:251674624;mso-width-relative:page;mso-height-relative:page;" fillcolor="#FFFFFF" filled="t" stroked="t" coordsize="21600,21600" o:gfxdata="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VpcZ32QAAAAoBAAAPAAAAAAAAAAEAIAAAACIAAABkcnMvZG93bnJldi54bWxQSwECFAAUAAAA&#10;CACHTuJAvNQjUCYCAAA6BAAADgAAAAAAAAABACAAAAAoAQAAZHJzL2Uyb0RvYy54bWxQSwUGAAAA&#10;AAYABgBZAQAAwAUAAAAA&#10;">
                <v:fill on="t" focussize="0,0"/>
                <v:stroke color="#000000" miterlimit="8" joinstyle="miter"/>
                <v:imagedata o:title=""/>
                <o:lock v:ext="edit" aspectratio="f"/>
                <v:textbox>
                  <w:txbxContent>
                    <w:p>
                      <w:pPr>
                        <w:rPr>
                          <w:rFonts w:ascii="Times New Roman" w:hAnsi="Times New Roman"/>
                          <w:b/>
                          <w:sz w:val="24"/>
                          <w:szCs w:val="24"/>
                        </w:rPr>
                      </w:pPr>
                      <w:r>
                        <w:rPr>
                          <w:rFonts w:ascii="Times New Roman" w:hAnsi="Times New Roman" w:eastAsia="宋体"/>
                          <w:b/>
                          <w:sz w:val="24"/>
                          <w:szCs w:val="24"/>
                        </w:rPr>
                        <w:t>D</w:t>
                      </w:r>
                    </w:p>
                  </w:txbxContent>
                </v:textbox>
              </v:shape>
            </w:pict>
          </mc:Fallback>
        </mc:AlternateContent>
      </w:r>
      <w:r>
        <w:rPr>
          <w:rFonts w:ascii="Times New Roman" w:hAnsi="Times New Roman" w:eastAsia="宋体"/>
          <w:sz w:val="24"/>
          <w:szCs w:val="24"/>
          <w:lang w:val="en-US" w:eastAsia="zh-CN"/>
        </w:rPr>
        <mc:AlternateContent>
          <mc:Choice Requires="wps">
            <w:drawing>
              <wp:anchor distT="0" distB="0" distL="114300" distR="114300" simplePos="0" relativeHeight="251673600" behindDoc="0" locked="0" layoutInCell="1" allowOverlap="1">
                <wp:simplePos x="0" y="0"/>
                <wp:positionH relativeFrom="column">
                  <wp:posOffset>3624580</wp:posOffset>
                </wp:positionH>
                <wp:positionV relativeFrom="paragraph">
                  <wp:posOffset>227330</wp:posOffset>
                </wp:positionV>
                <wp:extent cx="332105" cy="338455"/>
                <wp:effectExtent l="5080" t="8255" r="5715" b="5715"/>
                <wp:wrapNone/>
                <wp:docPr id="26"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332105" cy="338455"/>
                        </a:xfrm>
                        <a:prstGeom prst="rect">
                          <a:avLst/>
                        </a:prstGeom>
                        <a:solidFill>
                          <a:srgbClr val="FFFFFF"/>
                        </a:solidFill>
                        <a:ln w="9525">
                          <a:solidFill>
                            <a:srgbClr val="000000"/>
                          </a:solidFill>
                          <a:miter lim="800000"/>
                        </a:ln>
                      </wps:spPr>
                      <wps:txbx>
                        <w:txbxContent>
                          <w:p>
                            <w:pPr>
                              <w:rPr>
                                <w:rFonts w:ascii="Times New Roman" w:hAnsi="Times New Roman"/>
                                <w:b/>
                                <w:sz w:val="24"/>
                                <w:szCs w:val="24"/>
                              </w:rPr>
                            </w:pPr>
                            <w:r>
                              <w:rPr>
                                <w:rFonts w:ascii="Times New Roman" w:hAnsi="Times New Roman" w:eastAsia="宋体"/>
                                <w:b/>
                                <w:sz w:val="24"/>
                                <w:szCs w:val="24"/>
                              </w:rPr>
                              <w:t>C</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85.4pt;margin-top:17.9pt;height:26.65pt;width:26.15pt;z-index:251673600;mso-width-relative:page;mso-height-relative:page;" fillcolor="#FFFFFF" filled="t" stroked="t" coordsize="21600,21600" o:gfxdata="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Yq6Lp2QAAAAkBAAAPAAAAAAAAAAEAIAAAACIAAABkcnMvZG93bnJldi54bWxQSwECFAAUAAAA&#10;CACHTuJAzlfFoiYCAAA6BAAADgAAAAAAAAABACAAAAAoAQAAZHJzL2Uyb0RvYy54bWxQSwUGAAAA&#10;AAYABgBZAQAAwAUAAAAA&#10;">
                <v:fill on="t" focussize="0,0"/>
                <v:stroke color="#000000" miterlimit="8" joinstyle="miter"/>
                <v:imagedata o:title=""/>
                <o:lock v:ext="edit" aspectratio="f"/>
                <v:textbox>
                  <w:txbxContent>
                    <w:p>
                      <w:pPr>
                        <w:rPr>
                          <w:rFonts w:ascii="Times New Roman" w:hAnsi="Times New Roman"/>
                          <w:b/>
                          <w:sz w:val="24"/>
                          <w:szCs w:val="24"/>
                        </w:rPr>
                      </w:pPr>
                      <w:r>
                        <w:rPr>
                          <w:rFonts w:ascii="Times New Roman" w:hAnsi="Times New Roman" w:eastAsia="宋体"/>
                          <w:b/>
                          <w:sz w:val="24"/>
                          <w:szCs w:val="24"/>
                        </w:rPr>
                        <w:t>C</w:t>
                      </w:r>
                    </w:p>
                  </w:txbxContent>
                </v:textbox>
              </v:shape>
            </w:pict>
          </mc:Fallback>
        </mc:AlternateContent>
      </w:r>
      <w:r>
        <w:rPr>
          <w:rFonts w:ascii="Times New Roman" w:hAnsi="Times New Roman" w:eastAsia="宋体"/>
          <w:sz w:val="24"/>
          <w:szCs w:val="24"/>
          <w:lang w:val="en-US" w:eastAsia="zh-CN"/>
        </w:rPr>
        <mc:AlternateContent>
          <mc:Choice Requires="wps">
            <w:drawing>
              <wp:anchor distT="0" distB="0" distL="114300" distR="114300" simplePos="0" relativeHeight="251672576" behindDoc="0" locked="0" layoutInCell="1" allowOverlap="1">
                <wp:simplePos x="0" y="0"/>
                <wp:positionH relativeFrom="column">
                  <wp:posOffset>467360</wp:posOffset>
                </wp:positionH>
                <wp:positionV relativeFrom="paragraph">
                  <wp:posOffset>131445</wp:posOffset>
                </wp:positionV>
                <wp:extent cx="332105" cy="338455"/>
                <wp:effectExtent l="10160" t="7620" r="10160" b="6350"/>
                <wp:wrapNone/>
                <wp:docPr id="25"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332105" cy="338455"/>
                        </a:xfrm>
                        <a:prstGeom prst="rect">
                          <a:avLst/>
                        </a:prstGeom>
                        <a:solidFill>
                          <a:srgbClr val="FFFFFF"/>
                        </a:solidFill>
                        <a:ln w="9525">
                          <a:solidFill>
                            <a:srgbClr val="000000"/>
                          </a:solidFill>
                          <a:miter lim="800000"/>
                        </a:ln>
                      </wps:spPr>
                      <wps:txbx>
                        <w:txbxContent>
                          <w:p>
                            <w:pPr>
                              <w:rPr>
                                <w:rFonts w:ascii="Times New Roman" w:hAnsi="Times New Roman"/>
                                <w:b/>
                                <w:sz w:val="24"/>
                                <w:szCs w:val="24"/>
                              </w:rPr>
                            </w:pPr>
                            <w:r>
                              <w:rPr>
                                <w:rFonts w:ascii="Times New Roman" w:hAnsi="Times New Roman" w:eastAsia="宋体"/>
                                <w:b/>
                                <w:sz w:val="24"/>
                                <w:szCs w:val="24"/>
                              </w:rPr>
                              <w:t>B</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6.8pt;margin-top:10.35pt;height:26.65pt;width:26.15pt;z-index:251672576;mso-width-relative:page;mso-height-relative:page;" fillcolor="#FFFFFF" filled="t" stroked="t" coordsize="21600,21600" o:gfxdata="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cZ3&#10;ddcAAAAIAQAADwAAAAAAAAABACAAAAAiAAAAZHJzL2Rvd25yZXYueG1sUEsBAhQAFAAAAAgAh07i&#10;QBnUn24jAgAAOgQAAA4AAAAAAAAAAQAgAAAAJgEAAGRycy9lMm9Eb2MueG1sUEsFBgAAAAAGAAYA&#10;WQEAALsFAAAAAA==&#10;">
                <v:fill on="t" focussize="0,0"/>
                <v:stroke color="#000000" miterlimit="8" joinstyle="miter"/>
                <v:imagedata o:title=""/>
                <o:lock v:ext="edit" aspectratio="f"/>
                <v:textbox>
                  <w:txbxContent>
                    <w:p>
                      <w:pPr>
                        <w:rPr>
                          <w:rFonts w:ascii="Times New Roman" w:hAnsi="Times New Roman"/>
                          <w:b/>
                          <w:sz w:val="24"/>
                          <w:szCs w:val="24"/>
                        </w:rPr>
                      </w:pPr>
                      <w:r>
                        <w:rPr>
                          <w:rFonts w:ascii="Times New Roman" w:hAnsi="Times New Roman" w:eastAsia="宋体"/>
                          <w:b/>
                          <w:sz w:val="24"/>
                          <w:szCs w:val="24"/>
                        </w:rPr>
                        <w:t>B</w:t>
                      </w:r>
                    </w:p>
                  </w:txbxContent>
                </v:textbox>
              </v:shape>
            </w:pict>
          </mc:Fallback>
        </mc:AlternateContent>
      </w:r>
      <w:r>
        <w:rPr>
          <w:rFonts w:ascii="Times New Roman" w:hAnsi="Times New Roman" w:eastAsia="宋体"/>
          <w:sz w:val="24"/>
          <w:szCs w:val="24"/>
        </w:rPr>
        <w:object>
          <v:shape id="_x0000_i1031" o:spt="75" type="#_x0000_t75" style="height:151.55pt;width:195.45pt;" o:ole="t" filled="f" o:preferrelative="t" stroked="f" coordsize="21600,21600">
            <v:path/>
            <v:fill on="f" focussize="0,0"/>
            <v:stroke on="f" joinstyle="miter"/>
            <v:imagedata r:id="rId31" o:title=""/>
            <o:lock v:ext="edit" aspectratio="t"/>
            <w10:wrap type="none"/>
            <w10:anchorlock/>
          </v:shape>
          <o:OLEObject Type="Embed" ProgID="Origin50.Graph" ShapeID="_x0000_i1031" DrawAspect="Content" ObjectID="_1468075731" r:id="rId30">
            <o:LockedField>false</o:LockedField>
          </o:OLEObject>
        </w:object>
      </w:r>
      <w:r>
        <w:rPr>
          <w:rFonts w:ascii="Times New Roman" w:hAnsi="Times New Roman" w:eastAsia="宋体"/>
          <w:sz w:val="24"/>
          <w:szCs w:val="24"/>
        </w:rPr>
        <w:object>
          <v:shape id="_x0000_i1032" o:spt="75" type="#_x0000_t75" style="height:151.55pt;width:195.45pt;" o:ole="t" filled="f" o:preferrelative="t" stroked="f" coordsize="21600,21600">
            <v:path/>
            <v:fill on="f" focussize="0,0"/>
            <v:stroke on="f" joinstyle="miter"/>
            <v:imagedata r:id="rId33" o:title=""/>
            <o:lock v:ext="edit" aspectratio="t"/>
            <w10:wrap type="none"/>
            <w10:anchorlock/>
          </v:shape>
          <o:OLEObject Type="Embed" ProgID="Origin50.Graph" ShapeID="_x0000_i1032" DrawAspect="Content" ObjectID="_1468075732" r:id="rId32">
            <o:LockedField>false</o:LockedField>
          </o:OLEObject>
        </w:object>
      </w:r>
      <w:r>
        <w:rPr>
          <w:rFonts w:ascii="Times New Roman" w:hAnsi="Times New Roman" w:eastAsia="宋体"/>
          <w:sz w:val="24"/>
          <w:szCs w:val="24"/>
        </w:rPr>
        <w:t xml:space="preserve"> </w:t>
      </w:r>
      <w:r>
        <w:rPr>
          <w:rFonts w:ascii="Times New Roman" w:hAnsi="Times New Roman" w:eastAsia="宋体"/>
          <w:sz w:val="24"/>
          <w:szCs w:val="24"/>
        </w:rPr>
        <w:object>
          <v:shape id="_x0000_i1033" o:spt="75" type="#_x0000_t75" style="height:151.55pt;width:195.45pt;" o:ole="t" filled="f" o:preferrelative="t" stroked="f" coordsize="21600,21600">
            <v:path/>
            <v:fill on="f" focussize="0,0"/>
            <v:stroke on="f" joinstyle="miter"/>
            <v:imagedata r:id="rId35" o:title=""/>
            <o:lock v:ext="edit" aspectratio="t"/>
            <w10:wrap type="none"/>
            <w10:anchorlock/>
          </v:shape>
          <o:OLEObject Type="Embed" ProgID="Origin50.Graph" ShapeID="_x0000_i1033" DrawAspect="Content" ObjectID="_1468075733" r:id="rId34">
            <o:LockedField>false</o:LockedField>
          </o:OLEObject>
        </w:object>
      </w:r>
    </w:p>
    <w:p>
      <w:pPr>
        <w:pStyle w:val="38"/>
        <w:rPr>
          <w:color w:val="000000" w:themeColor="text1"/>
          <w:lang w:val="en-US" w:eastAsia="zh-CN"/>
          <w14:textFill>
            <w14:solidFill>
              <w14:schemeClr w14:val="tx1"/>
            </w14:solidFill>
          </w14:textFill>
        </w:rPr>
      </w:pPr>
    </w:p>
    <w:p>
      <w:pPr>
        <w:pStyle w:val="72"/>
        <w:rPr>
          <w:color w:val="000000" w:themeColor="text1"/>
          <w:lang w:val="en-US" w:eastAsia="zh-CN"/>
          <w14:textFill>
            <w14:solidFill>
              <w14:schemeClr w14:val="tx1"/>
            </w14:solidFill>
          </w14:textFill>
        </w:rPr>
      </w:pPr>
      <w:r>
        <w:rPr>
          <w:b/>
        </w:rPr>
        <w:t>Fig</w:t>
      </w:r>
      <w:r>
        <w:rPr>
          <w:rFonts w:hint="eastAsia"/>
          <w:b/>
        </w:rPr>
        <w:t>.</w:t>
      </w:r>
      <w:r>
        <w:rPr>
          <w:b/>
        </w:rPr>
        <w:t xml:space="preserve"> </w:t>
      </w:r>
      <w:r>
        <w:rPr>
          <w:rFonts w:hint="eastAsia"/>
          <w:b/>
        </w:rPr>
        <w:t>4</w:t>
      </w:r>
      <w:r>
        <w:t xml:space="preserve"> </w:t>
      </w:r>
      <w:r>
        <w:rPr>
          <w:rFonts w:hint="eastAsia"/>
        </w:rPr>
        <w:t>(</w:t>
      </w:r>
      <w:r>
        <w:t xml:space="preserve">a) Qualitative observations of the drought experiment. </w:t>
      </w:r>
      <w:r>
        <w:rPr>
          <w:rFonts w:hint="eastAsia"/>
        </w:rPr>
        <w:t>(</w:t>
      </w:r>
      <w:r>
        <w:t xml:space="preserve">b) RWC in transgenic and control tobacco lines. </w:t>
      </w:r>
      <w:r>
        <w:rPr>
          <w:rFonts w:hint="eastAsia"/>
        </w:rPr>
        <w:t>(</w:t>
      </w:r>
      <w:r>
        <w:t xml:space="preserve">c) Concentrations of MDA in transgenic and control tobacco lines. </w:t>
      </w:r>
      <w:r>
        <w:rPr>
          <w:rFonts w:hint="eastAsia"/>
        </w:rPr>
        <w:t>(</w:t>
      </w:r>
      <w:r>
        <w:t>d) Concentrations of H</w:t>
      </w:r>
      <w:r>
        <w:rPr>
          <w:vertAlign w:val="subscript"/>
        </w:rPr>
        <w:t>2</w:t>
      </w:r>
      <w:r>
        <w:t>O</w:t>
      </w:r>
      <w:r>
        <w:rPr>
          <w:vertAlign w:val="subscript"/>
        </w:rPr>
        <w:t>2</w:t>
      </w:r>
      <w:r>
        <w:t xml:space="preserve"> in transgenic and control tobacco lines. C1–C3: control tobacco lines; F1–F3: T</w:t>
      </w:r>
      <w:r>
        <w:rPr>
          <w:vertAlign w:val="subscript"/>
        </w:rPr>
        <w:t>1</w:t>
      </w:r>
      <w:r>
        <w:t xml:space="preserve"> generation transgenic tobacco lines. * </w:t>
      </w:r>
      <w:r>
        <w:rPr>
          <w:i/>
        </w:rPr>
        <w:t>p</w:t>
      </w:r>
      <w:r>
        <w:t xml:space="preserve"> &lt; 0.05; ** </w:t>
      </w:r>
      <w:r>
        <w:rPr>
          <w:i/>
        </w:rPr>
        <w:t>p</w:t>
      </w:r>
      <w:r>
        <w:t xml:space="preserve"> &lt;</w:t>
      </w:r>
      <w:r>
        <w:rPr>
          <w:rFonts w:hint="eastAsia"/>
        </w:rPr>
        <w:t xml:space="preserve"> </w:t>
      </w:r>
      <w:r>
        <w:t>0.01.</w:t>
      </w:r>
    </w:p>
    <w:p>
      <w:pPr>
        <w:pStyle w:val="38"/>
        <w:rPr>
          <w:color w:val="000000" w:themeColor="text1"/>
          <w:lang w:val="en-US" w:eastAsia="zh-CN"/>
          <w14:textFill>
            <w14:solidFill>
              <w14:schemeClr w14:val="tx1"/>
            </w14:solidFill>
          </w14:textFill>
        </w:rPr>
      </w:pPr>
      <w:r>
        <w:rPr>
          <w:lang w:val="en-US" w:eastAsia="zh-CN"/>
        </w:rPr>
        <w:drawing>
          <wp:inline distT="0" distB="0" distL="0" distR="0">
            <wp:extent cx="4488815" cy="3311525"/>
            <wp:effectExtent l="0" t="0" r="6985" b="3175"/>
            <wp:docPr id="74" name="图片 74" descr="D:\misc\其他人\胡贲\CHS\图表文档\Fig.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D:\misc\其他人\胡贲\CHS\图表文档\Fig.4.tif"/>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4489200" cy="3312000"/>
                    </a:xfrm>
                    <a:prstGeom prst="rect">
                      <a:avLst/>
                    </a:prstGeom>
                    <a:noFill/>
                    <a:ln>
                      <a:noFill/>
                    </a:ln>
                  </pic:spPr>
                </pic:pic>
              </a:graphicData>
            </a:graphic>
          </wp:inline>
        </w:drawing>
      </w:r>
    </w:p>
    <w:p>
      <w:pPr>
        <w:pStyle w:val="91"/>
        <w:rPr>
          <w:color w:val="000000" w:themeColor="text1"/>
          <w:lang w:val="en-US" w:eastAsia="zh-CN"/>
          <w14:textFill>
            <w14:solidFill>
              <w14:schemeClr w14:val="tx1"/>
            </w14:solidFill>
          </w14:textFill>
        </w:rPr>
      </w:pPr>
      <w:r>
        <w:rPr>
          <w:b/>
        </w:rPr>
        <w:t>Fig</w:t>
      </w:r>
      <w:r>
        <w:rPr>
          <w:rFonts w:hint="eastAsia"/>
          <w:b/>
        </w:rPr>
        <w:t>.</w:t>
      </w:r>
      <w:r>
        <w:rPr>
          <w:b/>
        </w:rPr>
        <w:t xml:space="preserve"> </w:t>
      </w:r>
      <w:r>
        <w:rPr>
          <w:rFonts w:hint="eastAsia"/>
          <w:b/>
        </w:rPr>
        <w:t>5</w:t>
      </w:r>
      <w:r>
        <w:t xml:space="preserve"> Phylogeny of </w:t>
      </w:r>
      <w:r>
        <w:rPr>
          <w:i/>
        </w:rPr>
        <w:t>CHS</w:t>
      </w:r>
      <w:r>
        <w:t xml:space="preserve"> family peptides. </w:t>
      </w:r>
      <w:r>
        <w:rPr>
          <w:i/>
        </w:rPr>
        <w:t>CHS</w:t>
      </w:r>
      <w:r>
        <w:t xml:space="preserve"> family peptide sequences were retrieved from tobacco, tomato, </w:t>
      </w:r>
      <w:r>
        <w:rPr>
          <w:i/>
        </w:rPr>
        <w:t>Arabidopsis</w:t>
      </w:r>
      <w:r>
        <w:t xml:space="preserve">, coffee, and </w:t>
      </w:r>
      <w:r>
        <w:rPr>
          <w:i/>
        </w:rPr>
        <w:t>N. attenuata</w:t>
      </w:r>
      <w:r>
        <w:t xml:space="preserve">. PhyML was used for the reconstruction of phylogenetic trees. </w:t>
      </w:r>
      <w:r>
        <w:rPr>
          <w:rFonts w:hint="eastAsia"/>
        </w:rPr>
        <w:t>(</w:t>
      </w:r>
      <w:r>
        <w:t xml:space="preserve">a) Unrooted phylogenetic tree of </w:t>
      </w:r>
      <w:r>
        <w:rPr>
          <w:i/>
        </w:rPr>
        <w:t>CHS</w:t>
      </w:r>
      <w:r>
        <w:t xml:space="preserve"> family genes showing two independent groups (circled and labeled with I and II, respectively). </w:t>
      </w:r>
      <w:r>
        <w:rPr>
          <w:rFonts w:hint="eastAsia"/>
        </w:rPr>
        <w:t>(</w:t>
      </w:r>
      <w:r>
        <w:t xml:space="preserve">b) Phylogenetic tree of </w:t>
      </w:r>
      <w:r>
        <w:rPr>
          <w:i/>
        </w:rPr>
        <w:t>CHS</w:t>
      </w:r>
      <w:r>
        <w:t xml:space="preserve"> genes. Red labels indicate tobacco genes, green labels indicate </w:t>
      </w:r>
      <w:r>
        <w:rPr>
          <w:i/>
        </w:rPr>
        <w:t>Arabidopsis</w:t>
      </w:r>
      <w:r>
        <w:t xml:space="preserve"> genes. Clades i, ii, and iii are shaded in light green, purple, and green, respectively.</w:t>
      </w:r>
    </w:p>
    <w:p>
      <w:pPr>
        <w:pStyle w:val="70"/>
        <w:pBdr>
          <w:bottom w:val="none" w:color="auto" w:sz="0" w:space="0"/>
        </w:pBdr>
        <w:rPr>
          <w:rFonts w:eastAsiaTheme="minorEastAsia"/>
          <w:b/>
          <w:caps/>
        </w:rPr>
      </w:pPr>
      <w:r>
        <w:rPr>
          <w:b/>
        </w:rPr>
        <w:t>Table 2</w:t>
      </w:r>
      <w:r>
        <w:t xml:space="preserve"> Identity values (%) between peptide sequences of tobacco </w:t>
      </w:r>
      <w:r>
        <w:rPr>
          <w:i/>
        </w:rPr>
        <w:t>CHSs</w:t>
      </w:r>
    </w:p>
    <w:tbl>
      <w:tblPr>
        <w:tblStyle w:val="13"/>
        <w:tblW w:w="10421" w:type="dxa"/>
        <w:tblInd w:w="0" w:type="dxa"/>
        <w:tblLayout w:type="fixed"/>
        <w:tblCellMar>
          <w:top w:w="0" w:type="dxa"/>
          <w:left w:w="108" w:type="dxa"/>
          <w:bottom w:w="0" w:type="dxa"/>
          <w:right w:w="108" w:type="dxa"/>
        </w:tblCellMar>
      </w:tblPr>
      <w:tblGrid>
        <w:gridCol w:w="1386"/>
        <w:gridCol w:w="902"/>
        <w:gridCol w:w="905"/>
        <w:gridCol w:w="902"/>
        <w:gridCol w:w="905"/>
        <w:gridCol w:w="905"/>
        <w:gridCol w:w="902"/>
        <w:gridCol w:w="905"/>
        <w:gridCol w:w="902"/>
        <w:gridCol w:w="905"/>
        <w:gridCol w:w="902"/>
      </w:tblGrid>
      <w:tr>
        <w:tblPrEx>
          <w:tblLayout w:type="fixed"/>
          <w:tblCellMar>
            <w:top w:w="0" w:type="dxa"/>
            <w:left w:w="108" w:type="dxa"/>
            <w:bottom w:w="0" w:type="dxa"/>
            <w:right w:w="108" w:type="dxa"/>
          </w:tblCellMar>
        </w:tblPrEx>
        <w:tc>
          <w:tcPr>
            <w:tcW w:w="1386" w:type="dxa"/>
            <w:tcBorders>
              <w:top w:val="single" w:color="auto" w:sz="4" w:space="0"/>
              <w:left w:val="nil"/>
              <w:bottom w:val="single" w:color="auto" w:sz="4" w:space="0"/>
              <w:right w:val="nil"/>
            </w:tcBorders>
            <w:shd w:val="clear" w:color="auto" w:fill="auto"/>
            <w:noWrap/>
          </w:tcPr>
          <w:p>
            <w:pPr>
              <w:pStyle w:val="59"/>
              <w:rPr>
                <w:rFonts w:eastAsia="宋体"/>
              </w:rPr>
            </w:pPr>
          </w:p>
        </w:tc>
        <w:tc>
          <w:tcPr>
            <w:tcW w:w="902"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XP_016457437.1</w:t>
            </w:r>
          </w:p>
        </w:tc>
        <w:tc>
          <w:tcPr>
            <w:tcW w:w="905"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XP_016482301.1</w:t>
            </w:r>
          </w:p>
        </w:tc>
        <w:tc>
          <w:tcPr>
            <w:tcW w:w="902"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XP_016446648.1</w:t>
            </w:r>
          </w:p>
        </w:tc>
        <w:tc>
          <w:tcPr>
            <w:tcW w:w="905"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XP_016494384.1</w:t>
            </w:r>
          </w:p>
        </w:tc>
        <w:tc>
          <w:tcPr>
            <w:tcW w:w="905"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XP_016480648.1</w:t>
            </w:r>
          </w:p>
        </w:tc>
        <w:tc>
          <w:tcPr>
            <w:tcW w:w="902"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XP_016494186.1</w:t>
            </w:r>
          </w:p>
        </w:tc>
        <w:tc>
          <w:tcPr>
            <w:tcW w:w="905"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XP_016515539.1</w:t>
            </w:r>
          </w:p>
        </w:tc>
        <w:tc>
          <w:tcPr>
            <w:tcW w:w="902"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XP_016480039.1</w:t>
            </w:r>
          </w:p>
        </w:tc>
        <w:tc>
          <w:tcPr>
            <w:tcW w:w="905"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XP_016508885.1</w:t>
            </w:r>
          </w:p>
        </w:tc>
        <w:tc>
          <w:tcPr>
            <w:tcW w:w="902"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XP_016489904.1</w:t>
            </w:r>
          </w:p>
        </w:tc>
      </w:tr>
      <w:tr>
        <w:tblPrEx>
          <w:tblLayout w:type="fixed"/>
          <w:tblCellMar>
            <w:top w:w="0" w:type="dxa"/>
            <w:left w:w="108" w:type="dxa"/>
            <w:bottom w:w="0" w:type="dxa"/>
            <w:right w:w="108" w:type="dxa"/>
          </w:tblCellMar>
        </w:tblPrEx>
        <w:tc>
          <w:tcPr>
            <w:tcW w:w="1386" w:type="dxa"/>
            <w:tcBorders>
              <w:top w:val="nil"/>
              <w:left w:val="nil"/>
              <w:bottom w:val="nil"/>
              <w:right w:val="nil"/>
            </w:tcBorders>
            <w:shd w:val="clear" w:color="auto" w:fill="auto"/>
            <w:noWrap/>
          </w:tcPr>
          <w:p>
            <w:pPr>
              <w:pStyle w:val="59"/>
              <w:rPr>
                <w:rFonts w:eastAsia="宋体"/>
              </w:rPr>
            </w:pPr>
            <w:r>
              <w:rPr>
                <w:rFonts w:eastAsia="宋体"/>
              </w:rPr>
              <w:t>XP_016514139.1</w:t>
            </w:r>
          </w:p>
        </w:tc>
        <w:tc>
          <w:tcPr>
            <w:tcW w:w="902" w:type="dxa"/>
            <w:tcBorders>
              <w:top w:val="nil"/>
              <w:left w:val="nil"/>
              <w:bottom w:val="nil"/>
              <w:right w:val="nil"/>
            </w:tcBorders>
            <w:shd w:val="clear" w:color="auto" w:fill="auto"/>
            <w:noWrap/>
          </w:tcPr>
          <w:p>
            <w:pPr>
              <w:pStyle w:val="59"/>
              <w:rPr>
                <w:rFonts w:eastAsia="宋体"/>
              </w:rPr>
            </w:pPr>
            <w:r>
              <w:rPr>
                <w:rFonts w:eastAsia="宋体"/>
              </w:rPr>
              <w:t>97.8</w:t>
            </w:r>
          </w:p>
        </w:tc>
        <w:tc>
          <w:tcPr>
            <w:tcW w:w="905" w:type="dxa"/>
            <w:tcBorders>
              <w:top w:val="nil"/>
              <w:left w:val="nil"/>
              <w:bottom w:val="nil"/>
              <w:right w:val="nil"/>
            </w:tcBorders>
            <w:shd w:val="clear" w:color="auto" w:fill="auto"/>
            <w:noWrap/>
          </w:tcPr>
          <w:p>
            <w:pPr>
              <w:pStyle w:val="59"/>
              <w:rPr>
                <w:rFonts w:eastAsia="宋体"/>
              </w:rPr>
            </w:pPr>
            <w:r>
              <w:rPr>
                <w:rFonts w:eastAsia="宋体"/>
              </w:rPr>
              <w:t>67.4</w:t>
            </w:r>
          </w:p>
        </w:tc>
        <w:tc>
          <w:tcPr>
            <w:tcW w:w="902" w:type="dxa"/>
            <w:tcBorders>
              <w:top w:val="nil"/>
              <w:left w:val="nil"/>
              <w:bottom w:val="nil"/>
              <w:right w:val="nil"/>
            </w:tcBorders>
            <w:shd w:val="clear" w:color="auto" w:fill="auto"/>
            <w:noWrap/>
          </w:tcPr>
          <w:p>
            <w:pPr>
              <w:pStyle w:val="59"/>
              <w:rPr>
                <w:rFonts w:eastAsia="宋体"/>
              </w:rPr>
            </w:pPr>
            <w:r>
              <w:rPr>
                <w:rFonts w:eastAsia="宋体"/>
              </w:rPr>
              <w:t>67.4</w:t>
            </w:r>
          </w:p>
        </w:tc>
        <w:tc>
          <w:tcPr>
            <w:tcW w:w="905" w:type="dxa"/>
            <w:tcBorders>
              <w:top w:val="nil"/>
              <w:left w:val="nil"/>
              <w:bottom w:val="nil"/>
              <w:right w:val="nil"/>
            </w:tcBorders>
            <w:shd w:val="clear" w:color="auto" w:fill="auto"/>
            <w:noWrap/>
          </w:tcPr>
          <w:p>
            <w:pPr>
              <w:pStyle w:val="59"/>
              <w:rPr>
                <w:rFonts w:eastAsia="宋体"/>
              </w:rPr>
            </w:pPr>
            <w:r>
              <w:rPr>
                <w:rFonts w:eastAsia="宋体"/>
              </w:rPr>
              <w:t>40.6</w:t>
            </w:r>
          </w:p>
        </w:tc>
        <w:tc>
          <w:tcPr>
            <w:tcW w:w="905" w:type="dxa"/>
            <w:tcBorders>
              <w:top w:val="nil"/>
              <w:left w:val="nil"/>
              <w:bottom w:val="nil"/>
              <w:right w:val="nil"/>
            </w:tcBorders>
            <w:shd w:val="clear" w:color="auto" w:fill="auto"/>
            <w:noWrap/>
          </w:tcPr>
          <w:p>
            <w:pPr>
              <w:pStyle w:val="59"/>
              <w:rPr>
                <w:rFonts w:eastAsia="宋体"/>
              </w:rPr>
            </w:pPr>
            <w:r>
              <w:rPr>
                <w:rFonts w:eastAsia="宋体"/>
              </w:rPr>
              <w:t>41.2</w:t>
            </w:r>
          </w:p>
        </w:tc>
        <w:tc>
          <w:tcPr>
            <w:tcW w:w="902" w:type="dxa"/>
            <w:tcBorders>
              <w:top w:val="nil"/>
              <w:left w:val="nil"/>
              <w:bottom w:val="nil"/>
              <w:right w:val="nil"/>
            </w:tcBorders>
            <w:shd w:val="clear" w:color="auto" w:fill="auto"/>
            <w:noWrap/>
          </w:tcPr>
          <w:p>
            <w:pPr>
              <w:pStyle w:val="59"/>
              <w:rPr>
                <w:rFonts w:eastAsia="宋体"/>
              </w:rPr>
            </w:pPr>
            <w:r>
              <w:rPr>
                <w:rFonts w:eastAsia="宋体"/>
              </w:rPr>
              <w:t>39.2</w:t>
            </w:r>
          </w:p>
        </w:tc>
        <w:tc>
          <w:tcPr>
            <w:tcW w:w="905" w:type="dxa"/>
            <w:tcBorders>
              <w:top w:val="nil"/>
              <w:left w:val="nil"/>
              <w:bottom w:val="nil"/>
              <w:right w:val="nil"/>
            </w:tcBorders>
            <w:shd w:val="clear" w:color="auto" w:fill="auto"/>
            <w:noWrap/>
          </w:tcPr>
          <w:p>
            <w:pPr>
              <w:pStyle w:val="59"/>
              <w:rPr>
                <w:rFonts w:eastAsia="宋体"/>
              </w:rPr>
            </w:pPr>
            <w:r>
              <w:rPr>
                <w:rFonts w:eastAsia="宋体"/>
              </w:rPr>
              <w:t>39.5</w:t>
            </w:r>
          </w:p>
        </w:tc>
        <w:tc>
          <w:tcPr>
            <w:tcW w:w="902" w:type="dxa"/>
            <w:tcBorders>
              <w:top w:val="nil"/>
              <w:left w:val="nil"/>
              <w:bottom w:val="nil"/>
              <w:right w:val="nil"/>
            </w:tcBorders>
            <w:shd w:val="clear" w:color="auto" w:fill="auto"/>
            <w:noWrap/>
          </w:tcPr>
          <w:p>
            <w:pPr>
              <w:pStyle w:val="59"/>
              <w:rPr>
                <w:rFonts w:eastAsia="宋体"/>
              </w:rPr>
            </w:pPr>
            <w:r>
              <w:rPr>
                <w:rFonts w:eastAsia="宋体"/>
              </w:rPr>
              <w:t>37.7</w:t>
            </w:r>
          </w:p>
        </w:tc>
        <w:tc>
          <w:tcPr>
            <w:tcW w:w="905" w:type="dxa"/>
            <w:tcBorders>
              <w:top w:val="nil"/>
              <w:left w:val="nil"/>
              <w:bottom w:val="nil"/>
              <w:right w:val="nil"/>
            </w:tcBorders>
            <w:shd w:val="clear" w:color="auto" w:fill="auto"/>
            <w:noWrap/>
          </w:tcPr>
          <w:p>
            <w:pPr>
              <w:pStyle w:val="59"/>
              <w:rPr>
                <w:rFonts w:eastAsia="宋体"/>
              </w:rPr>
            </w:pPr>
            <w:r>
              <w:rPr>
                <w:rFonts w:eastAsia="宋体"/>
              </w:rPr>
              <w:t>39.7</w:t>
            </w:r>
          </w:p>
        </w:tc>
        <w:tc>
          <w:tcPr>
            <w:tcW w:w="902" w:type="dxa"/>
            <w:tcBorders>
              <w:top w:val="nil"/>
              <w:left w:val="nil"/>
              <w:bottom w:val="nil"/>
              <w:right w:val="nil"/>
            </w:tcBorders>
            <w:shd w:val="clear" w:color="auto" w:fill="auto"/>
            <w:noWrap/>
          </w:tcPr>
          <w:p>
            <w:pPr>
              <w:pStyle w:val="59"/>
              <w:rPr>
                <w:rFonts w:eastAsia="宋体"/>
              </w:rPr>
            </w:pPr>
            <w:r>
              <w:rPr>
                <w:rFonts w:eastAsia="宋体"/>
              </w:rPr>
              <w:t>40.4</w:t>
            </w:r>
          </w:p>
        </w:tc>
      </w:tr>
      <w:tr>
        <w:tblPrEx>
          <w:tblLayout w:type="fixed"/>
          <w:tblCellMar>
            <w:top w:w="0" w:type="dxa"/>
            <w:left w:w="108" w:type="dxa"/>
            <w:bottom w:w="0" w:type="dxa"/>
            <w:right w:w="108" w:type="dxa"/>
          </w:tblCellMar>
        </w:tblPrEx>
        <w:tc>
          <w:tcPr>
            <w:tcW w:w="1386" w:type="dxa"/>
            <w:tcBorders>
              <w:top w:val="nil"/>
              <w:left w:val="nil"/>
              <w:bottom w:val="nil"/>
              <w:right w:val="nil"/>
            </w:tcBorders>
            <w:shd w:val="clear" w:color="auto" w:fill="auto"/>
            <w:noWrap/>
          </w:tcPr>
          <w:p>
            <w:pPr>
              <w:pStyle w:val="59"/>
              <w:rPr>
                <w:rFonts w:eastAsia="宋体"/>
              </w:rPr>
            </w:pPr>
            <w:r>
              <w:rPr>
                <w:rFonts w:eastAsia="宋体"/>
              </w:rPr>
              <w:t>XP_016457437.1</w:t>
            </w:r>
          </w:p>
        </w:tc>
        <w:tc>
          <w:tcPr>
            <w:tcW w:w="902" w:type="dxa"/>
            <w:tcBorders>
              <w:top w:val="nil"/>
              <w:left w:val="nil"/>
              <w:bottom w:val="nil"/>
              <w:right w:val="nil"/>
            </w:tcBorders>
            <w:shd w:val="clear" w:color="auto" w:fill="auto"/>
            <w:noWrap/>
          </w:tcPr>
          <w:p>
            <w:pPr>
              <w:pStyle w:val="59"/>
              <w:rPr>
                <w:rFonts w:eastAsia="宋体"/>
              </w:rPr>
            </w:pPr>
          </w:p>
        </w:tc>
        <w:tc>
          <w:tcPr>
            <w:tcW w:w="905" w:type="dxa"/>
            <w:tcBorders>
              <w:top w:val="nil"/>
              <w:left w:val="nil"/>
              <w:bottom w:val="nil"/>
              <w:right w:val="nil"/>
            </w:tcBorders>
            <w:shd w:val="clear" w:color="auto" w:fill="auto"/>
            <w:noWrap/>
          </w:tcPr>
          <w:p>
            <w:pPr>
              <w:pStyle w:val="59"/>
              <w:rPr>
                <w:rFonts w:eastAsia="宋体"/>
              </w:rPr>
            </w:pPr>
            <w:r>
              <w:rPr>
                <w:rFonts w:eastAsia="宋体"/>
              </w:rPr>
              <w:t>67.7</w:t>
            </w:r>
          </w:p>
        </w:tc>
        <w:tc>
          <w:tcPr>
            <w:tcW w:w="902" w:type="dxa"/>
            <w:tcBorders>
              <w:top w:val="nil"/>
              <w:left w:val="nil"/>
              <w:bottom w:val="nil"/>
              <w:right w:val="nil"/>
            </w:tcBorders>
            <w:shd w:val="clear" w:color="auto" w:fill="auto"/>
            <w:noWrap/>
          </w:tcPr>
          <w:p>
            <w:pPr>
              <w:pStyle w:val="59"/>
              <w:rPr>
                <w:rFonts w:eastAsia="宋体"/>
              </w:rPr>
            </w:pPr>
            <w:r>
              <w:rPr>
                <w:rFonts w:eastAsia="宋体"/>
              </w:rPr>
              <w:t>67.9</w:t>
            </w:r>
          </w:p>
        </w:tc>
        <w:tc>
          <w:tcPr>
            <w:tcW w:w="905" w:type="dxa"/>
            <w:tcBorders>
              <w:top w:val="nil"/>
              <w:left w:val="nil"/>
              <w:bottom w:val="nil"/>
              <w:right w:val="nil"/>
            </w:tcBorders>
            <w:shd w:val="clear" w:color="auto" w:fill="auto"/>
            <w:noWrap/>
          </w:tcPr>
          <w:p>
            <w:pPr>
              <w:pStyle w:val="59"/>
              <w:rPr>
                <w:rFonts w:eastAsia="宋体"/>
              </w:rPr>
            </w:pPr>
            <w:r>
              <w:rPr>
                <w:rFonts w:eastAsia="宋体"/>
              </w:rPr>
              <w:t>40.6</w:t>
            </w:r>
          </w:p>
        </w:tc>
        <w:tc>
          <w:tcPr>
            <w:tcW w:w="905" w:type="dxa"/>
            <w:tcBorders>
              <w:top w:val="nil"/>
              <w:left w:val="nil"/>
              <w:bottom w:val="nil"/>
              <w:right w:val="nil"/>
            </w:tcBorders>
            <w:shd w:val="clear" w:color="auto" w:fill="auto"/>
            <w:noWrap/>
          </w:tcPr>
          <w:p>
            <w:pPr>
              <w:pStyle w:val="59"/>
              <w:rPr>
                <w:rFonts w:eastAsia="宋体"/>
              </w:rPr>
            </w:pPr>
            <w:r>
              <w:rPr>
                <w:rFonts w:eastAsia="宋体"/>
              </w:rPr>
              <w:t>41.2</w:t>
            </w:r>
          </w:p>
        </w:tc>
        <w:tc>
          <w:tcPr>
            <w:tcW w:w="902" w:type="dxa"/>
            <w:tcBorders>
              <w:top w:val="nil"/>
              <w:left w:val="nil"/>
              <w:bottom w:val="nil"/>
              <w:right w:val="nil"/>
            </w:tcBorders>
            <w:shd w:val="clear" w:color="auto" w:fill="auto"/>
            <w:noWrap/>
          </w:tcPr>
          <w:p>
            <w:pPr>
              <w:pStyle w:val="59"/>
              <w:rPr>
                <w:rFonts w:eastAsia="宋体"/>
              </w:rPr>
            </w:pPr>
            <w:r>
              <w:rPr>
                <w:rFonts w:eastAsia="宋体"/>
              </w:rPr>
              <w:t>39.2</w:t>
            </w:r>
          </w:p>
        </w:tc>
        <w:tc>
          <w:tcPr>
            <w:tcW w:w="905" w:type="dxa"/>
            <w:tcBorders>
              <w:top w:val="nil"/>
              <w:left w:val="nil"/>
              <w:bottom w:val="nil"/>
              <w:right w:val="nil"/>
            </w:tcBorders>
            <w:shd w:val="clear" w:color="auto" w:fill="auto"/>
            <w:noWrap/>
          </w:tcPr>
          <w:p>
            <w:pPr>
              <w:pStyle w:val="59"/>
              <w:rPr>
                <w:rFonts w:eastAsia="宋体"/>
              </w:rPr>
            </w:pPr>
            <w:r>
              <w:rPr>
                <w:rFonts w:eastAsia="宋体"/>
              </w:rPr>
              <w:t>39.5</w:t>
            </w:r>
          </w:p>
        </w:tc>
        <w:tc>
          <w:tcPr>
            <w:tcW w:w="902" w:type="dxa"/>
            <w:tcBorders>
              <w:top w:val="nil"/>
              <w:left w:val="nil"/>
              <w:bottom w:val="nil"/>
              <w:right w:val="nil"/>
            </w:tcBorders>
            <w:shd w:val="clear" w:color="auto" w:fill="auto"/>
            <w:noWrap/>
          </w:tcPr>
          <w:p>
            <w:pPr>
              <w:pStyle w:val="59"/>
              <w:rPr>
                <w:rFonts w:eastAsia="宋体"/>
              </w:rPr>
            </w:pPr>
            <w:r>
              <w:rPr>
                <w:rFonts w:eastAsia="宋体"/>
              </w:rPr>
              <w:t>37.7</w:t>
            </w:r>
          </w:p>
        </w:tc>
        <w:tc>
          <w:tcPr>
            <w:tcW w:w="905" w:type="dxa"/>
            <w:tcBorders>
              <w:top w:val="nil"/>
              <w:left w:val="nil"/>
              <w:bottom w:val="nil"/>
              <w:right w:val="nil"/>
            </w:tcBorders>
            <w:shd w:val="clear" w:color="auto" w:fill="auto"/>
            <w:noWrap/>
          </w:tcPr>
          <w:p>
            <w:pPr>
              <w:pStyle w:val="59"/>
              <w:rPr>
                <w:rFonts w:eastAsia="宋体"/>
              </w:rPr>
            </w:pPr>
            <w:r>
              <w:rPr>
                <w:rFonts w:eastAsia="宋体"/>
              </w:rPr>
              <w:t>39.7</w:t>
            </w:r>
          </w:p>
        </w:tc>
        <w:tc>
          <w:tcPr>
            <w:tcW w:w="902" w:type="dxa"/>
            <w:tcBorders>
              <w:top w:val="nil"/>
              <w:left w:val="nil"/>
              <w:bottom w:val="nil"/>
              <w:right w:val="nil"/>
            </w:tcBorders>
            <w:shd w:val="clear" w:color="auto" w:fill="auto"/>
            <w:noWrap/>
          </w:tcPr>
          <w:p>
            <w:pPr>
              <w:pStyle w:val="59"/>
              <w:rPr>
                <w:rFonts w:eastAsia="宋体"/>
              </w:rPr>
            </w:pPr>
            <w:r>
              <w:rPr>
                <w:rFonts w:eastAsia="宋体"/>
              </w:rPr>
              <w:t>40.4</w:t>
            </w:r>
          </w:p>
        </w:tc>
      </w:tr>
      <w:tr>
        <w:tblPrEx>
          <w:tblLayout w:type="fixed"/>
          <w:tblCellMar>
            <w:top w:w="0" w:type="dxa"/>
            <w:left w:w="108" w:type="dxa"/>
            <w:bottom w:w="0" w:type="dxa"/>
            <w:right w:w="108" w:type="dxa"/>
          </w:tblCellMar>
        </w:tblPrEx>
        <w:tc>
          <w:tcPr>
            <w:tcW w:w="1386" w:type="dxa"/>
            <w:tcBorders>
              <w:top w:val="nil"/>
              <w:left w:val="nil"/>
              <w:bottom w:val="nil"/>
              <w:right w:val="nil"/>
            </w:tcBorders>
            <w:shd w:val="clear" w:color="auto" w:fill="auto"/>
            <w:noWrap/>
          </w:tcPr>
          <w:p>
            <w:pPr>
              <w:pStyle w:val="59"/>
              <w:rPr>
                <w:rFonts w:eastAsia="宋体"/>
              </w:rPr>
            </w:pPr>
            <w:r>
              <w:rPr>
                <w:rFonts w:eastAsia="宋体"/>
              </w:rPr>
              <w:t>XP_016482301.1</w:t>
            </w:r>
          </w:p>
        </w:tc>
        <w:tc>
          <w:tcPr>
            <w:tcW w:w="902" w:type="dxa"/>
            <w:tcBorders>
              <w:top w:val="nil"/>
              <w:left w:val="nil"/>
              <w:bottom w:val="nil"/>
              <w:right w:val="nil"/>
            </w:tcBorders>
            <w:shd w:val="clear" w:color="auto" w:fill="auto"/>
            <w:noWrap/>
          </w:tcPr>
          <w:p>
            <w:pPr>
              <w:pStyle w:val="59"/>
              <w:rPr>
                <w:rFonts w:eastAsia="宋体"/>
              </w:rPr>
            </w:pPr>
          </w:p>
        </w:tc>
        <w:tc>
          <w:tcPr>
            <w:tcW w:w="905" w:type="dxa"/>
            <w:tcBorders>
              <w:top w:val="nil"/>
              <w:left w:val="nil"/>
              <w:bottom w:val="nil"/>
              <w:right w:val="nil"/>
            </w:tcBorders>
            <w:shd w:val="clear" w:color="auto" w:fill="auto"/>
            <w:noWrap/>
          </w:tcPr>
          <w:p>
            <w:pPr>
              <w:pStyle w:val="59"/>
              <w:rPr>
                <w:rFonts w:eastAsia="宋体"/>
              </w:rPr>
            </w:pPr>
          </w:p>
        </w:tc>
        <w:tc>
          <w:tcPr>
            <w:tcW w:w="902" w:type="dxa"/>
            <w:tcBorders>
              <w:top w:val="nil"/>
              <w:left w:val="nil"/>
              <w:bottom w:val="nil"/>
              <w:right w:val="nil"/>
            </w:tcBorders>
            <w:shd w:val="clear" w:color="auto" w:fill="auto"/>
            <w:noWrap/>
          </w:tcPr>
          <w:p>
            <w:pPr>
              <w:pStyle w:val="59"/>
              <w:rPr>
                <w:rFonts w:eastAsia="宋体"/>
              </w:rPr>
            </w:pPr>
            <w:r>
              <w:rPr>
                <w:rFonts w:eastAsia="宋体"/>
              </w:rPr>
              <w:t>97.0</w:t>
            </w:r>
          </w:p>
        </w:tc>
        <w:tc>
          <w:tcPr>
            <w:tcW w:w="905" w:type="dxa"/>
            <w:tcBorders>
              <w:top w:val="nil"/>
              <w:left w:val="nil"/>
              <w:bottom w:val="nil"/>
              <w:right w:val="nil"/>
            </w:tcBorders>
            <w:shd w:val="clear" w:color="auto" w:fill="auto"/>
            <w:noWrap/>
          </w:tcPr>
          <w:p>
            <w:pPr>
              <w:pStyle w:val="59"/>
              <w:rPr>
                <w:rFonts w:eastAsia="宋体"/>
              </w:rPr>
            </w:pPr>
            <w:r>
              <w:rPr>
                <w:rFonts w:eastAsia="宋体"/>
              </w:rPr>
              <w:t>41.2</w:t>
            </w:r>
          </w:p>
        </w:tc>
        <w:tc>
          <w:tcPr>
            <w:tcW w:w="905" w:type="dxa"/>
            <w:tcBorders>
              <w:top w:val="nil"/>
              <w:left w:val="nil"/>
              <w:bottom w:val="nil"/>
              <w:right w:val="nil"/>
            </w:tcBorders>
            <w:shd w:val="clear" w:color="auto" w:fill="auto"/>
            <w:noWrap/>
          </w:tcPr>
          <w:p>
            <w:pPr>
              <w:pStyle w:val="59"/>
              <w:rPr>
                <w:rFonts w:eastAsia="宋体"/>
              </w:rPr>
            </w:pPr>
            <w:r>
              <w:rPr>
                <w:rFonts w:eastAsia="宋体"/>
              </w:rPr>
              <w:t>41.7</w:t>
            </w:r>
          </w:p>
        </w:tc>
        <w:tc>
          <w:tcPr>
            <w:tcW w:w="902" w:type="dxa"/>
            <w:tcBorders>
              <w:top w:val="nil"/>
              <w:left w:val="nil"/>
              <w:bottom w:val="nil"/>
              <w:right w:val="nil"/>
            </w:tcBorders>
            <w:shd w:val="clear" w:color="auto" w:fill="auto"/>
            <w:noWrap/>
          </w:tcPr>
          <w:p>
            <w:pPr>
              <w:pStyle w:val="59"/>
              <w:rPr>
                <w:rFonts w:eastAsia="宋体"/>
              </w:rPr>
            </w:pPr>
            <w:r>
              <w:rPr>
                <w:rFonts w:eastAsia="宋体"/>
              </w:rPr>
              <w:t>38.9</w:t>
            </w:r>
          </w:p>
        </w:tc>
        <w:tc>
          <w:tcPr>
            <w:tcW w:w="905" w:type="dxa"/>
            <w:tcBorders>
              <w:top w:val="nil"/>
              <w:left w:val="nil"/>
              <w:bottom w:val="nil"/>
              <w:right w:val="nil"/>
            </w:tcBorders>
            <w:shd w:val="clear" w:color="auto" w:fill="auto"/>
            <w:noWrap/>
          </w:tcPr>
          <w:p>
            <w:pPr>
              <w:pStyle w:val="59"/>
              <w:rPr>
                <w:rFonts w:eastAsia="宋体"/>
              </w:rPr>
            </w:pPr>
            <w:r>
              <w:rPr>
                <w:rFonts w:eastAsia="宋体"/>
              </w:rPr>
              <w:t>38.9</w:t>
            </w:r>
          </w:p>
        </w:tc>
        <w:tc>
          <w:tcPr>
            <w:tcW w:w="902" w:type="dxa"/>
            <w:tcBorders>
              <w:top w:val="nil"/>
              <w:left w:val="nil"/>
              <w:bottom w:val="nil"/>
              <w:right w:val="nil"/>
            </w:tcBorders>
            <w:shd w:val="clear" w:color="auto" w:fill="auto"/>
            <w:noWrap/>
          </w:tcPr>
          <w:p>
            <w:pPr>
              <w:pStyle w:val="59"/>
              <w:rPr>
                <w:rFonts w:eastAsia="宋体"/>
              </w:rPr>
            </w:pPr>
            <w:r>
              <w:rPr>
                <w:rFonts w:eastAsia="宋体"/>
              </w:rPr>
              <w:t>37.7</w:t>
            </w:r>
          </w:p>
        </w:tc>
        <w:tc>
          <w:tcPr>
            <w:tcW w:w="905" w:type="dxa"/>
            <w:tcBorders>
              <w:top w:val="nil"/>
              <w:left w:val="nil"/>
              <w:bottom w:val="nil"/>
              <w:right w:val="nil"/>
            </w:tcBorders>
            <w:shd w:val="clear" w:color="auto" w:fill="auto"/>
            <w:noWrap/>
          </w:tcPr>
          <w:p>
            <w:pPr>
              <w:pStyle w:val="59"/>
              <w:rPr>
                <w:rFonts w:eastAsia="宋体"/>
              </w:rPr>
            </w:pPr>
            <w:r>
              <w:rPr>
                <w:rFonts w:eastAsia="宋体"/>
              </w:rPr>
              <w:t>41.3</w:t>
            </w:r>
          </w:p>
        </w:tc>
        <w:tc>
          <w:tcPr>
            <w:tcW w:w="902" w:type="dxa"/>
            <w:tcBorders>
              <w:top w:val="nil"/>
              <w:left w:val="nil"/>
              <w:bottom w:val="nil"/>
              <w:right w:val="nil"/>
            </w:tcBorders>
            <w:shd w:val="clear" w:color="auto" w:fill="auto"/>
            <w:noWrap/>
          </w:tcPr>
          <w:p>
            <w:pPr>
              <w:pStyle w:val="59"/>
              <w:rPr>
                <w:rFonts w:eastAsia="宋体"/>
              </w:rPr>
            </w:pPr>
            <w:r>
              <w:rPr>
                <w:rFonts w:eastAsia="宋体"/>
              </w:rPr>
              <w:t>41.4</w:t>
            </w:r>
          </w:p>
        </w:tc>
      </w:tr>
      <w:tr>
        <w:tblPrEx>
          <w:tblLayout w:type="fixed"/>
          <w:tblCellMar>
            <w:top w:w="0" w:type="dxa"/>
            <w:left w:w="108" w:type="dxa"/>
            <w:bottom w:w="0" w:type="dxa"/>
            <w:right w:w="108" w:type="dxa"/>
          </w:tblCellMar>
        </w:tblPrEx>
        <w:tc>
          <w:tcPr>
            <w:tcW w:w="1386" w:type="dxa"/>
            <w:tcBorders>
              <w:top w:val="nil"/>
              <w:left w:val="nil"/>
              <w:bottom w:val="nil"/>
              <w:right w:val="nil"/>
            </w:tcBorders>
            <w:shd w:val="clear" w:color="auto" w:fill="auto"/>
            <w:noWrap/>
          </w:tcPr>
          <w:p>
            <w:pPr>
              <w:pStyle w:val="59"/>
              <w:rPr>
                <w:rFonts w:eastAsia="宋体"/>
              </w:rPr>
            </w:pPr>
            <w:r>
              <w:rPr>
                <w:rFonts w:eastAsia="宋体"/>
              </w:rPr>
              <w:t>XP_016446648.1</w:t>
            </w:r>
          </w:p>
        </w:tc>
        <w:tc>
          <w:tcPr>
            <w:tcW w:w="902" w:type="dxa"/>
            <w:tcBorders>
              <w:top w:val="nil"/>
              <w:left w:val="nil"/>
              <w:bottom w:val="nil"/>
              <w:right w:val="nil"/>
            </w:tcBorders>
            <w:shd w:val="clear" w:color="auto" w:fill="auto"/>
            <w:noWrap/>
          </w:tcPr>
          <w:p>
            <w:pPr>
              <w:pStyle w:val="59"/>
              <w:rPr>
                <w:rFonts w:eastAsia="宋体"/>
              </w:rPr>
            </w:pPr>
          </w:p>
        </w:tc>
        <w:tc>
          <w:tcPr>
            <w:tcW w:w="905" w:type="dxa"/>
            <w:tcBorders>
              <w:top w:val="nil"/>
              <w:left w:val="nil"/>
              <w:bottom w:val="nil"/>
              <w:right w:val="nil"/>
            </w:tcBorders>
            <w:shd w:val="clear" w:color="auto" w:fill="auto"/>
            <w:noWrap/>
          </w:tcPr>
          <w:p>
            <w:pPr>
              <w:pStyle w:val="59"/>
              <w:rPr>
                <w:rFonts w:eastAsia="宋体"/>
              </w:rPr>
            </w:pPr>
          </w:p>
        </w:tc>
        <w:tc>
          <w:tcPr>
            <w:tcW w:w="902" w:type="dxa"/>
            <w:tcBorders>
              <w:top w:val="nil"/>
              <w:left w:val="nil"/>
              <w:bottom w:val="nil"/>
              <w:right w:val="nil"/>
            </w:tcBorders>
            <w:shd w:val="clear" w:color="auto" w:fill="auto"/>
            <w:noWrap/>
          </w:tcPr>
          <w:p>
            <w:pPr>
              <w:pStyle w:val="59"/>
              <w:rPr>
                <w:rFonts w:eastAsia="宋体"/>
              </w:rPr>
            </w:pPr>
          </w:p>
        </w:tc>
        <w:tc>
          <w:tcPr>
            <w:tcW w:w="905" w:type="dxa"/>
            <w:tcBorders>
              <w:top w:val="nil"/>
              <w:left w:val="nil"/>
              <w:bottom w:val="nil"/>
              <w:right w:val="nil"/>
            </w:tcBorders>
            <w:shd w:val="clear" w:color="auto" w:fill="auto"/>
            <w:noWrap/>
          </w:tcPr>
          <w:p>
            <w:pPr>
              <w:pStyle w:val="59"/>
              <w:rPr>
                <w:rFonts w:eastAsia="宋体"/>
              </w:rPr>
            </w:pPr>
            <w:r>
              <w:rPr>
                <w:rFonts w:eastAsia="宋体"/>
              </w:rPr>
              <w:t>40.4</w:t>
            </w:r>
          </w:p>
        </w:tc>
        <w:tc>
          <w:tcPr>
            <w:tcW w:w="905" w:type="dxa"/>
            <w:tcBorders>
              <w:top w:val="nil"/>
              <w:left w:val="nil"/>
              <w:bottom w:val="nil"/>
              <w:right w:val="nil"/>
            </w:tcBorders>
            <w:shd w:val="clear" w:color="auto" w:fill="auto"/>
            <w:noWrap/>
          </w:tcPr>
          <w:p>
            <w:pPr>
              <w:pStyle w:val="59"/>
              <w:rPr>
                <w:rFonts w:eastAsia="宋体"/>
              </w:rPr>
            </w:pPr>
            <w:r>
              <w:rPr>
                <w:rFonts w:eastAsia="宋体"/>
              </w:rPr>
              <w:t>40.9</w:t>
            </w:r>
          </w:p>
        </w:tc>
        <w:tc>
          <w:tcPr>
            <w:tcW w:w="902" w:type="dxa"/>
            <w:tcBorders>
              <w:top w:val="nil"/>
              <w:left w:val="nil"/>
              <w:bottom w:val="nil"/>
              <w:right w:val="nil"/>
            </w:tcBorders>
            <w:shd w:val="clear" w:color="auto" w:fill="auto"/>
            <w:noWrap/>
          </w:tcPr>
          <w:p>
            <w:pPr>
              <w:pStyle w:val="59"/>
              <w:rPr>
                <w:rFonts w:eastAsia="宋体"/>
              </w:rPr>
            </w:pPr>
            <w:r>
              <w:rPr>
                <w:rFonts w:eastAsia="宋体"/>
              </w:rPr>
              <w:t>38.1</w:t>
            </w:r>
          </w:p>
        </w:tc>
        <w:tc>
          <w:tcPr>
            <w:tcW w:w="905" w:type="dxa"/>
            <w:tcBorders>
              <w:top w:val="nil"/>
              <w:left w:val="nil"/>
              <w:bottom w:val="nil"/>
              <w:right w:val="nil"/>
            </w:tcBorders>
            <w:shd w:val="clear" w:color="auto" w:fill="auto"/>
            <w:noWrap/>
          </w:tcPr>
          <w:p>
            <w:pPr>
              <w:pStyle w:val="59"/>
              <w:rPr>
                <w:rFonts w:eastAsia="宋体"/>
              </w:rPr>
            </w:pPr>
            <w:r>
              <w:rPr>
                <w:rFonts w:eastAsia="宋体"/>
              </w:rPr>
              <w:t>38.4</w:t>
            </w:r>
          </w:p>
        </w:tc>
        <w:tc>
          <w:tcPr>
            <w:tcW w:w="902" w:type="dxa"/>
            <w:tcBorders>
              <w:top w:val="nil"/>
              <w:left w:val="nil"/>
              <w:bottom w:val="nil"/>
              <w:right w:val="nil"/>
            </w:tcBorders>
            <w:shd w:val="clear" w:color="auto" w:fill="auto"/>
            <w:noWrap/>
          </w:tcPr>
          <w:p>
            <w:pPr>
              <w:pStyle w:val="59"/>
              <w:rPr>
                <w:rFonts w:eastAsia="宋体"/>
              </w:rPr>
            </w:pPr>
            <w:r>
              <w:rPr>
                <w:rFonts w:eastAsia="宋体"/>
              </w:rPr>
              <w:t>36.9</w:t>
            </w:r>
          </w:p>
        </w:tc>
        <w:tc>
          <w:tcPr>
            <w:tcW w:w="905" w:type="dxa"/>
            <w:tcBorders>
              <w:top w:val="nil"/>
              <w:left w:val="nil"/>
              <w:bottom w:val="nil"/>
              <w:right w:val="nil"/>
            </w:tcBorders>
            <w:shd w:val="clear" w:color="auto" w:fill="auto"/>
            <w:noWrap/>
          </w:tcPr>
          <w:p>
            <w:pPr>
              <w:pStyle w:val="59"/>
              <w:rPr>
                <w:rFonts w:eastAsia="宋体"/>
              </w:rPr>
            </w:pPr>
            <w:r>
              <w:rPr>
                <w:rFonts w:eastAsia="宋体"/>
              </w:rPr>
              <w:t>40.8</w:t>
            </w:r>
          </w:p>
        </w:tc>
        <w:tc>
          <w:tcPr>
            <w:tcW w:w="902" w:type="dxa"/>
            <w:tcBorders>
              <w:top w:val="nil"/>
              <w:left w:val="nil"/>
              <w:bottom w:val="nil"/>
              <w:right w:val="nil"/>
            </w:tcBorders>
            <w:shd w:val="clear" w:color="auto" w:fill="auto"/>
            <w:noWrap/>
          </w:tcPr>
          <w:p>
            <w:pPr>
              <w:pStyle w:val="59"/>
              <w:rPr>
                <w:rFonts w:eastAsia="宋体"/>
              </w:rPr>
            </w:pPr>
            <w:r>
              <w:rPr>
                <w:rFonts w:eastAsia="宋体"/>
              </w:rPr>
              <w:t>41.2</w:t>
            </w:r>
          </w:p>
        </w:tc>
      </w:tr>
      <w:tr>
        <w:tblPrEx>
          <w:tblLayout w:type="fixed"/>
          <w:tblCellMar>
            <w:top w:w="0" w:type="dxa"/>
            <w:left w:w="108" w:type="dxa"/>
            <w:bottom w:w="0" w:type="dxa"/>
            <w:right w:w="108" w:type="dxa"/>
          </w:tblCellMar>
        </w:tblPrEx>
        <w:tc>
          <w:tcPr>
            <w:tcW w:w="1386" w:type="dxa"/>
            <w:tcBorders>
              <w:top w:val="nil"/>
              <w:left w:val="nil"/>
              <w:bottom w:val="nil"/>
              <w:right w:val="nil"/>
            </w:tcBorders>
            <w:shd w:val="clear" w:color="auto" w:fill="auto"/>
            <w:noWrap/>
          </w:tcPr>
          <w:p>
            <w:pPr>
              <w:pStyle w:val="59"/>
            </w:pPr>
            <w:r>
              <w:t>XP_016494384.1</w:t>
            </w:r>
          </w:p>
        </w:tc>
        <w:tc>
          <w:tcPr>
            <w:tcW w:w="902" w:type="dxa"/>
            <w:tcBorders>
              <w:top w:val="nil"/>
              <w:left w:val="nil"/>
              <w:bottom w:val="nil"/>
              <w:right w:val="nil"/>
            </w:tcBorders>
            <w:shd w:val="clear" w:color="auto" w:fill="auto"/>
            <w:noWrap/>
          </w:tcPr>
          <w:p>
            <w:pPr>
              <w:pStyle w:val="59"/>
              <w:rPr>
                <w:rFonts w:eastAsia="宋体"/>
              </w:rPr>
            </w:pPr>
          </w:p>
        </w:tc>
        <w:tc>
          <w:tcPr>
            <w:tcW w:w="905" w:type="dxa"/>
            <w:tcBorders>
              <w:top w:val="nil"/>
              <w:left w:val="nil"/>
              <w:bottom w:val="nil"/>
              <w:right w:val="nil"/>
            </w:tcBorders>
            <w:shd w:val="clear" w:color="auto" w:fill="auto"/>
            <w:noWrap/>
          </w:tcPr>
          <w:p>
            <w:pPr>
              <w:pStyle w:val="59"/>
            </w:pPr>
          </w:p>
        </w:tc>
        <w:tc>
          <w:tcPr>
            <w:tcW w:w="902" w:type="dxa"/>
            <w:tcBorders>
              <w:top w:val="nil"/>
              <w:left w:val="nil"/>
              <w:bottom w:val="nil"/>
              <w:right w:val="nil"/>
            </w:tcBorders>
            <w:shd w:val="clear" w:color="auto" w:fill="auto"/>
            <w:noWrap/>
          </w:tcPr>
          <w:p>
            <w:pPr>
              <w:pStyle w:val="59"/>
            </w:pPr>
          </w:p>
        </w:tc>
        <w:tc>
          <w:tcPr>
            <w:tcW w:w="905" w:type="dxa"/>
            <w:tcBorders>
              <w:top w:val="nil"/>
              <w:left w:val="nil"/>
              <w:bottom w:val="nil"/>
              <w:right w:val="nil"/>
            </w:tcBorders>
            <w:shd w:val="clear" w:color="auto" w:fill="auto"/>
            <w:noWrap/>
          </w:tcPr>
          <w:p>
            <w:pPr>
              <w:pStyle w:val="59"/>
            </w:pPr>
          </w:p>
        </w:tc>
        <w:tc>
          <w:tcPr>
            <w:tcW w:w="905" w:type="dxa"/>
            <w:tcBorders>
              <w:top w:val="nil"/>
              <w:left w:val="nil"/>
              <w:bottom w:val="nil"/>
              <w:right w:val="nil"/>
            </w:tcBorders>
            <w:shd w:val="clear" w:color="auto" w:fill="auto"/>
            <w:noWrap/>
          </w:tcPr>
          <w:p>
            <w:pPr>
              <w:pStyle w:val="59"/>
            </w:pPr>
            <w:r>
              <w:t>98.7</w:t>
            </w:r>
          </w:p>
        </w:tc>
        <w:tc>
          <w:tcPr>
            <w:tcW w:w="902" w:type="dxa"/>
            <w:tcBorders>
              <w:top w:val="nil"/>
              <w:left w:val="nil"/>
              <w:bottom w:val="nil"/>
              <w:right w:val="nil"/>
            </w:tcBorders>
            <w:shd w:val="clear" w:color="auto" w:fill="auto"/>
            <w:noWrap/>
          </w:tcPr>
          <w:p>
            <w:pPr>
              <w:pStyle w:val="59"/>
            </w:pPr>
            <w:r>
              <w:t>76.2</w:t>
            </w:r>
          </w:p>
        </w:tc>
        <w:tc>
          <w:tcPr>
            <w:tcW w:w="905" w:type="dxa"/>
            <w:tcBorders>
              <w:top w:val="nil"/>
              <w:left w:val="nil"/>
              <w:bottom w:val="nil"/>
              <w:right w:val="nil"/>
            </w:tcBorders>
            <w:shd w:val="clear" w:color="auto" w:fill="auto"/>
            <w:noWrap/>
          </w:tcPr>
          <w:p>
            <w:pPr>
              <w:pStyle w:val="59"/>
            </w:pPr>
            <w:r>
              <w:t>75.9</w:t>
            </w:r>
          </w:p>
        </w:tc>
        <w:tc>
          <w:tcPr>
            <w:tcW w:w="902" w:type="dxa"/>
            <w:tcBorders>
              <w:top w:val="nil"/>
              <w:left w:val="nil"/>
              <w:bottom w:val="nil"/>
              <w:right w:val="nil"/>
            </w:tcBorders>
            <w:shd w:val="clear" w:color="auto" w:fill="auto"/>
            <w:noWrap/>
          </w:tcPr>
          <w:p>
            <w:pPr>
              <w:pStyle w:val="59"/>
            </w:pPr>
            <w:r>
              <w:t>77.3</w:t>
            </w:r>
          </w:p>
        </w:tc>
        <w:tc>
          <w:tcPr>
            <w:tcW w:w="905" w:type="dxa"/>
            <w:tcBorders>
              <w:top w:val="nil"/>
              <w:left w:val="nil"/>
              <w:bottom w:val="nil"/>
              <w:right w:val="nil"/>
            </w:tcBorders>
            <w:shd w:val="clear" w:color="auto" w:fill="auto"/>
            <w:noWrap/>
          </w:tcPr>
          <w:p>
            <w:pPr>
              <w:pStyle w:val="59"/>
            </w:pPr>
            <w:r>
              <w:t>92.2</w:t>
            </w:r>
          </w:p>
        </w:tc>
        <w:tc>
          <w:tcPr>
            <w:tcW w:w="902" w:type="dxa"/>
            <w:tcBorders>
              <w:top w:val="nil"/>
              <w:left w:val="nil"/>
              <w:bottom w:val="nil"/>
              <w:right w:val="nil"/>
            </w:tcBorders>
            <w:shd w:val="clear" w:color="auto" w:fill="auto"/>
            <w:noWrap/>
          </w:tcPr>
          <w:p>
            <w:pPr>
              <w:pStyle w:val="59"/>
            </w:pPr>
            <w:r>
              <w:t>92.5</w:t>
            </w:r>
          </w:p>
        </w:tc>
      </w:tr>
      <w:tr>
        <w:tblPrEx>
          <w:tblLayout w:type="fixed"/>
          <w:tblCellMar>
            <w:top w:w="0" w:type="dxa"/>
            <w:left w:w="108" w:type="dxa"/>
            <w:bottom w:w="0" w:type="dxa"/>
            <w:right w:w="108" w:type="dxa"/>
          </w:tblCellMar>
        </w:tblPrEx>
        <w:tc>
          <w:tcPr>
            <w:tcW w:w="1386" w:type="dxa"/>
            <w:tcBorders>
              <w:top w:val="nil"/>
              <w:left w:val="nil"/>
              <w:bottom w:val="nil"/>
              <w:right w:val="nil"/>
            </w:tcBorders>
            <w:shd w:val="clear" w:color="auto" w:fill="auto"/>
            <w:noWrap/>
          </w:tcPr>
          <w:p>
            <w:pPr>
              <w:pStyle w:val="59"/>
              <w:rPr>
                <w:rFonts w:eastAsia="宋体"/>
              </w:rPr>
            </w:pPr>
            <w:r>
              <w:rPr>
                <w:rFonts w:eastAsia="宋体"/>
              </w:rPr>
              <w:t>XP_016480648.1</w:t>
            </w:r>
          </w:p>
        </w:tc>
        <w:tc>
          <w:tcPr>
            <w:tcW w:w="902" w:type="dxa"/>
            <w:tcBorders>
              <w:top w:val="nil"/>
              <w:left w:val="nil"/>
              <w:bottom w:val="nil"/>
              <w:right w:val="nil"/>
            </w:tcBorders>
            <w:shd w:val="clear" w:color="auto" w:fill="auto"/>
            <w:noWrap/>
          </w:tcPr>
          <w:p>
            <w:pPr>
              <w:pStyle w:val="59"/>
              <w:rPr>
                <w:rFonts w:eastAsia="宋体"/>
              </w:rPr>
            </w:pPr>
          </w:p>
        </w:tc>
        <w:tc>
          <w:tcPr>
            <w:tcW w:w="905" w:type="dxa"/>
            <w:tcBorders>
              <w:top w:val="nil"/>
              <w:left w:val="nil"/>
              <w:bottom w:val="nil"/>
              <w:right w:val="nil"/>
            </w:tcBorders>
            <w:shd w:val="clear" w:color="auto" w:fill="auto"/>
            <w:noWrap/>
          </w:tcPr>
          <w:p>
            <w:pPr>
              <w:pStyle w:val="59"/>
              <w:rPr>
                <w:rFonts w:eastAsia="宋体"/>
              </w:rPr>
            </w:pPr>
          </w:p>
        </w:tc>
        <w:tc>
          <w:tcPr>
            <w:tcW w:w="902" w:type="dxa"/>
            <w:tcBorders>
              <w:top w:val="nil"/>
              <w:left w:val="nil"/>
              <w:bottom w:val="nil"/>
              <w:right w:val="nil"/>
            </w:tcBorders>
            <w:shd w:val="clear" w:color="auto" w:fill="auto"/>
            <w:noWrap/>
          </w:tcPr>
          <w:p>
            <w:pPr>
              <w:pStyle w:val="59"/>
              <w:rPr>
                <w:rFonts w:eastAsia="宋体"/>
              </w:rPr>
            </w:pPr>
          </w:p>
        </w:tc>
        <w:tc>
          <w:tcPr>
            <w:tcW w:w="905" w:type="dxa"/>
            <w:tcBorders>
              <w:top w:val="nil"/>
              <w:left w:val="nil"/>
              <w:bottom w:val="nil"/>
              <w:right w:val="nil"/>
            </w:tcBorders>
            <w:shd w:val="clear" w:color="auto" w:fill="auto"/>
            <w:noWrap/>
          </w:tcPr>
          <w:p>
            <w:pPr>
              <w:pStyle w:val="59"/>
              <w:rPr>
                <w:rFonts w:eastAsia="宋体"/>
              </w:rPr>
            </w:pPr>
          </w:p>
        </w:tc>
        <w:tc>
          <w:tcPr>
            <w:tcW w:w="905" w:type="dxa"/>
            <w:tcBorders>
              <w:top w:val="nil"/>
              <w:left w:val="nil"/>
              <w:bottom w:val="nil"/>
              <w:right w:val="nil"/>
            </w:tcBorders>
            <w:shd w:val="clear" w:color="auto" w:fill="auto"/>
            <w:noWrap/>
          </w:tcPr>
          <w:p>
            <w:pPr>
              <w:pStyle w:val="59"/>
              <w:rPr>
                <w:rFonts w:eastAsia="宋体"/>
              </w:rPr>
            </w:pPr>
          </w:p>
        </w:tc>
        <w:tc>
          <w:tcPr>
            <w:tcW w:w="902" w:type="dxa"/>
            <w:tcBorders>
              <w:top w:val="nil"/>
              <w:left w:val="nil"/>
              <w:bottom w:val="nil"/>
              <w:right w:val="nil"/>
            </w:tcBorders>
            <w:shd w:val="clear" w:color="auto" w:fill="auto"/>
            <w:noWrap/>
          </w:tcPr>
          <w:p>
            <w:pPr>
              <w:pStyle w:val="59"/>
              <w:rPr>
                <w:rFonts w:eastAsia="宋体"/>
              </w:rPr>
            </w:pPr>
            <w:r>
              <w:rPr>
                <w:rFonts w:eastAsia="宋体"/>
              </w:rPr>
              <w:t>76.2</w:t>
            </w:r>
          </w:p>
        </w:tc>
        <w:tc>
          <w:tcPr>
            <w:tcW w:w="905" w:type="dxa"/>
            <w:tcBorders>
              <w:top w:val="nil"/>
              <w:left w:val="nil"/>
              <w:bottom w:val="nil"/>
              <w:right w:val="nil"/>
            </w:tcBorders>
            <w:shd w:val="clear" w:color="auto" w:fill="auto"/>
            <w:noWrap/>
          </w:tcPr>
          <w:p>
            <w:pPr>
              <w:pStyle w:val="59"/>
              <w:rPr>
                <w:rFonts w:eastAsia="宋体"/>
              </w:rPr>
            </w:pPr>
            <w:r>
              <w:rPr>
                <w:rFonts w:eastAsia="宋体"/>
              </w:rPr>
              <w:t>75.4</w:t>
            </w:r>
          </w:p>
        </w:tc>
        <w:tc>
          <w:tcPr>
            <w:tcW w:w="902" w:type="dxa"/>
            <w:tcBorders>
              <w:top w:val="nil"/>
              <w:left w:val="nil"/>
              <w:bottom w:val="nil"/>
              <w:right w:val="nil"/>
            </w:tcBorders>
            <w:shd w:val="clear" w:color="auto" w:fill="auto"/>
            <w:noWrap/>
          </w:tcPr>
          <w:p>
            <w:pPr>
              <w:pStyle w:val="59"/>
              <w:rPr>
                <w:rFonts w:eastAsia="宋体"/>
              </w:rPr>
            </w:pPr>
            <w:r>
              <w:rPr>
                <w:rFonts w:eastAsia="宋体"/>
              </w:rPr>
              <w:t>76.7</w:t>
            </w:r>
          </w:p>
        </w:tc>
        <w:tc>
          <w:tcPr>
            <w:tcW w:w="905" w:type="dxa"/>
            <w:tcBorders>
              <w:top w:val="nil"/>
              <w:left w:val="nil"/>
              <w:bottom w:val="nil"/>
              <w:right w:val="nil"/>
            </w:tcBorders>
            <w:shd w:val="clear" w:color="auto" w:fill="auto"/>
            <w:noWrap/>
          </w:tcPr>
          <w:p>
            <w:pPr>
              <w:pStyle w:val="59"/>
              <w:rPr>
                <w:rFonts w:eastAsia="宋体"/>
              </w:rPr>
            </w:pPr>
            <w:r>
              <w:rPr>
                <w:rFonts w:eastAsia="宋体"/>
              </w:rPr>
              <w:t>92.5</w:t>
            </w:r>
          </w:p>
        </w:tc>
        <w:tc>
          <w:tcPr>
            <w:tcW w:w="902" w:type="dxa"/>
            <w:tcBorders>
              <w:top w:val="nil"/>
              <w:left w:val="nil"/>
              <w:bottom w:val="nil"/>
              <w:right w:val="nil"/>
            </w:tcBorders>
            <w:shd w:val="clear" w:color="auto" w:fill="auto"/>
            <w:noWrap/>
          </w:tcPr>
          <w:p>
            <w:pPr>
              <w:pStyle w:val="59"/>
              <w:rPr>
                <w:rFonts w:eastAsia="宋体"/>
              </w:rPr>
            </w:pPr>
            <w:r>
              <w:rPr>
                <w:rFonts w:eastAsia="宋体"/>
              </w:rPr>
              <w:t>92.5</w:t>
            </w:r>
          </w:p>
        </w:tc>
      </w:tr>
      <w:tr>
        <w:tblPrEx>
          <w:tblLayout w:type="fixed"/>
          <w:tblCellMar>
            <w:top w:w="0" w:type="dxa"/>
            <w:left w:w="108" w:type="dxa"/>
            <w:bottom w:w="0" w:type="dxa"/>
            <w:right w:w="108" w:type="dxa"/>
          </w:tblCellMar>
        </w:tblPrEx>
        <w:tc>
          <w:tcPr>
            <w:tcW w:w="1386" w:type="dxa"/>
            <w:tcBorders>
              <w:top w:val="nil"/>
              <w:left w:val="nil"/>
              <w:bottom w:val="nil"/>
              <w:right w:val="nil"/>
            </w:tcBorders>
            <w:shd w:val="clear" w:color="auto" w:fill="auto"/>
            <w:noWrap/>
          </w:tcPr>
          <w:p>
            <w:pPr>
              <w:pStyle w:val="59"/>
              <w:rPr>
                <w:rFonts w:eastAsia="宋体"/>
              </w:rPr>
            </w:pPr>
            <w:r>
              <w:rPr>
                <w:rFonts w:eastAsia="宋体"/>
              </w:rPr>
              <w:t>XP_016494186.1</w:t>
            </w:r>
          </w:p>
        </w:tc>
        <w:tc>
          <w:tcPr>
            <w:tcW w:w="902" w:type="dxa"/>
            <w:tcBorders>
              <w:top w:val="nil"/>
              <w:left w:val="nil"/>
              <w:bottom w:val="nil"/>
              <w:right w:val="nil"/>
            </w:tcBorders>
            <w:shd w:val="clear" w:color="auto" w:fill="auto"/>
            <w:noWrap/>
          </w:tcPr>
          <w:p>
            <w:pPr>
              <w:pStyle w:val="59"/>
              <w:rPr>
                <w:rFonts w:eastAsia="宋体"/>
              </w:rPr>
            </w:pPr>
          </w:p>
        </w:tc>
        <w:tc>
          <w:tcPr>
            <w:tcW w:w="905" w:type="dxa"/>
            <w:tcBorders>
              <w:top w:val="nil"/>
              <w:left w:val="nil"/>
              <w:bottom w:val="nil"/>
              <w:right w:val="nil"/>
            </w:tcBorders>
            <w:shd w:val="clear" w:color="auto" w:fill="auto"/>
            <w:noWrap/>
          </w:tcPr>
          <w:p>
            <w:pPr>
              <w:pStyle w:val="59"/>
              <w:rPr>
                <w:rFonts w:eastAsia="宋体"/>
              </w:rPr>
            </w:pPr>
          </w:p>
        </w:tc>
        <w:tc>
          <w:tcPr>
            <w:tcW w:w="902" w:type="dxa"/>
            <w:tcBorders>
              <w:top w:val="nil"/>
              <w:left w:val="nil"/>
              <w:bottom w:val="nil"/>
              <w:right w:val="nil"/>
            </w:tcBorders>
            <w:shd w:val="clear" w:color="auto" w:fill="auto"/>
            <w:noWrap/>
          </w:tcPr>
          <w:p>
            <w:pPr>
              <w:pStyle w:val="59"/>
              <w:rPr>
                <w:rFonts w:eastAsia="宋体"/>
              </w:rPr>
            </w:pPr>
          </w:p>
        </w:tc>
        <w:tc>
          <w:tcPr>
            <w:tcW w:w="905" w:type="dxa"/>
            <w:tcBorders>
              <w:top w:val="nil"/>
              <w:left w:val="nil"/>
              <w:bottom w:val="nil"/>
              <w:right w:val="nil"/>
            </w:tcBorders>
            <w:shd w:val="clear" w:color="auto" w:fill="auto"/>
            <w:noWrap/>
          </w:tcPr>
          <w:p>
            <w:pPr>
              <w:pStyle w:val="59"/>
              <w:rPr>
                <w:rFonts w:eastAsia="宋体"/>
              </w:rPr>
            </w:pPr>
          </w:p>
        </w:tc>
        <w:tc>
          <w:tcPr>
            <w:tcW w:w="905" w:type="dxa"/>
            <w:tcBorders>
              <w:top w:val="nil"/>
              <w:left w:val="nil"/>
              <w:bottom w:val="nil"/>
              <w:right w:val="nil"/>
            </w:tcBorders>
            <w:shd w:val="clear" w:color="auto" w:fill="auto"/>
            <w:noWrap/>
          </w:tcPr>
          <w:p>
            <w:pPr>
              <w:pStyle w:val="59"/>
              <w:rPr>
                <w:rFonts w:eastAsia="宋体"/>
              </w:rPr>
            </w:pPr>
          </w:p>
        </w:tc>
        <w:tc>
          <w:tcPr>
            <w:tcW w:w="902" w:type="dxa"/>
            <w:tcBorders>
              <w:top w:val="nil"/>
              <w:left w:val="nil"/>
              <w:bottom w:val="nil"/>
              <w:right w:val="nil"/>
            </w:tcBorders>
            <w:shd w:val="clear" w:color="auto" w:fill="auto"/>
            <w:noWrap/>
          </w:tcPr>
          <w:p>
            <w:pPr>
              <w:pStyle w:val="59"/>
              <w:rPr>
                <w:rFonts w:eastAsia="宋体"/>
              </w:rPr>
            </w:pPr>
          </w:p>
        </w:tc>
        <w:tc>
          <w:tcPr>
            <w:tcW w:w="905" w:type="dxa"/>
            <w:tcBorders>
              <w:top w:val="nil"/>
              <w:left w:val="nil"/>
              <w:bottom w:val="nil"/>
              <w:right w:val="nil"/>
            </w:tcBorders>
            <w:shd w:val="clear" w:color="auto" w:fill="auto"/>
            <w:noWrap/>
          </w:tcPr>
          <w:p>
            <w:pPr>
              <w:pStyle w:val="59"/>
              <w:rPr>
                <w:rFonts w:eastAsia="宋体"/>
              </w:rPr>
            </w:pPr>
            <w:r>
              <w:rPr>
                <w:rFonts w:eastAsia="宋体"/>
              </w:rPr>
              <w:t>94.7</w:t>
            </w:r>
          </w:p>
        </w:tc>
        <w:tc>
          <w:tcPr>
            <w:tcW w:w="902" w:type="dxa"/>
            <w:tcBorders>
              <w:top w:val="nil"/>
              <w:left w:val="nil"/>
              <w:bottom w:val="nil"/>
              <w:right w:val="nil"/>
            </w:tcBorders>
            <w:shd w:val="clear" w:color="auto" w:fill="auto"/>
            <w:noWrap/>
          </w:tcPr>
          <w:p>
            <w:pPr>
              <w:pStyle w:val="59"/>
              <w:rPr>
                <w:rFonts w:eastAsia="宋体"/>
              </w:rPr>
            </w:pPr>
            <w:r>
              <w:rPr>
                <w:rFonts w:eastAsia="宋体"/>
              </w:rPr>
              <w:t>81.1</w:t>
            </w:r>
          </w:p>
        </w:tc>
        <w:tc>
          <w:tcPr>
            <w:tcW w:w="905" w:type="dxa"/>
            <w:tcBorders>
              <w:top w:val="nil"/>
              <w:left w:val="nil"/>
              <w:bottom w:val="nil"/>
              <w:right w:val="nil"/>
            </w:tcBorders>
            <w:shd w:val="clear" w:color="auto" w:fill="auto"/>
            <w:noWrap/>
          </w:tcPr>
          <w:p>
            <w:pPr>
              <w:pStyle w:val="59"/>
              <w:rPr>
                <w:rFonts w:eastAsia="宋体"/>
              </w:rPr>
            </w:pPr>
            <w:r>
              <w:rPr>
                <w:rFonts w:eastAsia="宋体"/>
              </w:rPr>
              <w:t>74.7</w:t>
            </w:r>
          </w:p>
        </w:tc>
        <w:tc>
          <w:tcPr>
            <w:tcW w:w="902" w:type="dxa"/>
            <w:tcBorders>
              <w:top w:val="nil"/>
              <w:left w:val="nil"/>
              <w:bottom w:val="nil"/>
              <w:right w:val="nil"/>
            </w:tcBorders>
            <w:shd w:val="clear" w:color="auto" w:fill="auto"/>
            <w:noWrap/>
          </w:tcPr>
          <w:p>
            <w:pPr>
              <w:pStyle w:val="59"/>
              <w:rPr>
                <w:rFonts w:eastAsia="宋体"/>
              </w:rPr>
            </w:pPr>
            <w:r>
              <w:rPr>
                <w:rFonts w:eastAsia="宋体"/>
              </w:rPr>
              <w:t>74.7</w:t>
            </w:r>
          </w:p>
        </w:tc>
      </w:tr>
      <w:tr>
        <w:tblPrEx>
          <w:tblLayout w:type="fixed"/>
          <w:tblCellMar>
            <w:top w:w="0" w:type="dxa"/>
            <w:left w:w="108" w:type="dxa"/>
            <w:bottom w:w="0" w:type="dxa"/>
            <w:right w:w="108" w:type="dxa"/>
          </w:tblCellMar>
        </w:tblPrEx>
        <w:tc>
          <w:tcPr>
            <w:tcW w:w="1386" w:type="dxa"/>
            <w:tcBorders>
              <w:top w:val="nil"/>
              <w:left w:val="nil"/>
              <w:bottom w:val="nil"/>
              <w:right w:val="nil"/>
            </w:tcBorders>
            <w:shd w:val="clear" w:color="auto" w:fill="auto"/>
            <w:noWrap/>
          </w:tcPr>
          <w:p>
            <w:pPr>
              <w:pStyle w:val="59"/>
              <w:rPr>
                <w:rFonts w:eastAsia="宋体"/>
              </w:rPr>
            </w:pPr>
            <w:r>
              <w:rPr>
                <w:rFonts w:eastAsia="宋体"/>
              </w:rPr>
              <w:t>XP_016515539.1</w:t>
            </w:r>
          </w:p>
        </w:tc>
        <w:tc>
          <w:tcPr>
            <w:tcW w:w="902" w:type="dxa"/>
            <w:tcBorders>
              <w:top w:val="nil"/>
              <w:left w:val="nil"/>
              <w:bottom w:val="nil"/>
              <w:right w:val="nil"/>
            </w:tcBorders>
            <w:shd w:val="clear" w:color="auto" w:fill="auto"/>
            <w:noWrap/>
          </w:tcPr>
          <w:p>
            <w:pPr>
              <w:pStyle w:val="59"/>
              <w:rPr>
                <w:rFonts w:eastAsia="宋体"/>
              </w:rPr>
            </w:pPr>
          </w:p>
        </w:tc>
        <w:tc>
          <w:tcPr>
            <w:tcW w:w="905" w:type="dxa"/>
            <w:tcBorders>
              <w:top w:val="nil"/>
              <w:left w:val="nil"/>
              <w:bottom w:val="nil"/>
              <w:right w:val="nil"/>
            </w:tcBorders>
            <w:shd w:val="clear" w:color="auto" w:fill="auto"/>
            <w:noWrap/>
          </w:tcPr>
          <w:p>
            <w:pPr>
              <w:pStyle w:val="59"/>
              <w:rPr>
                <w:rFonts w:eastAsia="宋体"/>
              </w:rPr>
            </w:pPr>
          </w:p>
        </w:tc>
        <w:tc>
          <w:tcPr>
            <w:tcW w:w="902" w:type="dxa"/>
            <w:tcBorders>
              <w:top w:val="nil"/>
              <w:left w:val="nil"/>
              <w:bottom w:val="nil"/>
              <w:right w:val="nil"/>
            </w:tcBorders>
            <w:shd w:val="clear" w:color="auto" w:fill="auto"/>
            <w:noWrap/>
          </w:tcPr>
          <w:p>
            <w:pPr>
              <w:pStyle w:val="59"/>
              <w:rPr>
                <w:rFonts w:eastAsia="宋体"/>
              </w:rPr>
            </w:pPr>
          </w:p>
        </w:tc>
        <w:tc>
          <w:tcPr>
            <w:tcW w:w="905" w:type="dxa"/>
            <w:tcBorders>
              <w:top w:val="nil"/>
              <w:left w:val="nil"/>
              <w:bottom w:val="nil"/>
              <w:right w:val="nil"/>
            </w:tcBorders>
            <w:shd w:val="clear" w:color="auto" w:fill="auto"/>
            <w:noWrap/>
          </w:tcPr>
          <w:p>
            <w:pPr>
              <w:pStyle w:val="59"/>
              <w:rPr>
                <w:rFonts w:eastAsia="宋体"/>
              </w:rPr>
            </w:pPr>
          </w:p>
        </w:tc>
        <w:tc>
          <w:tcPr>
            <w:tcW w:w="905" w:type="dxa"/>
            <w:tcBorders>
              <w:top w:val="nil"/>
              <w:left w:val="nil"/>
              <w:bottom w:val="nil"/>
              <w:right w:val="nil"/>
            </w:tcBorders>
            <w:shd w:val="clear" w:color="auto" w:fill="auto"/>
            <w:noWrap/>
          </w:tcPr>
          <w:p>
            <w:pPr>
              <w:pStyle w:val="59"/>
              <w:rPr>
                <w:rFonts w:eastAsia="宋体"/>
              </w:rPr>
            </w:pPr>
          </w:p>
        </w:tc>
        <w:tc>
          <w:tcPr>
            <w:tcW w:w="902" w:type="dxa"/>
            <w:tcBorders>
              <w:top w:val="nil"/>
              <w:left w:val="nil"/>
              <w:bottom w:val="nil"/>
              <w:right w:val="nil"/>
            </w:tcBorders>
            <w:shd w:val="clear" w:color="auto" w:fill="auto"/>
            <w:noWrap/>
          </w:tcPr>
          <w:p>
            <w:pPr>
              <w:pStyle w:val="59"/>
              <w:rPr>
                <w:rFonts w:eastAsia="宋体"/>
              </w:rPr>
            </w:pPr>
          </w:p>
        </w:tc>
        <w:tc>
          <w:tcPr>
            <w:tcW w:w="905" w:type="dxa"/>
            <w:tcBorders>
              <w:top w:val="nil"/>
              <w:left w:val="nil"/>
              <w:bottom w:val="nil"/>
              <w:right w:val="nil"/>
            </w:tcBorders>
            <w:shd w:val="clear" w:color="auto" w:fill="auto"/>
            <w:noWrap/>
          </w:tcPr>
          <w:p>
            <w:pPr>
              <w:pStyle w:val="59"/>
              <w:rPr>
                <w:rFonts w:eastAsia="宋体"/>
              </w:rPr>
            </w:pPr>
          </w:p>
        </w:tc>
        <w:tc>
          <w:tcPr>
            <w:tcW w:w="902" w:type="dxa"/>
            <w:tcBorders>
              <w:top w:val="nil"/>
              <w:left w:val="nil"/>
              <w:bottom w:val="nil"/>
              <w:right w:val="nil"/>
            </w:tcBorders>
            <w:shd w:val="clear" w:color="auto" w:fill="auto"/>
            <w:noWrap/>
          </w:tcPr>
          <w:p>
            <w:pPr>
              <w:pStyle w:val="59"/>
              <w:rPr>
                <w:rFonts w:eastAsia="宋体"/>
              </w:rPr>
            </w:pPr>
            <w:r>
              <w:rPr>
                <w:rFonts w:eastAsia="宋体"/>
              </w:rPr>
              <w:t>82.7</w:t>
            </w:r>
          </w:p>
        </w:tc>
        <w:tc>
          <w:tcPr>
            <w:tcW w:w="905" w:type="dxa"/>
            <w:tcBorders>
              <w:top w:val="nil"/>
              <w:left w:val="nil"/>
              <w:bottom w:val="nil"/>
              <w:right w:val="nil"/>
            </w:tcBorders>
            <w:shd w:val="clear" w:color="auto" w:fill="auto"/>
            <w:noWrap/>
          </w:tcPr>
          <w:p>
            <w:pPr>
              <w:pStyle w:val="59"/>
              <w:rPr>
                <w:rFonts w:eastAsia="宋体"/>
              </w:rPr>
            </w:pPr>
            <w:r>
              <w:rPr>
                <w:rFonts w:eastAsia="宋体"/>
              </w:rPr>
              <w:t>74.1</w:t>
            </w:r>
          </w:p>
        </w:tc>
        <w:tc>
          <w:tcPr>
            <w:tcW w:w="902" w:type="dxa"/>
            <w:tcBorders>
              <w:top w:val="nil"/>
              <w:left w:val="nil"/>
              <w:bottom w:val="nil"/>
              <w:right w:val="nil"/>
            </w:tcBorders>
            <w:shd w:val="clear" w:color="auto" w:fill="auto"/>
            <w:noWrap/>
          </w:tcPr>
          <w:p>
            <w:pPr>
              <w:pStyle w:val="59"/>
              <w:rPr>
                <w:rFonts w:eastAsia="宋体"/>
              </w:rPr>
            </w:pPr>
            <w:r>
              <w:rPr>
                <w:rFonts w:eastAsia="宋体"/>
              </w:rPr>
              <w:t>74.4</w:t>
            </w:r>
          </w:p>
        </w:tc>
      </w:tr>
      <w:tr>
        <w:tblPrEx>
          <w:tblLayout w:type="fixed"/>
          <w:tblCellMar>
            <w:top w:w="0" w:type="dxa"/>
            <w:left w:w="108" w:type="dxa"/>
            <w:bottom w:w="0" w:type="dxa"/>
            <w:right w:w="108" w:type="dxa"/>
          </w:tblCellMar>
        </w:tblPrEx>
        <w:tc>
          <w:tcPr>
            <w:tcW w:w="1386" w:type="dxa"/>
            <w:tcBorders>
              <w:top w:val="nil"/>
              <w:left w:val="nil"/>
              <w:right w:val="nil"/>
            </w:tcBorders>
            <w:shd w:val="clear" w:color="auto" w:fill="auto"/>
            <w:noWrap/>
          </w:tcPr>
          <w:p>
            <w:pPr>
              <w:pStyle w:val="59"/>
              <w:rPr>
                <w:rFonts w:eastAsia="宋体"/>
              </w:rPr>
            </w:pPr>
            <w:r>
              <w:rPr>
                <w:rFonts w:eastAsia="宋体"/>
              </w:rPr>
              <w:t>XP_016480039.1</w:t>
            </w:r>
          </w:p>
        </w:tc>
        <w:tc>
          <w:tcPr>
            <w:tcW w:w="902" w:type="dxa"/>
            <w:tcBorders>
              <w:top w:val="nil"/>
              <w:left w:val="nil"/>
              <w:right w:val="nil"/>
            </w:tcBorders>
            <w:shd w:val="clear" w:color="auto" w:fill="auto"/>
            <w:noWrap/>
          </w:tcPr>
          <w:p>
            <w:pPr>
              <w:pStyle w:val="59"/>
              <w:rPr>
                <w:rFonts w:eastAsia="宋体"/>
              </w:rPr>
            </w:pPr>
          </w:p>
        </w:tc>
        <w:tc>
          <w:tcPr>
            <w:tcW w:w="905" w:type="dxa"/>
            <w:tcBorders>
              <w:top w:val="nil"/>
              <w:left w:val="nil"/>
              <w:right w:val="nil"/>
            </w:tcBorders>
            <w:shd w:val="clear" w:color="auto" w:fill="auto"/>
            <w:noWrap/>
          </w:tcPr>
          <w:p>
            <w:pPr>
              <w:pStyle w:val="59"/>
              <w:rPr>
                <w:rFonts w:eastAsia="宋体"/>
              </w:rPr>
            </w:pPr>
          </w:p>
        </w:tc>
        <w:tc>
          <w:tcPr>
            <w:tcW w:w="902" w:type="dxa"/>
            <w:tcBorders>
              <w:top w:val="nil"/>
              <w:left w:val="nil"/>
              <w:right w:val="nil"/>
            </w:tcBorders>
            <w:shd w:val="clear" w:color="auto" w:fill="auto"/>
            <w:noWrap/>
          </w:tcPr>
          <w:p>
            <w:pPr>
              <w:pStyle w:val="59"/>
              <w:rPr>
                <w:rFonts w:eastAsia="宋体"/>
              </w:rPr>
            </w:pPr>
          </w:p>
        </w:tc>
        <w:tc>
          <w:tcPr>
            <w:tcW w:w="905" w:type="dxa"/>
            <w:tcBorders>
              <w:top w:val="nil"/>
              <w:left w:val="nil"/>
              <w:right w:val="nil"/>
            </w:tcBorders>
            <w:shd w:val="clear" w:color="auto" w:fill="auto"/>
            <w:noWrap/>
          </w:tcPr>
          <w:p>
            <w:pPr>
              <w:pStyle w:val="59"/>
              <w:rPr>
                <w:rFonts w:eastAsia="宋体"/>
              </w:rPr>
            </w:pPr>
          </w:p>
        </w:tc>
        <w:tc>
          <w:tcPr>
            <w:tcW w:w="905" w:type="dxa"/>
            <w:tcBorders>
              <w:top w:val="nil"/>
              <w:left w:val="nil"/>
              <w:right w:val="nil"/>
            </w:tcBorders>
            <w:shd w:val="clear" w:color="auto" w:fill="auto"/>
            <w:noWrap/>
          </w:tcPr>
          <w:p>
            <w:pPr>
              <w:pStyle w:val="59"/>
              <w:rPr>
                <w:rFonts w:eastAsia="宋体"/>
              </w:rPr>
            </w:pPr>
          </w:p>
        </w:tc>
        <w:tc>
          <w:tcPr>
            <w:tcW w:w="902" w:type="dxa"/>
            <w:tcBorders>
              <w:top w:val="nil"/>
              <w:left w:val="nil"/>
              <w:right w:val="nil"/>
            </w:tcBorders>
            <w:shd w:val="clear" w:color="auto" w:fill="auto"/>
            <w:noWrap/>
          </w:tcPr>
          <w:p>
            <w:pPr>
              <w:pStyle w:val="59"/>
              <w:rPr>
                <w:rFonts w:eastAsia="宋体"/>
              </w:rPr>
            </w:pPr>
          </w:p>
        </w:tc>
        <w:tc>
          <w:tcPr>
            <w:tcW w:w="905" w:type="dxa"/>
            <w:tcBorders>
              <w:top w:val="nil"/>
              <w:left w:val="nil"/>
              <w:right w:val="nil"/>
            </w:tcBorders>
            <w:shd w:val="clear" w:color="auto" w:fill="auto"/>
            <w:noWrap/>
          </w:tcPr>
          <w:p>
            <w:pPr>
              <w:pStyle w:val="59"/>
              <w:rPr>
                <w:rFonts w:eastAsia="宋体"/>
              </w:rPr>
            </w:pPr>
          </w:p>
        </w:tc>
        <w:tc>
          <w:tcPr>
            <w:tcW w:w="902" w:type="dxa"/>
            <w:tcBorders>
              <w:top w:val="nil"/>
              <w:left w:val="nil"/>
              <w:right w:val="nil"/>
            </w:tcBorders>
            <w:shd w:val="clear" w:color="auto" w:fill="auto"/>
            <w:noWrap/>
          </w:tcPr>
          <w:p>
            <w:pPr>
              <w:pStyle w:val="59"/>
              <w:rPr>
                <w:rFonts w:eastAsia="宋体"/>
              </w:rPr>
            </w:pPr>
          </w:p>
        </w:tc>
        <w:tc>
          <w:tcPr>
            <w:tcW w:w="905" w:type="dxa"/>
            <w:tcBorders>
              <w:top w:val="nil"/>
              <w:left w:val="nil"/>
              <w:right w:val="nil"/>
            </w:tcBorders>
            <w:shd w:val="clear" w:color="auto" w:fill="auto"/>
            <w:noWrap/>
          </w:tcPr>
          <w:p>
            <w:pPr>
              <w:pStyle w:val="59"/>
              <w:rPr>
                <w:rFonts w:eastAsia="宋体"/>
              </w:rPr>
            </w:pPr>
            <w:r>
              <w:rPr>
                <w:rFonts w:eastAsia="宋体"/>
              </w:rPr>
              <w:t>76.7</w:t>
            </w:r>
          </w:p>
        </w:tc>
        <w:tc>
          <w:tcPr>
            <w:tcW w:w="902" w:type="dxa"/>
            <w:tcBorders>
              <w:top w:val="nil"/>
              <w:left w:val="nil"/>
              <w:right w:val="nil"/>
            </w:tcBorders>
            <w:shd w:val="clear" w:color="auto" w:fill="auto"/>
            <w:noWrap/>
          </w:tcPr>
          <w:p>
            <w:pPr>
              <w:pStyle w:val="59"/>
              <w:rPr>
                <w:rFonts w:eastAsia="宋体"/>
              </w:rPr>
            </w:pPr>
            <w:r>
              <w:rPr>
                <w:rFonts w:eastAsia="宋体"/>
              </w:rPr>
              <w:t>77.0</w:t>
            </w:r>
          </w:p>
        </w:tc>
      </w:tr>
      <w:tr>
        <w:tblPrEx>
          <w:tblLayout w:type="fixed"/>
          <w:tblCellMar>
            <w:top w:w="0" w:type="dxa"/>
            <w:left w:w="108" w:type="dxa"/>
            <w:bottom w:w="0" w:type="dxa"/>
            <w:right w:w="108" w:type="dxa"/>
          </w:tblCellMar>
        </w:tblPrEx>
        <w:tc>
          <w:tcPr>
            <w:tcW w:w="1386" w:type="dxa"/>
            <w:tcBorders>
              <w:top w:val="nil"/>
              <w:left w:val="nil"/>
              <w:bottom w:val="single" w:color="auto" w:sz="4" w:space="0"/>
              <w:right w:val="nil"/>
            </w:tcBorders>
            <w:shd w:val="clear" w:color="auto" w:fill="auto"/>
            <w:noWrap/>
          </w:tcPr>
          <w:p>
            <w:pPr>
              <w:pStyle w:val="59"/>
              <w:rPr>
                <w:rFonts w:eastAsia="宋体"/>
              </w:rPr>
            </w:pPr>
            <w:r>
              <w:rPr>
                <w:rFonts w:eastAsia="宋体"/>
              </w:rPr>
              <w:t>XP_016508885.1</w:t>
            </w:r>
          </w:p>
        </w:tc>
        <w:tc>
          <w:tcPr>
            <w:tcW w:w="902" w:type="dxa"/>
            <w:tcBorders>
              <w:top w:val="nil"/>
              <w:left w:val="nil"/>
              <w:bottom w:val="single" w:color="auto" w:sz="4" w:space="0"/>
              <w:right w:val="nil"/>
            </w:tcBorders>
            <w:shd w:val="clear" w:color="auto" w:fill="auto"/>
            <w:noWrap/>
          </w:tcPr>
          <w:p>
            <w:pPr>
              <w:pStyle w:val="59"/>
              <w:rPr>
                <w:rFonts w:eastAsia="宋体"/>
              </w:rPr>
            </w:pPr>
          </w:p>
        </w:tc>
        <w:tc>
          <w:tcPr>
            <w:tcW w:w="905" w:type="dxa"/>
            <w:tcBorders>
              <w:top w:val="nil"/>
              <w:left w:val="nil"/>
              <w:bottom w:val="single" w:color="auto" w:sz="4" w:space="0"/>
              <w:right w:val="nil"/>
            </w:tcBorders>
            <w:shd w:val="clear" w:color="auto" w:fill="auto"/>
            <w:noWrap/>
          </w:tcPr>
          <w:p>
            <w:pPr>
              <w:pStyle w:val="59"/>
              <w:rPr>
                <w:rFonts w:eastAsia="宋体"/>
              </w:rPr>
            </w:pPr>
          </w:p>
        </w:tc>
        <w:tc>
          <w:tcPr>
            <w:tcW w:w="902" w:type="dxa"/>
            <w:tcBorders>
              <w:top w:val="nil"/>
              <w:left w:val="nil"/>
              <w:bottom w:val="single" w:color="auto" w:sz="4" w:space="0"/>
              <w:right w:val="nil"/>
            </w:tcBorders>
            <w:shd w:val="clear" w:color="auto" w:fill="auto"/>
            <w:noWrap/>
          </w:tcPr>
          <w:p>
            <w:pPr>
              <w:pStyle w:val="59"/>
              <w:rPr>
                <w:rFonts w:eastAsia="宋体"/>
              </w:rPr>
            </w:pPr>
          </w:p>
        </w:tc>
        <w:tc>
          <w:tcPr>
            <w:tcW w:w="905" w:type="dxa"/>
            <w:tcBorders>
              <w:top w:val="nil"/>
              <w:left w:val="nil"/>
              <w:bottom w:val="single" w:color="auto" w:sz="4" w:space="0"/>
              <w:right w:val="nil"/>
            </w:tcBorders>
            <w:shd w:val="clear" w:color="auto" w:fill="auto"/>
            <w:noWrap/>
          </w:tcPr>
          <w:p>
            <w:pPr>
              <w:pStyle w:val="59"/>
              <w:rPr>
                <w:rFonts w:eastAsia="宋体"/>
              </w:rPr>
            </w:pPr>
          </w:p>
        </w:tc>
        <w:tc>
          <w:tcPr>
            <w:tcW w:w="905" w:type="dxa"/>
            <w:tcBorders>
              <w:top w:val="nil"/>
              <w:left w:val="nil"/>
              <w:bottom w:val="single" w:color="auto" w:sz="4" w:space="0"/>
              <w:right w:val="nil"/>
            </w:tcBorders>
            <w:shd w:val="clear" w:color="auto" w:fill="auto"/>
            <w:noWrap/>
          </w:tcPr>
          <w:p>
            <w:pPr>
              <w:pStyle w:val="59"/>
              <w:rPr>
                <w:rFonts w:eastAsia="宋体"/>
              </w:rPr>
            </w:pPr>
          </w:p>
        </w:tc>
        <w:tc>
          <w:tcPr>
            <w:tcW w:w="902" w:type="dxa"/>
            <w:tcBorders>
              <w:top w:val="nil"/>
              <w:left w:val="nil"/>
              <w:bottom w:val="single" w:color="auto" w:sz="4" w:space="0"/>
              <w:right w:val="nil"/>
            </w:tcBorders>
            <w:shd w:val="clear" w:color="auto" w:fill="auto"/>
            <w:noWrap/>
          </w:tcPr>
          <w:p>
            <w:pPr>
              <w:pStyle w:val="59"/>
              <w:rPr>
                <w:rFonts w:eastAsia="宋体"/>
              </w:rPr>
            </w:pPr>
          </w:p>
        </w:tc>
        <w:tc>
          <w:tcPr>
            <w:tcW w:w="905" w:type="dxa"/>
            <w:tcBorders>
              <w:top w:val="nil"/>
              <w:left w:val="nil"/>
              <w:bottom w:val="single" w:color="auto" w:sz="4" w:space="0"/>
              <w:right w:val="nil"/>
            </w:tcBorders>
            <w:shd w:val="clear" w:color="auto" w:fill="auto"/>
            <w:noWrap/>
          </w:tcPr>
          <w:p>
            <w:pPr>
              <w:pStyle w:val="59"/>
              <w:rPr>
                <w:rFonts w:eastAsia="宋体"/>
              </w:rPr>
            </w:pPr>
          </w:p>
        </w:tc>
        <w:tc>
          <w:tcPr>
            <w:tcW w:w="902" w:type="dxa"/>
            <w:tcBorders>
              <w:top w:val="nil"/>
              <w:left w:val="nil"/>
              <w:bottom w:val="single" w:color="auto" w:sz="4" w:space="0"/>
              <w:right w:val="nil"/>
            </w:tcBorders>
            <w:shd w:val="clear" w:color="auto" w:fill="auto"/>
            <w:noWrap/>
          </w:tcPr>
          <w:p>
            <w:pPr>
              <w:pStyle w:val="59"/>
              <w:rPr>
                <w:rFonts w:eastAsia="宋体"/>
              </w:rPr>
            </w:pPr>
          </w:p>
        </w:tc>
        <w:tc>
          <w:tcPr>
            <w:tcW w:w="905" w:type="dxa"/>
            <w:tcBorders>
              <w:top w:val="nil"/>
              <w:left w:val="nil"/>
              <w:bottom w:val="single" w:color="auto" w:sz="4" w:space="0"/>
              <w:right w:val="nil"/>
            </w:tcBorders>
            <w:shd w:val="clear" w:color="auto" w:fill="auto"/>
            <w:noWrap/>
          </w:tcPr>
          <w:p>
            <w:pPr>
              <w:pStyle w:val="59"/>
              <w:rPr>
                <w:rFonts w:eastAsia="宋体"/>
              </w:rPr>
            </w:pPr>
          </w:p>
        </w:tc>
        <w:tc>
          <w:tcPr>
            <w:tcW w:w="902" w:type="dxa"/>
            <w:tcBorders>
              <w:top w:val="nil"/>
              <w:left w:val="nil"/>
              <w:bottom w:val="single" w:color="auto" w:sz="4" w:space="0"/>
              <w:right w:val="nil"/>
            </w:tcBorders>
            <w:shd w:val="clear" w:color="auto" w:fill="auto"/>
            <w:noWrap/>
          </w:tcPr>
          <w:p>
            <w:pPr>
              <w:pStyle w:val="59"/>
              <w:rPr>
                <w:rFonts w:eastAsia="宋体"/>
              </w:rPr>
            </w:pPr>
            <w:r>
              <w:rPr>
                <w:rFonts w:eastAsia="宋体"/>
              </w:rPr>
              <w:t>98.4</w:t>
            </w:r>
          </w:p>
        </w:tc>
      </w:tr>
    </w:tbl>
    <w:p>
      <w:pPr>
        <w:pStyle w:val="54"/>
        <w:pBdr>
          <w:bottom w:val="none" w:color="auto" w:sz="0" w:space="0"/>
        </w:pBdr>
        <w:rPr>
          <w:rFonts w:eastAsiaTheme="minorEastAsia"/>
          <w:b/>
          <w:caps/>
        </w:rPr>
      </w:pPr>
      <w:r>
        <w:rPr>
          <w:b/>
        </w:rPr>
        <w:t>Table 3</w:t>
      </w:r>
      <w:r>
        <w:t xml:space="preserve"> Characteristics of tobacco </w:t>
      </w:r>
      <w:r>
        <w:rPr>
          <w:i/>
        </w:rPr>
        <w:t>CHS</w:t>
      </w:r>
      <w:r>
        <w:t xml:space="preserve"> family genes and encoded proteins</w:t>
      </w:r>
    </w:p>
    <w:tbl>
      <w:tblPr>
        <w:tblStyle w:val="13"/>
        <w:tblW w:w="10421" w:type="dxa"/>
        <w:jc w:val="center"/>
        <w:tblInd w:w="0" w:type="dxa"/>
        <w:tblLayout w:type="fixed"/>
        <w:tblCellMar>
          <w:top w:w="0" w:type="dxa"/>
          <w:left w:w="108" w:type="dxa"/>
          <w:bottom w:w="0" w:type="dxa"/>
          <w:right w:w="108" w:type="dxa"/>
        </w:tblCellMar>
      </w:tblPr>
      <w:tblGrid>
        <w:gridCol w:w="1739"/>
        <w:gridCol w:w="1847"/>
        <w:gridCol w:w="1682"/>
        <w:gridCol w:w="855"/>
        <w:gridCol w:w="1682"/>
        <w:gridCol w:w="663"/>
        <w:gridCol w:w="1163"/>
        <w:gridCol w:w="790"/>
      </w:tblGrid>
      <w:tr>
        <w:tblPrEx>
          <w:tblLayout w:type="fixed"/>
          <w:tblCellMar>
            <w:top w:w="0" w:type="dxa"/>
            <w:left w:w="108" w:type="dxa"/>
            <w:bottom w:w="0" w:type="dxa"/>
            <w:right w:w="108" w:type="dxa"/>
          </w:tblCellMar>
        </w:tblPrEx>
        <w:trPr>
          <w:trHeight w:val="288" w:hRule="atLeast"/>
          <w:jc w:val="center"/>
        </w:trPr>
        <w:tc>
          <w:tcPr>
            <w:tcW w:w="1739"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ID</w:t>
            </w:r>
          </w:p>
        </w:tc>
        <w:tc>
          <w:tcPr>
            <w:tcW w:w="1847"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Scaffold</w:t>
            </w:r>
          </w:p>
        </w:tc>
        <w:tc>
          <w:tcPr>
            <w:tcW w:w="1682"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Start-end</w:t>
            </w:r>
          </w:p>
        </w:tc>
        <w:tc>
          <w:tcPr>
            <w:tcW w:w="855"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Strand</w:t>
            </w:r>
          </w:p>
        </w:tc>
        <w:tc>
          <w:tcPr>
            <w:tcW w:w="1682"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CDS_length (bp)</w:t>
            </w:r>
          </w:p>
        </w:tc>
        <w:tc>
          <w:tcPr>
            <w:tcW w:w="663"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pI</w:t>
            </w:r>
          </w:p>
        </w:tc>
        <w:tc>
          <w:tcPr>
            <w:tcW w:w="1163"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MW (kDa)</w:t>
            </w:r>
          </w:p>
        </w:tc>
        <w:tc>
          <w:tcPr>
            <w:tcW w:w="790" w:type="dxa"/>
            <w:tcBorders>
              <w:top w:val="single" w:color="auto" w:sz="4" w:space="0"/>
              <w:left w:val="nil"/>
              <w:bottom w:val="single" w:color="auto" w:sz="4" w:space="0"/>
              <w:right w:val="nil"/>
            </w:tcBorders>
            <w:shd w:val="clear" w:color="auto" w:fill="auto"/>
            <w:noWrap/>
          </w:tcPr>
          <w:p>
            <w:pPr>
              <w:pStyle w:val="59"/>
              <w:rPr>
                <w:rFonts w:eastAsia="宋体"/>
              </w:rPr>
            </w:pPr>
            <w:r>
              <w:rPr>
                <w:rFonts w:eastAsia="宋体"/>
              </w:rPr>
              <w:t>Exons</w:t>
            </w:r>
          </w:p>
        </w:tc>
      </w:tr>
      <w:tr>
        <w:tblPrEx>
          <w:tblLayout w:type="fixed"/>
          <w:tblCellMar>
            <w:top w:w="0" w:type="dxa"/>
            <w:left w:w="108" w:type="dxa"/>
            <w:bottom w:w="0" w:type="dxa"/>
            <w:right w:w="108" w:type="dxa"/>
          </w:tblCellMar>
        </w:tblPrEx>
        <w:trPr>
          <w:trHeight w:val="288" w:hRule="atLeast"/>
          <w:jc w:val="center"/>
        </w:trPr>
        <w:tc>
          <w:tcPr>
            <w:tcW w:w="1739" w:type="dxa"/>
            <w:tcBorders>
              <w:top w:val="nil"/>
              <w:left w:val="nil"/>
              <w:bottom w:val="nil"/>
              <w:right w:val="nil"/>
            </w:tcBorders>
            <w:shd w:val="clear" w:color="auto" w:fill="auto"/>
            <w:noWrap/>
          </w:tcPr>
          <w:p>
            <w:pPr>
              <w:pStyle w:val="59"/>
              <w:rPr>
                <w:rFonts w:eastAsia="宋体"/>
              </w:rPr>
            </w:pPr>
            <w:r>
              <w:rPr>
                <w:rFonts w:eastAsia="宋体"/>
              </w:rPr>
              <w:t>XP_016514139.1</w:t>
            </w:r>
          </w:p>
        </w:tc>
        <w:tc>
          <w:tcPr>
            <w:tcW w:w="1847" w:type="dxa"/>
            <w:tcBorders>
              <w:top w:val="nil"/>
              <w:left w:val="nil"/>
              <w:bottom w:val="nil"/>
              <w:right w:val="nil"/>
            </w:tcBorders>
            <w:shd w:val="clear" w:color="auto" w:fill="auto"/>
            <w:noWrap/>
          </w:tcPr>
          <w:p>
            <w:pPr>
              <w:pStyle w:val="59"/>
              <w:rPr>
                <w:rFonts w:eastAsia="宋体"/>
              </w:rPr>
            </w:pPr>
            <w:r>
              <w:rPr>
                <w:rFonts w:eastAsia="宋体"/>
              </w:rPr>
              <w:t>NW_015858924.1</w:t>
            </w:r>
          </w:p>
        </w:tc>
        <w:tc>
          <w:tcPr>
            <w:tcW w:w="1682" w:type="dxa"/>
            <w:tcBorders>
              <w:top w:val="nil"/>
              <w:left w:val="nil"/>
              <w:bottom w:val="nil"/>
              <w:right w:val="nil"/>
            </w:tcBorders>
            <w:shd w:val="clear" w:color="auto" w:fill="auto"/>
            <w:noWrap/>
          </w:tcPr>
          <w:p>
            <w:pPr>
              <w:pStyle w:val="59"/>
              <w:rPr>
                <w:rFonts w:eastAsia="宋体"/>
              </w:rPr>
            </w:pPr>
            <w:r>
              <w:rPr>
                <w:rFonts w:eastAsia="宋体"/>
              </w:rPr>
              <w:t>39284–40989</w:t>
            </w:r>
          </w:p>
        </w:tc>
        <w:tc>
          <w:tcPr>
            <w:tcW w:w="855" w:type="dxa"/>
            <w:tcBorders>
              <w:top w:val="nil"/>
              <w:left w:val="nil"/>
              <w:bottom w:val="nil"/>
              <w:right w:val="nil"/>
            </w:tcBorders>
            <w:shd w:val="clear" w:color="auto" w:fill="auto"/>
            <w:noWrap/>
          </w:tcPr>
          <w:p>
            <w:pPr>
              <w:pStyle w:val="59"/>
              <w:rPr>
                <w:rFonts w:eastAsia="宋体"/>
              </w:rPr>
            </w:pPr>
            <w:r>
              <w:t>−</w:t>
            </w:r>
          </w:p>
        </w:tc>
        <w:tc>
          <w:tcPr>
            <w:tcW w:w="1682" w:type="dxa"/>
            <w:tcBorders>
              <w:top w:val="nil"/>
              <w:left w:val="nil"/>
              <w:bottom w:val="nil"/>
              <w:right w:val="nil"/>
            </w:tcBorders>
            <w:shd w:val="clear" w:color="auto" w:fill="auto"/>
            <w:noWrap/>
          </w:tcPr>
          <w:p>
            <w:pPr>
              <w:pStyle w:val="59"/>
              <w:rPr>
                <w:rFonts w:eastAsia="宋体"/>
              </w:rPr>
            </w:pPr>
            <w:r>
              <w:rPr>
                <w:rFonts w:eastAsia="宋体"/>
              </w:rPr>
              <w:t>1185</w:t>
            </w:r>
          </w:p>
        </w:tc>
        <w:tc>
          <w:tcPr>
            <w:tcW w:w="663" w:type="dxa"/>
            <w:tcBorders>
              <w:top w:val="nil"/>
              <w:left w:val="nil"/>
              <w:bottom w:val="nil"/>
              <w:right w:val="nil"/>
            </w:tcBorders>
            <w:shd w:val="clear" w:color="auto" w:fill="auto"/>
            <w:noWrap/>
          </w:tcPr>
          <w:p>
            <w:pPr>
              <w:pStyle w:val="59"/>
              <w:rPr>
                <w:rFonts w:eastAsia="宋体"/>
              </w:rPr>
            </w:pPr>
            <w:r>
              <w:rPr>
                <w:rFonts w:eastAsia="宋体"/>
              </w:rPr>
              <w:t>5.63</w:t>
            </w:r>
          </w:p>
        </w:tc>
        <w:tc>
          <w:tcPr>
            <w:tcW w:w="1163" w:type="dxa"/>
            <w:tcBorders>
              <w:top w:val="nil"/>
              <w:left w:val="nil"/>
              <w:bottom w:val="nil"/>
              <w:right w:val="nil"/>
            </w:tcBorders>
            <w:shd w:val="clear" w:color="auto" w:fill="auto"/>
            <w:noWrap/>
          </w:tcPr>
          <w:p>
            <w:pPr>
              <w:pStyle w:val="59"/>
              <w:rPr>
                <w:rFonts w:eastAsia="宋体"/>
              </w:rPr>
            </w:pPr>
            <w:r>
              <w:rPr>
                <w:rFonts w:eastAsia="宋体"/>
              </w:rPr>
              <w:t>43.8</w:t>
            </w:r>
          </w:p>
        </w:tc>
        <w:tc>
          <w:tcPr>
            <w:tcW w:w="790" w:type="dxa"/>
            <w:tcBorders>
              <w:top w:val="nil"/>
              <w:left w:val="nil"/>
              <w:bottom w:val="nil"/>
              <w:right w:val="nil"/>
            </w:tcBorders>
            <w:shd w:val="clear" w:color="auto" w:fill="auto"/>
            <w:noWrap/>
          </w:tcPr>
          <w:p>
            <w:pPr>
              <w:pStyle w:val="59"/>
              <w:rPr>
                <w:rFonts w:eastAsia="宋体"/>
              </w:rPr>
            </w:pPr>
            <w:r>
              <w:rPr>
                <w:rFonts w:eastAsia="宋体"/>
              </w:rPr>
              <w:t>2</w:t>
            </w:r>
          </w:p>
        </w:tc>
      </w:tr>
      <w:tr>
        <w:tblPrEx>
          <w:tblLayout w:type="fixed"/>
          <w:tblCellMar>
            <w:top w:w="0" w:type="dxa"/>
            <w:left w:w="108" w:type="dxa"/>
            <w:bottom w:w="0" w:type="dxa"/>
            <w:right w:w="108" w:type="dxa"/>
          </w:tblCellMar>
        </w:tblPrEx>
        <w:trPr>
          <w:trHeight w:val="288" w:hRule="atLeast"/>
          <w:jc w:val="center"/>
        </w:trPr>
        <w:tc>
          <w:tcPr>
            <w:tcW w:w="1739" w:type="dxa"/>
            <w:tcBorders>
              <w:top w:val="nil"/>
              <w:left w:val="nil"/>
              <w:bottom w:val="nil"/>
              <w:right w:val="nil"/>
            </w:tcBorders>
            <w:shd w:val="clear" w:color="auto" w:fill="auto"/>
            <w:noWrap/>
          </w:tcPr>
          <w:p>
            <w:pPr>
              <w:pStyle w:val="59"/>
              <w:rPr>
                <w:rFonts w:eastAsia="宋体"/>
              </w:rPr>
            </w:pPr>
            <w:r>
              <w:rPr>
                <w:rFonts w:eastAsia="宋体"/>
              </w:rPr>
              <w:t>XP_016457437.1</w:t>
            </w:r>
          </w:p>
        </w:tc>
        <w:tc>
          <w:tcPr>
            <w:tcW w:w="1847" w:type="dxa"/>
            <w:tcBorders>
              <w:top w:val="nil"/>
              <w:left w:val="nil"/>
              <w:bottom w:val="nil"/>
              <w:right w:val="nil"/>
            </w:tcBorders>
            <w:shd w:val="clear" w:color="auto" w:fill="auto"/>
            <w:noWrap/>
          </w:tcPr>
          <w:p>
            <w:pPr>
              <w:pStyle w:val="59"/>
              <w:rPr>
                <w:rFonts w:eastAsia="宋体"/>
              </w:rPr>
            </w:pPr>
            <w:r>
              <w:rPr>
                <w:rFonts w:eastAsia="宋体"/>
              </w:rPr>
              <w:t>NW_015907297.1</w:t>
            </w:r>
          </w:p>
        </w:tc>
        <w:tc>
          <w:tcPr>
            <w:tcW w:w="1682" w:type="dxa"/>
            <w:tcBorders>
              <w:top w:val="nil"/>
              <w:left w:val="nil"/>
              <w:bottom w:val="nil"/>
              <w:right w:val="nil"/>
            </w:tcBorders>
            <w:shd w:val="clear" w:color="auto" w:fill="auto"/>
            <w:noWrap/>
          </w:tcPr>
          <w:p>
            <w:pPr>
              <w:pStyle w:val="59"/>
              <w:rPr>
                <w:rFonts w:eastAsia="宋体"/>
              </w:rPr>
            </w:pPr>
            <w:r>
              <w:rPr>
                <w:rFonts w:eastAsia="宋体"/>
              </w:rPr>
              <w:t>47081–48556</w:t>
            </w:r>
          </w:p>
        </w:tc>
        <w:tc>
          <w:tcPr>
            <w:tcW w:w="855" w:type="dxa"/>
            <w:tcBorders>
              <w:top w:val="nil"/>
              <w:left w:val="nil"/>
              <w:bottom w:val="nil"/>
              <w:right w:val="nil"/>
            </w:tcBorders>
            <w:shd w:val="clear" w:color="auto" w:fill="auto"/>
            <w:noWrap/>
          </w:tcPr>
          <w:p>
            <w:pPr>
              <w:pStyle w:val="59"/>
              <w:rPr>
                <w:rFonts w:eastAsia="宋体"/>
              </w:rPr>
            </w:pPr>
            <w:r>
              <w:t>−</w:t>
            </w:r>
          </w:p>
        </w:tc>
        <w:tc>
          <w:tcPr>
            <w:tcW w:w="1682" w:type="dxa"/>
            <w:tcBorders>
              <w:top w:val="nil"/>
              <w:left w:val="nil"/>
              <w:bottom w:val="nil"/>
              <w:right w:val="nil"/>
            </w:tcBorders>
            <w:shd w:val="clear" w:color="auto" w:fill="auto"/>
            <w:noWrap/>
          </w:tcPr>
          <w:p>
            <w:pPr>
              <w:pStyle w:val="59"/>
              <w:rPr>
                <w:rFonts w:eastAsia="宋体"/>
              </w:rPr>
            </w:pPr>
            <w:r>
              <w:rPr>
                <w:rFonts w:eastAsia="宋体"/>
              </w:rPr>
              <w:t>1185</w:t>
            </w:r>
          </w:p>
        </w:tc>
        <w:tc>
          <w:tcPr>
            <w:tcW w:w="663" w:type="dxa"/>
            <w:tcBorders>
              <w:top w:val="nil"/>
              <w:left w:val="nil"/>
              <w:bottom w:val="nil"/>
              <w:right w:val="nil"/>
            </w:tcBorders>
            <w:shd w:val="clear" w:color="auto" w:fill="auto"/>
            <w:noWrap/>
          </w:tcPr>
          <w:p>
            <w:pPr>
              <w:pStyle w:val="59"/>
              <w:rPr>
                <w:rFonts w:eastAsia="宋体"/>
              </w:rPr>
            </w:pPr>
            <w:r>
              <w:rPr>
                <w:rFonts w:eastAsia="宋体"/>
              </w:rPr>
              <w:t>6.55</w:t>
            </w:r>
          </w:p>
        </w:tc>
        <w:tc>
          <w:tcPr>
            <w:tcW w:w="1163" w:type="dxa"/>
            <w:tcBorders>
              <w:top w:val="nil"/>
              <w:left w:val="nil"/>
              <w:bottom w:val="nil"/>
              <w:right w:val="nil"/>
            </w:tcBorders>
            <w:shd w:val="clear" w:color="auto" w:fill="auto"/>
            <w:noWrap/>
          </w:tcPr>
          <w:p>
            <w:pPr>
              <w:pStyle w:val="59"/>
              <w:rPr>
                <w:rFonts w:eastAsia="宋体"/>
              </w:rPr>
            </w:pPr>
            <w:r>
              <w:rPr>
                <w:rFonts w:eastAsia="宋体"/>
              </w:rPr>
              <w:t>43.7</w:t>
            </w:r>
          </w:p>
        </w:tc>
        <w:tc>
          <w:tcPr>
            <w:tcW w:w="790" w:type="dxa"/>
            <w:tcBorders>
              <w:top w:val="nil"/>
              <w:left w:val="nil"/>
              <w:bottom w:val="nil"/>
              <w:right w:val="nil"/>
            </w:tcBorders>
            <w:shd w:val="clear" w:color="auto" w:fill="auto"/>
            <w:noWrap/>
          </w:tcPr>
          <w:p>
            <w:pPr>
              <w:pStyle w:val="59"/>
              <w:rPr>
                <w:rFonts w:eastAsia="宋体"/>
              </w:rPr>
            </w:pPr>
            <w:r>
              <w:rPr>
                <w:rFonts w:eastAsia="宋体"/>
              </w:rPr>
              <w:t>2</w:t>
            </w:r>
          </w:p>
        </w:tc>
      </w:tr>
      <w:tr>
        <w:tblPrEx>
          <w:tblLayout w:type="fixed"/>
          <w:tblCellMar>
            <w:top w:w="0" w:type="dxa"/>
            <w:left w:w="108" w:type="dxa"/>
            <w:bottom w:w="0" w:type="dxa"/>
            <w:right w:w="108" w:type="dxa"/>
          </w:tblCellMar>
        </w:tblPrEx>
        <w:trPr>
          <w:trHeight w:val="288" w:hRule="atLeast"/>
          <w:jc w:val="center"/>
        </w:trPr>
        <w:tc>
          <w:tcPr>
            <w:tcW w:w="1739" w:type="dxa"/>
            <w:tcBorders>
              <w:top w:val="nil"/>
              <w:left w:val="nil"/>
              <w:bottom w:val="nil"/>
              <w:right w:val="nil"/>
            </w:tcBorders>
            <w:shd w:val="clear" w:color="auto" w:fill="auto"/>
            <w:noWrap/>
          </w:tcPr>
          <w:p>
            <w:pPr>
              <w:pStyle w:val="59"/>
              <w:rPr>
                <w:rFonts w:eastAsia="宋体"/>
              </w:rPr>
            </w:pPr>
            <w:r>
              <w:rPr>
                <w:rFonts w:eastAsia="宋体"/>
              </w:rPr>
              <w:t>XP_016482301.1</w:t>
            </w:r>
          </w:p>
        </w:tc>
        <w:tc>
          <w:tcPr>
            <w:tcW w:w="1847" w:type="dxa"/>
            <w:tcBorders>
              <w:top w:val="nil"/>
              <w:left w:val="nil"/>
              <w:bottom w:val="nil"/>
              <w:right w:val="nil"/>
            </w:tcBorders>
            <w:shd w:val="clear" w:color="auto" w:fill="auto"/>
            <w:noWrap/>
          </w:tcPr>
          <w:p>
            <w:pPr>
              <w:pStyle w:val="59"/>
              <w:rPr>
                <w:rFonts w:eastAsia="宋体"/>
              </w:rPr>
            </w:pPr>
            <w:r>
              <w:rPr>
                <w:rFonts w:eastAsia="宋体"/>
              </w:rPr>
              <w:t>NW_015802956.1</w:t>
            </w:r>
          </w:p>
        </w:tc>
        <w:tc>
          <w:tcPr>
            <w:tcW w:w="1682" w:type="dxa"/>
            <w:tcBorders>
              <w:top w:val="nil"/>
              <w:left w:val="nil"/>
              <w:bottom w:val="nil"/>
              <w:right w:val="nil"/>
            </w:tcBorders>
            <w:shd w:val="clear" w:color="auto" w:fill="auto"/>
            <w:noWrap/>
          </w:tcPr>
          <w:p>
            <w:pPr>
              <w:pStyle w:val="59"/>
              <w:rPr>
                <w:rFonts w:eastAsia="宋体"/>
              </w:rPr>
            </w:pPr>
            <w:r>
              <w:rPr>
                <w:rFonts w:eastAsia="宋体"/>
              </w:rPr>
              <w:t>73048–75966</w:t>
            </w:r>
          </w:p>
        </w:tc>
        <w:tc>
          <w:tcPr>
            <w:tcW w:w="855" w:type="dxa"/>
            <w:tcBorders>
              <w:top w:val="nil"/>
              <w:left w:val="nil"/>
              <w:bottom w:val="nil"/>
              <w:right w:val="nil"/>
            </w:tcBorders>
            <w:shd w:val="clear" w:color="auto" w:fill="auto"/>
            <w:noWrap/>
          </w:tcPr>
          <w:p>
            <w:pPr>
              <w:pStyle w:val="59"/>
              <w:rPr>
                <w:rFonts w:eastAsia="宋体"/>
              </w:rPr>
            </w:pPr>
            <w:r>
              <w:rPr>
                <w:rFonts w:eastAsia="宋体"/>
              </w:rPr>
              <w:t>+</w:t>
            </w:r>
          </w:p>
        </w:tc>
        <w:tc>
          <w:tcPr>
            <w:tcW w:w="1682" w:type="dxa"/>
            <w:tcBorders>
              <w:top w:val="nil"/>
              <w:left w:val="nil"/>
              <w:bottom w:val="nil"/>
              <w:right w:val="nil"/>
            </w:tcBorders>
            <w:shd w:val="clear" w:color="auto" w:fill="auto"/>
            <w:noWrap/>
          </w:tcPr>
          <w:p>
            <w:pPr>
              <w:pStyle w:val="59"/>
              <w:rPr>
                <w:rFonts w:eastAsia="宋体"/>
              </w:rPr>
            </w:pPr>
            <w:r>
              <w:rPr>
                <w:rFonts w:eastAsia="宋体"/>
              </w:rPr>
              <w:t>1170</w:t>
            </w:r>
          </w:p>
        </w:tc>
        <w:tc>
          <w:tcPr>
            <w:tcW w:w="663" w:type="dxa"/>
            <w:tcBorders>
              <w:top w:val="nil"/>
              <w:left w:val="nil"/>
              <w:bottom w:val="nil"/>
              <w:right w:val="nil"/>
            </w:tcBorders>
            <w:shd w:val="clear" w:color="auto" w:fill="auto"/>
            <w:noWrap/>
          </w:tcPr>
          <w:p>
            <w:pPr>
              <w:pStyle w:val="59"/>
              <w:rPr>
                <w:rFonts w:eastAsia="宋体"/>
              </w:rPr>
            </w:pPr>
            <w:r>
              <w:rPr>
                <w:rFonts w:eastAsia="宋体"/>
              </w:rPr>
              <w:t>5.57</w:t>
            </w:r>
          </w:p>
        </w:tc>
        <w:tc>
          <w:tcPr>
            <w:tcW w:w="1163" w:type="dxa"/>
            <w:tcBorders>
              <w:top w:val="nil"/>
              <w:left w:val="nil"/>
              <w:bottom w:val="nil"/>
              <w:right w:val="nil"/>
            </w:tcBorders>
            <w:shd w:val="clear" w:color="auto" w:fill="auto"/>
            <w:noWrap/>
          </w:tcPr>
          <w:p>
            <w:pPr>
              <w:pStyle w:val="59"/>
              <w:rPr>
                <w:rFonts w:eastAsia="宋体"/>
              </w:rPr>
            </w:pPr>
            <w:r>
              <w:rPr>
                <w:rFonts w:eastAsia="宋体"/>
              </w:rPr>
              <w:t>43.2</w:t>
            </w:r>
          </w:p>
        </w:tc>
        <w:tc>
          <w:tcPr>
            <w:tcW w:w="790" w:type="dxa"/>
            <w:tcBorders>
              <w:top w:val="nil"/>
              <w:left w:val="nil"/>
              <w:bottom w:val="nil"/>
              <w:right w:val="nil"/>
            </w:tcBorders>
            <w:shd w:val="clear" w:color="auto" w:fill="auto"/>
            <w:noWrap/>
          </w:tcPr>
          <w:p>
            <w:pPr>
              <w:pStyle w:val="59"/>
              <w:rPr>
                <w:rFonts w:eastAsia="宋体"/>
              </w:rPr>
            </w:pPr>
            <w:r>
              <w:rPr>
                <w:rFonts w:eastAsia="宋体"/>
              </w:rPr>
              <w:t>3</w:t>
            </w:r>
          </w:p>
        </w:tc>
      </w:tr>
      <w:tr>
        <w:tblPrEx>
          <w:tblLayout w:type="fixed"/>
          <w:tblCellMar>
            <w:top w:w="0" w:type="dxa"/>
            <w:left w:w="108" w:type="dxa"/>
            <w:bottom w:w="0" w:type="dxa"/>
            <w:right w:w="108" w:type="dxa"/>
          </w:tblCellMar>
        </w:tblPrEx>
        <w:trPr>
          <w:trHeight w:val="288" w:hRule="atLeast"/>
          <w:jc w:val="center"/>
        </w:trPr>
        <w:tc>
          <w:tcPr>
            <w:tcW w:w="1739" w:type="dxa"/>
            <w:tcBorders>
              <w:top w:val="nil"/>
              <w:left w:val="nil"/>
              <w:bottom w:val="nil"/>
              <w:right w:val="nil"/>
            </w:tcBorders>
            <w:shd w:val="clear" w:color="auto" w:fill="auto"/>
            <w:noWrap/>
          </w:tcPr>
          <w:p>
            <w:pPr>
              <w:pStyle w:val="59"/>
              <w:rPr>
                <w:rFonts w:eastAsia="宋体"/>
              </w:rPr>
            </w:pPr>
            <w:r>
              <w:rPr>
                <w:rFonts w:eastAsia="宋体"/>
              </w:rPr>
              <w:t>XP_016446648.1</w:t>
            </w:r>
          </w:p>
        </w:tc>
        <w:tc>
          <w:tcPr>
            <w:tcW w:w="1847" w:type="dxa"/>
            <w:tcBorders>
              <w:top w:val="nil"/>
              <w:left w:val="nil"/>
              <w:bottom w:val="nil"/>
              <w:right w:val="nil"/>
            </w:tcBorders>
            <w:shd w:val="clear" w:color="auto" w:fill="auto"/>
            <w:noWrap/>
          </w:tcPr>
          <w:p>
            <w:pPr>
              <w:pStyle w:val="59"/>
              <w:rPr>
                <w:rFonts w:eastAsia="宋体"/>
              </w:rPr>
            </w:pPr>
            <w:r>
              <w:rPr>
                <w:rFonts w:eastAsia="宋体"/>
              </w:rPr>
              <w:t>NW_015891785.1</w:t>
            </w:r>
          </w:p>
        </w:tc>
        <w:tc>
          <w:tcPr>
            <w:tcW w:w="1682" w:type="dxa"/>
            <w:tcBorders>
              <w:top w:val="nil"/>
              <w:left w:val="nil"/>
              <w:bottom w:val="nil"/>
              <w:right w:val="nil"/>
            </w:tcBorders>
            <w:shd w:val="clear" w:color="auto" w:fill="auto"/>
            <w:noWrap/>
          </w:tcPr>
          <w:p>
            <w:pPr>
              <w:pStyle w:val="59"/>
              <w:rPr>
                <w:rFonts w:eastAsia="宋体"/>
              </w:rPr>
            </w:pPr>
            <w:r>
              <w:rPr>
                <w:rFonts w:eastAsia="宋体"/>
              </w:rPr>
              <w:t>63744–67497</w:t>
            </w:r>
          </w:p>
        </w:tc>
        <w:tc>
          <w:tcPr>
            <w:tcW w:w="855" w:type="dxa"/>
            <w:tcBorders>
              <w:top w:val="nil"/>
              <w:left w:val="nil"/>
              <w:bottom w:val="nil"/>
              <w:right w:val="nil"/>
            </w:tcBorders>
            <w:shd w:val="clear" w:color="auto" w:fill="auto"/>
            <w:noWrap/>
          </w:tcPr>
          <w:p>
            <w:pPr>
              <w:pStyle w:val="59"/>
              <w:rPr>
                <w:rFonts w:eastAsia="宋体"/>
              </w:rPr>
            </w:pPr>
            <w:r>
              <w:t>−</w:t>
            </w:r>
          </w:p>
        </w:tc>
        <w:tc>
          <w:tcPr>
            <w:tcW w:w="1682" w:type="dxa"/>
            <w:tcBorders>
              <w:top w:val="nil"/>
              <w:left w:val="nil"/>
              <w:bottom w:val="nil"/>
              <w:right w:val="nil"/>
            </w:tcBorders>
            <w:shd w:val="clear" w:color="auto" w:fill="auto"/>
            <w:noWrap/>
          </w:tcPr>
          <w:p>
            <w:pPr>
              <w:pStyle w:val="59"/>
              <w:rPr>
                <w:rFonts w:eastAsia="宋体"/>
              </w:rPr>
            </w:pPr>
            <w:r>
              <w:rPr>
                <w:rFonts w:eastAsia="宋体"/>
              </w:rPr>
              <w:t>1170</w:t>
            </w:r>
          </w:p>
        </w:tc>
        <w:tc>
          <w:tcPr>
            <w:tcW w:w="663" w:type="dxa"/>
            <w:tcBorders>
              <w:top w:val="nil"/>
              <w:left w:val="nil"/>
              <w:bottom w:val="nil"/>
              <w:right w:val="nil"/>
            </w:tcBorders>
            <w:shd w:val="clear" w:color="auto" w:fill="auto"/>
            <w:noWrap/>
          </w:tcPr>
          <w:p>
            <w:pPr>
              <w:pStyle w:val="59"/>
              <w:rPr>
                <w:rFonts w:eastAsia="宋体"/>
              </w:rPr>
            </w:pPr>
            <w:r>
              <w:rPr>
                <w:rFonts w:eastAsia="宋体"/>
              </w:rPr>
              <w:t>6.28</w:t>
            </w:r>
          </w:p>
        </w:tc>
        <w:tc>
          <w:tcPr>
            <w:tcW w:w="1163" w:type="dxa"/>
            <w:tcBorders>
              <w:top w:val="nil"/>
              <w:left w:val="nil"/>
              <w:bottom w:val="nil"/>
              <w:right w:val="nil"/>
            </w:tcBorders>
            <w:shd w:val="clear" w:color="auto" w:fill="auto"/>
            <w:noWrap/>
          </w:tcPr>
          <w:p>
            <w:pPr>
              <w:pStyle w:val="59"/>
              <w:rPr>
                <w:rFonts w:eastAsia="宋体"/>
              </w:rPr>
            </w:pPr>
            <w:r>
              <w:rPr>
                <w:rFonts w:eastAsia="宋体"/>
              </w:rPr>
              <w:t>43.2</w:t>
            </w:r>
          </w:p>
        </w:tc>
        <w:tc>
          <w:tcPr>
            <w:tcW w:w="790" w:type="dxa"/>
            <w:tcBorders>
              <w:top w:val="nil"/>
              <w:left w:val="nil"/>
              <w:bottom w:val="nil"/>
              <w:right w:val="nil"/>
            </w:tcBorders>
            <w:shd w:val="clear" w:color="auto" w:fill="auto"/>
            <w:noWrap/>
          </w:tcPr>
          <w:p>
            <w:pPr>
              <w:pStyle w:val="59"/>
              <w:rPr>
                <w:rFonts w:eastAsia="宋体"/>
              </w:rPr>
            </w:pPr>
            <w:r>
              <w:rPr>
                <w:rFonts w:eastAsia="宋体"/>
              </w:rPr>
              <w:t>3</w:t>
            </w:r>
          </w:p>
        </w:tc>
      </w:tr>
      <w:tr>
        <w:tblPrEx>
          <w:tblLayout w:type="fixed"/>
          <w:tblCellMar>
            <w:top w:w="0" w:type="dxa"/>
            <w:left w:w="108" w:type="dxa"/>
            <w:bottom w:w="0" w:type="dxa"/>
            <w:right w:w="108" w:type="dxa"/>
          </w:tblCellMar>
        </w:tblPrEx>
        <w:trPr>
          <w:trHeight w:val="288" w:hRule="atLeast"/>
          <w:jc w:val="center"/>
        </w:trPr>
        <w:tc>
          <w:tcPr>
            <w:tcW w:w="1739" w:type="dxa"/>
            <w:tcBorders>
              <w:top w:val="nil"/>
              <w:left w:val="nil"/>
              <w:bottom w:val="nil"/>
              <w:right w:val="nil"/>
            </w:tcBorders>
            <w:shd w:val="clear" w:color="auto" w:fill="auto"/>
            <w:noWrap/>
          </w:tcPr>
          <w:p>
            <w:pPr>
              <w:pStyle w:val="59"/>
              <w:rPr>
                <w:rFonts w:eastAsia="宋体"/>
              </w:rPr>
            </w:pPr>
            <w:r>
              <w:rPr>
                <w:rFonts w:eastAsia="宋体"/>
              </w:rPr>
              <w:t>XP_016494384.1</w:t>
            </w:r>
          </w:p>
        </w:tc>
        <w:tc>
          <w:tcPr>
            <w:tcW w:w="1847" w:type="dxa"/>
            <w:tcBorders>
              <w:top w:val="nil"/>
              <w:left w:val="nil"/>
              <w:bottom w:val="nil"/>
              <w:right w:val="nil"/>
            </w:tcBorders>
            <w:shd w:val="clear" w:color="auto" w:fill="auto"/>
            <w:noWrap/>
          </w:tcPr>
          <w:p>
            <w:pPr>
              <w:pStyle w:val="59"/>
              <w:rPr>
                <w:rFonts w:eastAsia="宋体"/>
              </w:rPr>
            </w:pPr>
            <w:r>
              <w:rPr>
                <w:rFonts w:eastAsia="宋体"/>
              </w:rPr>
              <w:t>NW_015806518.1</w:t>
            </w:r>
          </w:p>
        </w:tc>
        <w:tc>
          <w:tcPr>
            <w:tcW w:w="1682" w:type="dxa"/>
            <w:tcBorders>
              <w:top w:val="nil"/>
              <w:left w:val="nil"/>
              <w:bottom w:val="nil"/>
              <w:right w:val="nil"/>
            </w:tcBorders>
            <w:shd w:val="clear" w:color="auto" w:fill="auto"/>
            <w:noWrap/>
          </w:tcPr>
          <w:p>
            <w:pPr>
              <w:pStyle w:val="59"/>
              <w:rPr>
                <w:rFonts w:eastAsia="宋体"/>
              </w:rPr>
            </w:pPr>
            <w:r>
              <w:rPr>
                <w:rFonts w:eastAsia="宋体"/>
              </w:rPr>
              <w:t>130722–133092</w:t>
            </w:r>
          </w:p>
        </w:tc>
        <w:tc>
          <w:tcPr>
            <w:tcW w:w="855" w:type="dxa"/>
            <w:tcBorders>
              <w:top w:val="nil"/>
              <w:left w:val="nil"/>
              <w:bottom w:val="nil"/>
              <w:right w:val="nil"/>
            </w:tcBorders>
            <w:shd w:val="clear" w:color="auto" w:fill="auto"/>
            <w:noWrap/>
          </w:tcPr>
          <w:p>
            <w:pPr>
              <w:pStyle w:val="59"/>
              <w:rPr>
                <w:rFonts w:eastAsia="宋体"/>
              </w:rPr>
            </w:pPr>
            <w:r>
              <w:t>−</w:t>
            </w:r>
          </w:p>
        </w:tc>
        <w:tc>
          <w:tcPr>
            <w:tcW w:w="1682" w:type="dxa"/>
            <w:tcBorders>
              <w:top w:val="nil"/>
              <w:left w:val="nil"/>
              <w:bottom w:val="nil"/>
              <w:right w:val="nil"/>
            </w:tcBorders>
            <w:shd w:val="clear" w:color="auto" w:fill="auto"/>
            <w:noWrap/>
          </w:tcPr>
          <w:p>
            <w:pPr>
              <w:pStyle w:val="59"/>
              <w:rPr>
                <w:rFonts w:eastAsia="宋体"/>
              </w:rPr>
            </w:pPr>
            <w:r>
              <w:rPr>
                <w:rFonts w:eastAsia="宋体"/>
              </w:rPr>
              <w:t>1167</w:t>
            </w:r>
          </w:p>
        </w:tc>
        <w:tc>
          <w:tcPr>
            <w:tcW w:w="663" w:type="dxa"/>
            <w:tcBorders>
              <w:top w:val="nil"/>
              <w:left w:val="nil"/>
              <w:bottom w:val="nil"/>
              <w:right w:val="nil"/>
            </w:tcBorders>
            <w:shd w:val="clear" w:color="auto" w:fill="auto"/>
            <w:noWrap/>
          </w:tcPr>
          <w:p>
            <w:pPr>
              <w:pStyle w:val="59"/>
              <w:rPr>
                <w:rFonts w:eastAsia="宋体"/>
              </w:rPr>
            </w:pPr>
            <w:r>
              <w:rPr>
                <w:rFonts w:eastAsia="宋体"/>
              </w:rPr>
              <w:t>6.71</w:t>
            </w:r>
          </w:p>
        </w:tc>
        <w:tc>
          <w:tcPr>
            <w:tcW w:w="1163" w:type="dxa"/>
            <w:tcBorders>
              <w:top w:val="nil"/>
              <w:left w:val="nil"/>
              <w:bottom w:val="nil"/>
              <w:right w:val="nil"/>
            </w:tcBorders>
            <w:shd w:val="clear" w:color="auto" w:fill="auto"/>
            <w:noWrap/>
          </w:tcPr>
          <w:p>
            <w:pPr>
              <w:pStyle w:val="59"/>
              <w:rPr>
                <w:rFonts w:eastAsia="宋体"/>
              </w:rPr>
            </w:pPr>
            <w:r>
              <w:rPr>
                <w:rFonts w:eastAsia="宋体"/>
              </w:rPr>
              <w:t>42.6</w:t>
            </w:r>
          </w:p>
        </w:tc>
        <w:tc>
          <w:tcPr>
            <w:tcW w:w="790" w:type="dxa"/>
            <w:tcBorders>
              <w:top w:val="nil"/>
              <w:left w:val="nil"/>
              <w:bottom w:val="nil"/>
              <w:right w:val="nil"/>
            </w:tcBorders>
            <w:shd w:val="clear" w:color="auto" w:fill="auto"/>
            <w:noWrap/>
          </w:tcPr>
          <w:p>
            <w:pPr>
              <w:pStyle w:val="59"/>
              <w:rPr>
                <w:rFonts w:eastAsia="宋体"/>
              </w:rPr>
            </w:pPr>
            <w:r>
              <w:rPr>
                <w:rFonts w:eastAsia="宋体"/>
              </w:rPr>
              <w:t>2</w:t>
            </w:r>
          </w:p>
        </w:tc>
      </w:tr>
      <w:tr>
        <w:tblPrEx>
          <w:tblLayout w:type="fixed"/>
          <w:tblCellMar>
            <w:top w:w="0" w:type="dxa"/>
            <w:left w:w="108" w:type="dxa"/>
            <w:bottom w:w="0" w:type="dxa"/>
            <w:right w:w="108" w:type="dxa"/>
          </w:tblCellMar>
        </w:tblPrEx>
        <w:trPr>
          <w:trHeight w:val="288" w:hRule="atLeast"/>
          <w:jc w:val="center"/>
        </w:trPr>
        <w:tc>
          <w:tcPr>
            <w:tcW w:w="1739" w:type="dxa"/>
            <w:tcBorders>
              <w:top w:val="nil"/>
              <w:left w:val="nil"/>
              <w:bottom w:val="nil"/>
              <w:right w:val="nil"/>
            </w:tcBorders>
            <w:shd w:val="clear" w:color="auto" w:fill="auto"/>
            <w:noWrap/>
          </w:tcPr>
          <w:p>
            <w:pPr>
              <w:pStyle w:val="59"/>
              <w:rPr>
                <w:rFonts w:eastAsia="宋体"/>
              </w:rPr>
            </w:pPr>
            <w:r>
              <w:rPr>
                <w:rFonts w:eastAsia="宋体"/>
              </w:rPr>
              <w:t>XP_016480648.1</w:t>
            </w:r>
          </w:p>
        </w:tc>
        <w:tc>
          <w:tcPr>
            <w:tcW w:w="1847" w:type="dxa"/>
            <w:tcBorders>
              <w:top w:val="nil"/>
              <w:left w:val="nil"/>
              <w:bottom w:val="nil"/>
              <w:right w:val="nil"/>
            </w:tcBorders>
            <w:shd w:val="clear" w:color="auto" w:fill="auto"/>
            <w:noWrap/>
          </w:tcPr>
          <w:p>
            <w:pPr>
              <w:pStyle w:val="59"/>
              <w:rPr>
                <w:rFonts w:eastAsia="宋体"/>
              </w:rPr>
            </w:pPr>
            <w:r>
              <w:rPr>
                <w:rFonts w:eastAsia="宋体"/>
              </w:rPr>
              <w:t>NW_015934644.1</w:t>
            </w:r>
          </w:p>
        </w:tc>
        <w:tc>
          <w:tcPr>
            <w:tcW w:w="1682" w:type="dxa"/>
            <w:tcBorders>
              <w:top w:val="nil"/>
              <w:left w:val="nil"/>
              <w:bottom w:val="nil"/>
              <w:right w:val="nil"/>
            </w:tcBorders>
            <w:shd w:val="clear" w:color="auto" w:fill="auto"/>
            <w:noWrap/>
          </w:tcPr>
          <w:p>
            <w:pPr>
              <w:pStyle w:val="59"/>
              <w:rPr>
                <w:rFonts w:eastAsia="宋体"/>
              </w:rPr>
            </w:pPr>
            <w:r>
              <w:rPr>
                <w:rFonts w:eastAsia="宋体"/>
              </w:rPr>
              <w:t>52313–54708</w:t>
            </w:r>
          </w:p>
        </w:tc>
        <w:tc>
          <w:tcPr>
            <w:tcW w:w="855" w:type="dxa"/>
            <w:tcBorders>
              <w:top w:val="nil"/>
              <w:left w:val="nil"/>
              <w:bottom w:val="nil"/>
              <w:right w:val="nil"/>
            </w:tcBorders>
            <w:shd w:val="clear" w:color="auto" w:fill="auto"/>
            <w:noWrap/>
          </w:tcPr>
          <w:p>
            <w:pPr>
              <w:pStyle w:val="59"/>
              <w:rPr>
                <w:rFonts w:eastAsia="宋体"/>
              </w:rPr>
            </w:pPr>
            <w:r>
              <w:rPr>
                <w:rFonts w:eastAsia="宋体"/>
              </w:rPr>
              <w:t>+</w:t>
            </w:r>
          </w:p>
        </w:tc>
        <w:tc>
          <w:tcPr>
            <w:tcW w:w="1682" w:type="dxa"/>
            <w:tcBorders>
              <w:top w:val="nil"/>
              <w:left w:val="nil"/>
              <w:bottom w:val="nil"/>
              <w:right w:val="nil"/>
            </w:tcBorders>
            <w:shd w:val="clear" w:color="auto" w:fill="auto"/>
            <w:noWrap/>
          </w:tcPr>
          <w:p>
            <w:pPr>
              <w:pStyle w:val="59"/>
              <w:rPr>
                <w:rFonts w:eastAsia="宋体"/>
              </w:rPr>
            </w:pPr>
            <w:r>
              <w:rPr>
                <w:rFonts w:eastAsia="宋体"/>
              </w:rPr>
              <w:t>1167</w:t>
            </w:r>
          </w:p>
        </w:tc>
        <w:tc>
          <w:tcPr>
            <w:tcW w:w="663" w:type="dxa"/>
            <w:tcBorders>
              <w:top w:val="nil"/>
              <w:left w:val="nil"/>
              <w:bottom w:val="nil"/>
              <w:right w:val="nil"/>
            </w:tcBorders>
            <w:shd w:val="clear" w:color="auto" w:fill="auto"/>
            <w:noWrap/>
          </w:tcPr>
          <w:p>
            <w:pPr>
              <w:pStyle w:val="59"/>
              <w:rPr>
                <w:rFonts w:eastAsia="宋体"/>
              </w:rPr>
            </w:pPr>
            <w:r>
              <w:rPr>
                <w:rFonts w:eastAsia="宋体"/>
              </w:rPr>
              <w:t>6.71</w:t>
            </w:r>
          </w:p>
        </w:tc>
        <w:tc>
          <w:tcPr>
            <w:tcW w:w="1163" w:type="dxa"/>
            <w:tcBorders>
              <w:top w:val="nil"/>
              <w:left w:val="nil"/>
              <w:bottom w:val="nil"/>
              <w:right w:val="nil"/>
            </w:tcBorders>
            <w:shd w:val="clear" w:color="auto" w:fill="auto"/>
            <w:noWrap/>
          </w:tcPr>
          <w:p>
            <w:pPr>
              <w:pStyle w:val="59"/>
              <w:rPr>
                <w:rFonts w:eastAsia="宋体"/>
              </w:rPr>
            </w:pPr>
            <w:r>
              <w:rPr>
                <w:rFonts w:eastAsia="宋体"/>
              </w:rPr>
              <w:t>42.6</w:t>
            </w:r>
          </w:p>
        </w:tc>
        <w:tc>
          <w:tcPr>
            <w:tcW w:w="790" w:type="dxa"/>
            <w:tcBorders>
              <w:top w:val="nil"/>
              <w:left w:val="nil"/>
              <w:bottom w:val="nil"/>
              <w:right w:val="nil"/>
            </w:tcBorders>
            <w:shd w:val="clear" w:color="auto" w:fill="auto"/>
            <w:noWrap/>
          </w:tcPr>
          <w:p>
            <w:pPr>
              <w:pStyle w:val="59"/>
              <w:rPr>
                <w:rFonts w:eastAsia="宋体"/>
              </w:rPr>
            </w:pPr>
            <w:r>
              <w:rPr>
                <w:rFonts w:eastAsia="宋体"/>
              </w:rPr>
              <w:t>2</w:t>
            </w:r>
          </w:p>
        </w:tc>
      </w:tr>
      <w:tr>
        <w:tblPrEx>
          <w:tblLayout w:type="fixed"/>
          <w:tblCellMar>
            <w:top w:w="0" w:type="dxa"/>
            <w:left w:w="108" w:type="dxa"/>
            <w:bottom w:w="0" w:type="dxa"/>
            <w:right w:w="108" w:type="dxa"/>
          </w:tblCellMar>
        </w:tblPrEx>
        <w:trPr>
          <w:trHeight w:val="288" w:hRule="atLeast"/>
          <w:jc w:val="center"/>
        </w:trPr>
        <w:tc>
          <w:tcPr>
            <w:tcW w:w="1739" w:type="dxa"/>
            <w:tcBorders>
              <w:top w:val="nil"/>
              <w:left w:val="nil"/>
              <w:bottom w:val="nil"/>
              <w:right w:val="nil"/>
            </w:tcBorders>
            <w:shd w:val="clear" w:color="auto" w:fill="auto"/>
            <w:noWrap/>
          </w:tcPr>
          <w:p>
            <w:pPr>
              <w:pStyle w:val="59"/>
              <w:rPr>
                <w:rFonts w:eastAsia="宋体"/>
              </w:rPr>
            </w:pPr>
            <w:r>
              <w:rPr>
                <w:rFonts w:eastAsia="宋体"/>
              </w:rPr>
              <w:t>XP_016494186.1</w:t>
            </w:r>
          </w:p>
        </w:tc>
        <w:tc>
          <w:tcPr>
            <w:tcW w:w="1847" w:type="dxa"/>
            <w:tcBorders>
              <w:top w:val="nil"/>
              <w:left w:val="nil"/>
              <w:bottom w:val="nil"/>
              <w:right w:val="nil"/>
            </w:tcBorders>
            <w:shd w:val="clear" w:color="auto" w:fill="auto"/>
            <w:noWrap/>
          </w:tcPr>
          <w:p>
            <w:pPr>
              <w:pStyle w:val="59"/>
              <w:rPr>
                <w:rFonts w:eastAsia="宋体"/>
              </w:rPr>
            </w:pPr>
            <w:r>
              <w:rPr>
                <w:rFonts w:eastAsia="宋体"/>
              </w:rPr>
              <w:t>NW_015806028.1</w:t>
            </w:r>
          </w:p>
        </w:tc>
        <w:tc>
          <w:tcPr>
            <w:tcW w:w="1682" w:type="dxa"/>
            <w:tcBorders>
              <w:top w:val="nil"/>
              <w:left w:val="nil"/>
              <w:bottom w:val="nil"/>
              <w:right w:val="nil"/>
            </w:tcBorders>
            <w:shd w:val="clear" w:color="auto" w:fill="auto"/>
            <w:noWrap/>
          </w:tcPr>
          <w:p>
            <w:pPr>
              <w:pStyle w:val="59"/>
              <w:rPr>
                <w:rFonts w:eastAsia="宋体"/>
              </w:rPr>
            </w:pPr>
            <w:r>
              <w:rPr>
                <w:rFonts w:eastAsia="宋体"/>
              </w:rPr>
              <w:t>38323–40241</w:t>
            </w:r>
          </w:p>
        </w:tc>
        <w:tc>
          <w:tcPr>
            <w:tcW w:w="855" w:type="dxa"/>
            <w:tcBorders>
              <w:top w:val="nil"/>
              <w:left w:val="nil"/>
              <w:bottom w:val="nil"/>
              <w:right w:val="nil"/>
            </w:tcBorders>
            <w:shd w:val="clear" w:color="auto" w:fill="auto"/>
            <w:noWrap/>
          </w:tcPr>
          <w:p>
            <w:pPr>
              <w:pStyle w:val="59"/>
              <w:rPr>
                <w:rFonts w:eastAsia="宋体"/>
              </w:rPr>
            </w:pPr>
            <w:r>
              <w:rPr>
                <w:rFonts w:eastAsia="宋体"/>
              </w:rPr>
              <w:t>+</w:t>
            </w:r>
          </w:p>
        </w:tc>
        <w:tc>
          <w:tcPr>
            <w:tcW w:w="1682" w:type="dxa"/>
            <w:tcBorders>
              <w:top w:val="nil"/>
              <w:left w:val="nil"/>
              <w:bottom w:val="nil"/>
              <w:right w:val="nil"/>
            </w:tcBorders>
            <w:shd w:val="clear" w:color="auto" w:fill="auto"/>
            <w:noWrap/>
          </w:tcPr>
          <w:p>
            <w:pPr>
              <w:pStyle w:val="59"/>
              <w:rPr>
                <w:rFonts w:eastAsia="宋体"/>
              </w:rPr>
            </w:pPr>
            <w:r>
              <w:rPr>
                <w:rFonts w:eastAsia="宋体"/>
              </w:rPr>
              <w:t>1170</w:t>
            </w:r>
          </w:p>
        </w:tc>
        <w:tc>
          <w:tcPr>
            <w:tcW w:w="663" w:type="dxa"/>
            <w:tcBorders>
              <w:top w:val="nil"/>
              <w:left w:val="nil"/>
              <w:bottom w:val="nil"/>
              <w:right w:val="nil"/>
            </w:tcBorders>
            <w:shd w:val="clear" w:color="auto" w:fill="auto"/>
            <w:noWrap/>
          </w:tcPr>
          <w:p>
            <w:pPr>
              <w:pStyle w:val="59"/>
              <w:rPr>
                <w:rFonts w:eastAsia="宋体"/>
              </w:rPr>
            </w:pPr>
            <w:r>
              <w:rPr>
                <w:rFonts w:eastAsia="宋体"/>
              </w:rPr>
              <w:t>6.52</w:t>
            </w:r>
          </w:p>
        </w:tc>
        <w:tc>
          <w:tcPr>
            <w:tcW w:w="1163" w:type="dxa"/>
            <w:tcBorders>
              <w:top w:val="nil"/>
              <w:left w:val="nil"/>
              <w:bottom w:val="nil"/>
              <w:right w:val="nil"/>
            </w:tcBorders>
            <w:shd w:val="clear" w:color="auto" w:fill="auto"/>
            <w:noWrap/>
          </w:tcPr>
          <w:p>
            <w:pPr>
              <w:pStyle w:val="59"/>
              <w:rPr>
                <w:rFonts w:eastAsia="宋体"/>
              </w:rPr>
            </w:pPr>
            <w:r>
              <w:rPr>
                <w:rFonts w:eastAsia="宋体"/>
              </w:rPr>
              <w:t>42.8</w:t>
            </w:r>
          </w:p>
        </w:tc>
        <w:tc>
          <w:tcPr>
            <w:tcW w:w="790" w:type="dxa"/>
            <w:tcBorders>
              <w:top w:val="nil"/>
              <w:left w:val="nil"/>
              <w:bottom w:val="nil"/>
              <w:right w:val="nil"/>
            </w:tcBorders>
            <w:shd w:val="clear" w:color="auto" w:fill="auto"/>
            <w:noWrap/>
          </w:tcPr>
          <w:p>
            <w:pPr>
              <w:pStyle w:val="59"/>
              <w:rPr>
                <w:rFonts w:eastAsia="宋体"/>
              </w:rPr>
            </w:pPr>
            <w:r>
              <w:rPr>
                <w:rFonts w:eastAsia="宋体"/>
              </w:rPr>
              <w:t>3</w:t>
            </w:r>
          </w:p>
        </w:tc>
      </w:tr>
      <w:tr>
        <w:tblPrEx>
          <w:tblLayout w:type="fixed"/>
          <w:tblCellMar>
            <w:top w:w="0" w:type="dxa"/>
            <w:left w:w="108" w:type="dxa"/>
            <w:bottom w:w="0" w:type="dxa"/>
            <w:right w:w="108" w:type="dxa"/>
          </w:tblCellMar>
        </w:tblPrEx>
        <w:trPr>
          <w:trHeight w:val="288" w:hRule="atLeast"/>
          <w:jc w:val="center"/>
        </w:trPr>
        <w:tc>
          <w:tcPr>
            <w:tcW w:w="1739" w:type="dxa"/>
            <w:tcBorders>
              <w:top w:val="nil"/>
              <w:left w:val="nil"/>
              <w:bottom w:val="nil"/>
              <w:right w:val="nil"/>
            </w:tcBorders>
            <w:shd w:val="clear" w:color="auto" w:fill="auto"/>
            <w:noWrap/>
          </w:tcPr>
          <w:p>
            <w:pPr>
              <w:pStyle w:val="59"/>
              <w:rPr>
                <w:rFonts w:eastAsia="宋体"/>
              </w:rPr>
            </w:pPr>
            <w:r>
              <w:rPr>
                <w:rFonts w:eastAsia="宋体"/>
              </w:rPr>
              <w:t>XP_016515539.1</w:t>
            </w:r>
          </w:p>
        </w:tc>
        <w:tc>
          <w:tcPr>
            <w:tcW w:w="1847" w:type="dxa"/>
            <w:tcBorders>
              <w:top w:val="nil"/>
              <w:left w:val="nil"/>
              <w:bottom w:val="nil"/>
              <w:right w:val="nil"/>
            </w:tcBorders>
            <w:shd w:val="clear" w:color="auto" w:fill="auto"/>
            <w:noWrap/>
          </w:tcPr>
          <w:p>
            <w:pPr>
              <w:pStyle w:val="59"/>
              <w:rPr>
                <w:rFonts w:eastAsia="宋体"/>
              </w:rPr>
            </w:pPr>
            <w:r>
              <w:rPr>
                <w:rFonts w:eastAsia="宋体"/>
              </w:rPr>
              <w:t>NW_015863094.1</w:t>
            </w:r>
          </w:p>
        </w:tc>
        <w:tc>
          <w:tcPr>
            <w:tcW w:w="1682" w:type="dxa"/>
            <w:tcBorders>
              <w:top w:val="nil"/>
              <w:left w:val="nil"/>
              <w:bottom w:val="nil"/>
              <w:right w:val="nil"/>
            </w:tcBorders>
            <w:shd w:val="clear" w:color="auto" w:fill="auto"/>
            <w:noWrap/>
          </w:tcPr>
          <w:p>
            <w:pPr>
              <w:pStyle w:val="59"/>
              <w:rPr>
                <w:rFonts w:eastAsia="宋体"/>
              </w:rPr>
            </w:pPr>
            <w:r>
              <w:rPr>
                <w:rFonts w:eastAsia="宋体"/>
              </w:rPr>
              <w:t>82043–85472</w:t>
            </w:r>
          </w:p>
        </w:tc>
        <w:tc>
          <w:tcPr>
            <w:tcW w:w="855" w:type="dxa"/>
            <w:tcBorders>
              <w:top w:val="nil"/>
              <w:left w:val="nil"/>
              <w:bottom w:val="nil"/>
              <w:right w:val="nil"/>
            </w:tcBorders>
            <w:shd w:val="clear" w:color="auto" w:fill="auto"/>
            <w:noWrap/>
          </w:tcPr>
          <w:p>
            <w:pPr>
              <w:pStyle w:val="59"/>
              <w:rPr>
                <w:rFonts w:eastAsia="宋体"/>
              </w:rPr>
            </w:pPr>
            <w:r>
              <w:t>−</w:t>
            </w:r>
          </w:p>
        </w:tc>
        <w:tc>
          <w:tcPr>
            <w:tcW w:w="1682" w:type="dxa"/>
            <w:tcBorders>
              <w:top w:val="nil"/>
              <w:left w:val="nil"/>
              <w:bottom w:val="nil"/>
              <w:right w:val="nil"/>
            </w:tcBorders>
            <w:shd w:val="clear" w:color="auto" w:fill="auto"/>
            <w:noWrap/>
          </w:tcPr>
          <w:p>
            <w:pPr>
              <w:pStyle w:val="59"/>
              <w:rPr>
                <w:rFonts w:eastAsia="宋体"/>
              </w:rPr>
            </w:pPr>
            <w:r>
              <w:rPr>
                <w:rFonts w:eastAsia="宋体"/>
              </w:rPr>
              <w:t>1170</w:t>
            </w:r>
          </w:p>
        </w:tc>
        <w:tc>
          <w:tcPr>
            <w:tcW w:w="663" w:type="dxa"/>
            <w:tcBorders>
              <w:top w:val="nil"/>
              <w:left w:val="nil"/>
              <w:bottom w:val="nil"/>
              <w:right w:val="nil"/>
            </w:tcBorders>
            <w:shd w:val="clear" w:color="auto" w:fill="auto"/>
            <w:noWrap/>
          </w:tcPr>
          <w:p>
            <w:pPr>
              <w:pStyle w:val="59"/>
              <w:rPr>
                <w:rFonts w:eastAsia="宋体"/>
              </w:rPr>
            </w:pPr>
            <w:r>
              <w:rPr>
                <w:rFonts w:eastAsia="宋体"/>
              </w:rPr>
              <w:t>6.32</w:t>
            </w:r>
          </w:p>
        </w:tc>
        <w:tc>
          <w:tcPr>
            <w:tcW w:w="1163" w:type="dxa"/>
            <w:tcBorders>
              <w:top w:val="nil"/>
              <w:left w:val="nil"/>
              <w:bottom w:val="nil"/>
              <w:right w:val="nil"/>
            </w:tcBorders>
            <w:shd w:val="clear" w:color="auto" w:fill="auto"/>
            <w:noWrap/>
          </w:tcPr>
          <w:p>
            <w:pPr>
              <w:pStyle w:val="59"/>
              <w:rPr>
                <w:rFonts w:eastAsia="宋体"/>
              </w:rPr>
            </w:pPr>
            <w:r>
              <w:rPr>
                <w:rFonts w:eastAsia="宋体"/>
              </w:rPr>
              <w:t>42.8</w:t>
            </w:r>
          </w:p>
        </w:tc>
        <w:tc>
          <w:tcPr>
            <w:tcW w:w="790" w:type="dxa"/>
            <w:tcBorders>
              <w:top w:val="nil"/>
              <w:left w:val="nil"/>
              <w:bottom w:val="nil"/>
              <w:right w:val="nil"/>
            </w:tcBorders>
            <w:shd w:val="clear" w:color="auto" w:fill="auto"/>
            <w:noWrap/>
          </w:tcPr>
          <w:p>
            <w:pPr>
              <w:pStyle w:val="59"/>
              <w:rPr>
                <w:rFonts w:eastAsia="宋体"/>
              </w:rPr>
            </w:pPr>
            <w:r>
              <w:rPr>
                <w:rFonts w:eastAsia="宋体"/>
              </w:rPr>
              <w:t>2</w:t>
            </w:r>
          </w:p>
        </w:tc>
      </w:tr>
      <w:tr>
        <w:tblPrEx>
          <w:tblLayout w:type="fixed"/>
          <w:tblCellMar>
            <w:top w:w="0" w:type="dxa"/>
            <w:left w:w="108" w:type="dxa"/>
            <w:bottom w:w="0" w:type="dxa"/>
            <w:right w:w="108" w:type="dxa"/>
          </w:tblCellMar>
        </w:tblPrEx>
        <w:trPr>
          <w:trHeight w:val="288" w:hRule="atLeast"/>
          <w:jc w:val="center"/>
        </w:trPr>
        <w:tc>
          <w:tcPr>
            <w:tcW w:w="1739" w:type="dxa"/>
            <w:tcBorders>
              <w:top w:val="nil"/>
              <w:left w:val="nil"/>
              <w:bottom w:val="nil"/>
              <w:right w:val="nil"/>
            </w:tcBorders>
            <w:shd w:val="clear" w:color="auto" w:fill="auto"/>
            <w:noWrap/>
          </w:tcPr>
          <w:p>
            <w:pPr>
              <w:pStyle w:val="59"/>
              <w:rPr>
                <w:rFonts w:eastAsia="宋体"/>
              </w:rPr>
            </w:pPr>
            <w:r>
              <w:rPr>
                <w:rFonts w:eastAsia="宋体"/>
              </w:rPr>
              <w:t>XP_016480039.1</w:t>
            </w:r>
          </w:p>
        </w:tc>
        <w:tc>
          <w:tcPr>
            <w:tcW w:w="1847" w:type="dxa"/>
            <w:tcBorders>
              <w:top w:val="nil"/>
              <w:left w:val="nil"/>
              <w:bottom w:val="nil"/>
              <w:right w:val="nil"/>
            </w:tcBorders>
            <w:shd w:val="clear" w:color="auto" w:fill="auto"/>
            <w:noWrap/>
          </w:tcPr>
          <w:p>
            <w:pPr>
              <w:pStyle w:val="59"/>
              <w:rPr>
                <w:rFonts w:eastAsia="宋体"/>
              </w:rPr>
            </w:pPr>
            <w:r>
              <w:rPr>
                <w:rFonts w:eastAsia="宋体"/>
              </w:rPr>
              <w:t>NW_015933844.1</w:t>
            </w:r>
          </w:p>
        </w:tc>
        <w:tc>
          <w:tcPr>
            <w:tcW w:w="1682" w:type="dxa"/>
            <w:tcBorders>
              <w:top w:val="nil"/>
              <w:left w:val="nil"/>
              <w:bottom w:val="nil"/>
              <w:right w:val="nil"/>
            </w:tcBorders>
            <w:shd w:val="clear" w:color="auto" w:fill="auto"/>
            <w:noWrap/>
          </w:tcPr>
          <w:p>
            <w:pPr>
              <w:pStyle w:val="59"/>
              <w:rPr>
                <w:rFonts w:eastAsia="宋体"/>
              </w:rPr>
            </w:pPr>
            <w:r>
              <w:rPr>
                <w:rFonts w:eastAsia="宋体"/>
              </w:rPr>
              <w:t>25918–28090</w:t>
            </w:r>
          </w:p>
        </w:tc>
        <w:tc>
          <w:tcPr>
            <w:tcW w:w="855" w:type="dxa"/>
            <w:tcBorders>
              <w:top w:val="nil"/>
              <w:left w:val="nil"/>
              <w:bottom w:val="nil"/>
              <w:right w:val="nil"/>
            </w:tcBorders>
            <w:shd w:val="clear" w:color="auto" w:fill="auto"/>
            <w:noWrap/>
          </w:tcPr>
          <w:p>
            <w:pPr>
              <w:pStyle w:val="59"/>
              <w:rPr>
                <w:rFonts w:eastAsia="宋体"/>
              </w:rPr>
            </w:pPr>
            <w:r>
              <w:t>−</w:t>
            </w:r>
          </w:p>
        </w:tc>
        <w:tc>
          <w:tcPr>
            <w:tcW w:w="1682" w:type="dxa"/>
            <w:tcBorders>
              <w:top w:val="nil"/>
              <w:left w:val="nil"/>
              <w:bottom w:val="nil"/>
              <w:right w:val="nil"/>
            </w:tcBorders>
            <w:shd w:val="clear" w:color="auto" w:fill="auto"/>
            <w:noWrap/>
          </w:tcPr>
          <w:p>
            <w:pPr>
              <w:pStyle w:val="59"/>
              <w:rPr>
                <w:rFonts w:eastAsia="宋体"/>
              </w:rPr>
            </w:pPr>
            <w:r>
              <w:rPr>
                <w:rFonts w:eastAsia="宋体"/>
              </w:rPr>
              <w:t>1293</w:t>
            </w:r>
          </w:p>
        </w:tc>
        <w:tc>
          <w:tcPr>
            <w:tcW w:w="663" w:type="dxa"/>
            <w:tcBorders>
              <w:top w:val="nil"/>
              <w:left w:val="nil"/>
              <w:bottom w:val="nil"/>
              <w:right w:val="nil"/>
            </w:tcBorders>
            <w:shd w:val="clear" w:color="auto" w:fill="auto"/>
            <w:noWrap/>
          </w:tcPr>
          <w:p>
            <w:pPr>
              <w:pStyle w:val="59"/>
              <w:rPr>
                <w:rFonts w:eastAsia="宋体"/>
              </w:rPr>
            </w:pPr>
            <w:r>
              <w:rPr>
                <w:rFonts w:eastAsia="宋体"/>
              </w:rPr>
              <w:t>8.02</w:t>
            </w:r>
          </w:p>
        </w:tc>
        <w:tc>
          <w:tcPr>
            <w:tcW w:w="1163" w:type="dxa"/>
            <w:tcBorders>
              <w:top w:val="nil"/>
              <w:left w:val="nil"/>
              <w:bottom w:val="nil"/>
              <w:right w:val="nil"/>
            </w:tcBorders>
            <w:shd w:val="clear" w:color="auto" w:fill="auto"/>
            <w:noWrap/>
          </w:tcPr>
          <w:p>
            <w:pPr>
              <w:pStyle w:val="59"/>
              <w:rPr>
                <w:rFonts w:eastAsia="宋体"/>
              </w:rPr>
            </w:pPr>
            <w:r>
              <w:rPr>
                <w:rFonts w:eastAsia="宋体"/>
              </w:rPr>
              <w:t>47.4</w:t>
            </w:r>
          </w:p>
        </w:tc>
        <w:tc>
          <w:tcPr>
            <w:tcW w:w="790" w:type="dxa"/>
            <w:tcBorders>
              <w:top w:val="nil"/>
              <w:left w:val="nil"/>
              <w:bottom w:val="nil"/>
              <w:right w:val="nil"/>
            </w:tcBorders>
            <w:shd w:val="clear" w:color="auto" w:fill="auto"/>
            <w:noWrap/>
          </w:tcPr>
          <w:p>
            <w:pPr>
              <w:pStyle w:val="59"/>
              <w:rPr>
                <w:rFonts w:eastAsia="宋体"/>
              </w:rPr>
            </w:pPr>
            <w:r>
              <w:rPr>
                <w:rFonts w:eastAsia="宋体"/>
              </w:rPr>
              <w:t>2</w:t>
            </w:r>
          </w:p>
        </w:tc>
      </w:tr>
      <w:tr>
        <w:tblPrEx>
          <w:tblLayout w:type="fixed"/>
          <w:tblCellMar>
            <w:top w:w="0" w:type="dxa"/>
            <w:left w:w="108" w:type="dxa"/>
            <w:bottom w:w="0" w:type="dxa"/>
            <w:right w:w="108" w:type="dxa"/>
          </w:tblCellMar>
        </w:tblPrEx>
        <w:trPr>
          <w:trHeight w:val="288" w:hRule="atLeast"/>
          <w:jc w:val="center"/>
        </w:trPr>
        <w:tc>
          <w:tcPr>
            <w:tcW w:w="1739" w:type="dxa"/>
            <w:tcBorders>
              <w:top w:val="nil"/>
              <w:left w:val="nil"/>
              <w:bottom w:val="nil"/>
              <w:right w:val="nil"/>
            </w:tcBorders>
            <w:shd w:val="clear" w:color="auto" w:fill="auto"/>
            <w:noWrap/>
          </w:tcPr>
          <w:p>
            <w:pPr>
              <w:pStyle w:val="59"/>
              <w:rPr>
                <w:rFonts w:eastAsia="宋体"/>
              </w:rPr>
            </w:pPr>
            <w:r>
              <w:rPr>
                <w:rFonts w:eastAsia="宋体"/>
              </w:rPr>
              <w:t>XP_016508885.1</w:t>
            </w:r>
          </w:p>
        </w:tc>
        <w:tc>
          <w:tcPr>
            <w:tcW w:w="1847" w:type="dxa"/>
            <w:tcBorders>
              <w:top w:val="nil"/>
              <w:left w:val="nil"/>
              <w:bottom w:val="nil"/>
              <w:right w:val="nil"/>
            </w:tcBorders>
            <w:shd w:val="clear" w:color="auto" w:fill="auto"/>
            <w:noWrap/>
          </w:tcPr>
          <w:p>
            <w:pPr>
              <w:pStyle w:val="59"/>
              <w:rPr>
                <w:rFonts w:eastAsia="宋体"/>
              </w:rPr>
            </w:pPr>
            <w:r>
              <w:rPr>
                <w:rFonts w:eastAsia="宋体"/>
              </w:rPr>
              <w:t>NW_015843977.1</w:t>
            </w:r>
          </w:p>
        </w:tc>
        <w:tc>
          <w:tcPr>
            <w:tcW w:w="1682" w:type="dxa"/>
            <w:tcBorders>
              <w:top w:val="nil"/>
              <w:left w:val="nil"/>
              <w:bottom w:val="nil"/>
              <w:right w:val="nil"/>
            </w:tcBorders>
            <w:shd w:val="clear" w:color="auto" w:fill="auto"/>
            <w:noWrap/>
          </w:tcPr>
          <w:p>
            <w:pPr>
              <w:pStyle w:val="59"/>
              <w:rPr>
                <w:rFonts w:eastAsia="宋体"/>
              </w:rPr>
            </w:pPr>
            <w:r>
              <w:rPr>
                <w:rFonts w:eastAsia="宋体"/>
              </w:rPr>
              <w:t>4364–6561</w:t>
            </w:r>
          </w:p>
        </w:tc>
        <w:tc>
          <w:tcPr>
            <w:tcW w:w="855" w:type="dxa"/>
            <w:tcBorders>
              <w:top w:val="nil"/>
              <w:left w:val="nil"/>
              <w:bottom w:val="nil"/>
              <w:right w:val="nil"/>
            </w:tcBorders>
            <w:shd w:val="clear" w:color="auto" w:fill="auto"/>
            <w:noWrap/>
          </w:tcPr>
          <w:p>
            <w:pPr>
              <w:pStyle w:val="59"/>
              <w:rPr>
                <w:rFonts w:eastAsia="宋体"/>
              </w:rPr>
            </w:pPr>
            <w:r>
              <w:t>−</w:t>
            </w:r>
          </w:p>
        </w:tc>
        <w:tc>
          <w:tcPr>
            <w:tcW w:w="1682" w:type="dxa"/>
            <w:tcBorders>
              <w:top w:val="nil"/>
              <w:left w:val="nil"/>
              <w:bottom w:val="nil"/>
              <w:right w:val="nil"/>
            </w:tcBorders>
            <w:shd w:val="clear" w:color="auto" w:fill="auto"/>
            <w:noWrap/>
          </w:tcPr>
          <w:p>
            <w:pPr>
              <w:pStyle w:val="59"/>
              <w:rPr>
                <w:rFonts w:eastAsia="宋体"/>
              </w:rPr>
            </w:pPr>
            <w:r>
              <w:rPr>
                <w:rFonts w:eastAsia="宋体"/>
              </w:rPr>
              <w:t>1167</w:t>
            </w:r>
          </w:p>
        </w:tc>
        <w:tc>
          <w:tcPr>
            <w:tcW w:w="663" w:type="dxa"/>
            <w:tcBorders>
              <w:top w:val="nil"/>
              <w:left w:val="nil"/>
              <w:bottom w:val="nil"/>
              <w:right w:val="nil"/>
            </w:tcBorders>
            <w:shd w:val="clear" w:color="auto" w:fill="auto"/>
            <w:noWrap/>
          </w:tcPr>
          <w:p>
            <w:pPr>
              <w:pStyle w:val="59"/>
              <w:rPr>
                <w:rFonts w:eastAsia="宋体"/>
              </w:rPr>
            </w:pPr>
            <w:r>
              <w:rPr>
                <w:rFonts w:eastAsia="宋体"/>
              </w:rPr>
              <w:t>6.71</w:t>
            </w:r>
          </w:p>
        </w:tc>
        <w:tc>
          <w:tcPr>
            <w:tcW w:w="1163" w:type="dxa"/>
            <w:tcBorders>
              <w:top w:val="nil"/>
              <w:left w:val="nil"/>
              <w:bottom w:val="nil"/>
              <w:right w:val="nil"/>
            </w:tcBorders>
            <w:shd w:val="clear" w:color="auto" w:fill="auto"/>
            <w:noWrap/>
          </w:tcPr>
          <w:p>
            <w:pPr>
              <w:pStyle w:val="59"/>
              <w:rPr>
                <w:rFonts w:eastAsia="宋体"/>
              </w:rPr>
            </w:pPr>
            <w:r>
              <w:rPr>
                <w:rFonts w:eastAsia="宋体"/>
              </w:rPr>
              <w:t>42.5</w:t>
            </w:r>
          </w:p>
        </w:tc>
        <w:tc>
          <w:tcPr>
            <w:tcW w:w="790" w:type="dxa"/>
            <w:tcBorders>
              <w:top w:val="nil"/>
              <w:left w:val="nil"/>
              <w:bottom w:val="nil"/>
              <w:right w:val="nil"/>
            </w:tcBorders>
            <w:shd w:val="clear" w:color="auto" w:fill="auto"/>
            <w:noWrap/>
          </w:tcPr>
          <w:p>
            <w:pPr>
              <w:pStyle w:val="59"/>
              <w:rPr>
                <w:rFonts w:eastAsia="宋体"/>
              </w:rPr>
            </w:pPr>
            <w:r>
              <w:rPr>
                <w:rFonts w:eastAsia="宋体"/>
              </w:rPr>
              <w:t>2</w:t>
            </w:r>
          </w:p>
        </w:tc>
      </w:tr>
      <w:tr>
        <w:tblPrEx>
          <w:tblLayout w:type="fixed"/>
          <w:tblCellMar>
            <w:top w:w="0" w:type="dxa"/>
            <w:left w:w="108" w:type="dxa"/>
            <w:bottom w:w="0" w:type="dxa"/>
            <w:right w:w="108" w:type="dxa"/>
          </w:tblCellMar>
        </w:tblPrEx>
        <w:trPr>
          <w:trHeight w:val="288" w:hRule="atLeast"/>
          <w:jc w:val="center"/>
        </w:trPr>
        <w:tc>
          <w:tcPr>
            <w:tcW w:w="1739" w:type="dxa"/>
            <w:tcBorders>
              <w:top w:val="nil"/>
              <w:left w:val="nil"/>
              <w:bottom w:val="single" w:color="auto" w:sz="4" w:space="0"/>
              <w:right w:val="nil"/>
            </w:tcBorders>
            <w:shd w:val="clear" w:color="auto" w:fill="auto"/>
            <w:noWrap/>
          </w:tcPr>
          <w:p>
            <w:pPr>
              <w:pStyle w:val="59"/>
              <w:rPr>
                <w:rFonts w:eastAsia="宋体"/>
              </w:rPr>
            </w:pPr>
            <w:r>
              <w:rPr>
                <w:rFonts w:eastAsia="宋体"/>
              </w:rPr>
              <w:t>XP_016489904.1</w:t>
            </w:r>
          </w:p>
        </w:tc>
        <w:tc>
          <w:tcPr>
            <w:tcW w:w="1847" w:type="dxa"/>
            <w:tcBorders>
              <w:top w:val="nil"/>
              <w:left w:val="nil"/>
              <w:bottom w:val="single" w:color="auto" w:sz="4" w:space="0"/>
              <w:right w:val="nil"/>
            </w:tcBorders>
            <w:shd w:val="clear" w:color="auto" w:fill="auto"/>
            <w:noWrap/>
          </w:tcPr>
          <w:p>
            <w:pPr>
              <w:pStyle w:val="59"/>
              <w:rPr>
                <w:rFonts w:eastAsia="宋体"/>
              </w:rPr>
            </w:pPr>
            <w:r>
              <w:rPr>
                <w:rFonts w:eastAsia="宋体"/>
              </w:rPr>
              <w:t>NW_015948736.1</w:t>
            </w:r>
          </w:p>
        </w:tc>
        <w:tc>
          <w:tcPr>
            <w:tcW w:w="1682" w:type="dxa"/>
            <w:tcBorders>
              <w:top w:val="nil"/>
              <w:left w:val="nil"/>
              <w:bottom w:val="single" w:color="auto" w:sz="4" w:space="0"/>
              <w:right w:val="nil"/>
            </w:tcBorders>
            <w:shd w:val="clear" w:color="auto" w:fill="auto"/>
            <w:noWrap/>
          </w:tcPr>
          <w:p>
            <w:pPr>
              <w:pStyle w:val="59"/>
              <w:rPr>
                <w:rFonts w:eastAsia="宋体"/>
              </w:rPr>
            </w:pPr>
            <w:r>
              <w:rPr>
                <w:rFonts w:eastAsia="宋体"/>
              </w:rPr>
              <w:t>40753–43241</w:t>
            </w:r>
          </w:p>
        </w:tc>
        <w:tc>
          <w:tcPr>
            <w:tcW w:w="855" w:type="dxa"/>
            <w:tcBorders>
              <w:top w:val="nil"/>
              <w:left w:val="nil"/>
              <w:bottom w:val="single" w:color="auto" w:sz="4" w:space="0"/>
              <w:right w:val="nil"/>
            </w:tcBorders>
            <w:shd w:val="clear" w:color="auto" w:fill="auto"/>
            <w:noWrap/>
          </w:tcPr>
          <w:p>
            <w:pPr>
              <w:pStyle w:val="59"/>
              <w:rPr>
                <w:rFonts w:eastAsia="宋体"/>
              </w:rPr>
            </w:pPr>
            <w:r>
              <w:rPr>
                <w:rFonts w:eastAsia="宋体"/>
              </w:rPr>
              <w:t>+</w:t>
            </w:r>
          </w:p>
        </w:tc>
        <w:tc>
          <w:tcPr>
            <w:tcW w:w="1682" w:type="dxa"/>
            <w:tcBorders>
              <w:top w:val="nil"/>
              <w:left w:val="nil"/>
              <w:bottom w:val="single" w:color="auto" w:sz="4" w:space="0"/>
              <w:right w:val="nil"/>
            </w:tcBorders>
            <w:shd w:val="clear" w:color="auto" w:fill="auto"/>
            <w:noWrap/>
          </w:tcPr>
          <w:p>
            <w:pPr>
              <w:pStyle w:val="59"/>
              <w:rPr>
                <w:rFonts w:eastAsia="宋体"/>
              </w:rPr>
            </w:pPr>
            <w:r>
              <w:rPr>
                <w:rFonts w:eastAsia="宋体"/>
              </w:rPr>
              <w:t>1167</w:t>
            </w:r>
          </w:p>
        </w:tc>
        <w:tc>
          <w:tcPr>
            <w:tcW w:w="663" w:type="dxa"/>
            <w:tcBorders>
              <w:top w:val="nil"/>
              <w:left w:val="nil"/>
              <w:bottom w:val="single" w:color="auto" w:sz="4" w:space="0"/>
              <w:right w:val="nil"/>
            </w:tcBorders>
            <w:shd w:val="clear" w:color="auto" w:fill="auto"/>
            <w:noWrap/>
          </w:tcPr>
          <w:p>
            <w:pPr>
              <w:pStyle w:val="59"/>
              <w:rPr>
                <w:rFonts w:eastAsia="宋体"/>
              </w:rPr>
            </w:pPr>
            <w:r>
              <w:rPr>
                <w:rFonts w:eastAsia="宋体"/>
              </w:rPr>
              <w:t>6.51</w:t>
            </w:r>
          </w:p>
        </w:tc>
        <w:tc>
          <w:tcPr>
            <w:tcW w:w="1163" w:type="dxa"/>
            <w:tcBorders>
              <w:top w:val="nil"/>
              <w:left w:val="nil"/>
              <w:bottom w:val="single" w:color="auto" w:sz="4" w:space="0"/>
              <w:right w:val="nil"/>
            </w:tcBorders>
            <w:shd w:val="clear" w:color="auto" w:fill="auto"/>
            <w:noWrap/>
          </w:tcPr>
          <w:p>
            <w:pPr>
              <w:pStyle w:val="59"/>
              <w:rPr>
                <w:rFonts w:eastAsia="宋体"/>
              </w:rPr>
            </w:pPr>
            <w:r>
              <w:rPr>
                <w:rFonts w:eastAsia="宋体"/>
              </w:rPr>
              <w:t>42.5</w:t>
            </w:r>
          </w:p>
        </w:tc>
        <w:tc>
          <w:tcPr>
            <w:tcW w:w="790" w:type="dxa"/>
            <w:tcBorders>
              <w:top w:val="nil"/>
              <w:left w:val="nil"/>
              <w:bottom w:val="single" w:color="auto" w:sz="4" w:space="0"/>
              <w:right w:val="nil"/>
            </w:tcBorders>
            <w:shd w:val="clear" w:color="auto" w:fill="auto"/>
            <w:noWrap/>
          </w:tcPr>
          <w:p>
            <w:pPr>
              <w:pStyle w:val="59"/>
              <w:rPr>
                <w:rFonts w:eastAsia="宋体"/>
              </w:rPr>
            </w:pPr>
            <w:r>
              <w:rPr>
                <w:rFonts w:eastAsia="宋体"/>
              </w:rPr>
              <w:t>2</w:t>
            </w:r>
          </w:p>
        </w:tc>
      </w:tr>
    </w:tbl>
    <w:p>
      <w:pPr>
        <w:pStyle w:val="68"/>
        <w:rPr>
          <w:rFonts w:eastAsiaTheme="minorEastAsia"/>
          <w:lang w:val="en-US"/>
        </w:rPr>
      </w:pPr>
    </w:p>
    <w:p>
      <w:pPr>
        <w:pStyle w:val="38"/>
        <w:rPr>
          <w:lang w:val="en-US" w:eastAsia="zh-CN"/>
        </w:rPr>
      </w:pPr>
      <w:r>
        <w:rPr>
          <w:lang w:val="en-US" w:eastAsia="zh-CN"/>
        </w:rPr>
        <w:drawing>
          <wp:inline distT="0" distB="0" distL="0" distR="0">
            <wp:extent cx="5276215" cy="2164715"/>
            <wp:effectExtent l="0" t="0" r="635" b="6985"/>
            <wp:docPr id="75" name="图片 75" descr="D:\misc\其他人\胡贲\CHS\图表文档\Fig.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D:\misc\其他人\胡贲\CHS\图表文档\Fig.5.tif"/>
                    <pic:cNvPicPr>
                      <a:picLocks noChangeAspect="1" noChangeArrowheads="1"/>
                    </pic:cNvPicPr>
                  </pic:nvPicPr>
                  <pic:blipFill>
                    <a:blip r:embed="rId37" cstate="print">
                      <a:extLst>
                        <a:ext uri="{28A0092B-C50C-407E-A947-70E740481C1C}">
                          <a14:useLocalDpi xmlns:a14="http://schemas.microsoft.com/office/drawing/2010/main" val="0"/>
                        </a:ext>
                      </a:extLst>
                    </a:blip>
                    <a:srcRect t="17439" b="14169"/>
                    <a:stretch>
                      <a:fillRect/>
                    </a:stretch>
                  </pic:blipFill>
                  <pic:spPr>
                    <a:xfrm>
                      <a:off x="0" y="0"/>
                      <a:ext cx="5274310" cy="2164288"/>
                    </a:xfrm>
                    <a:prstGeom prst="rect">
                      <a:avLst/>
                    </a:prstGeom>
                    <a:noFill/>
                    <a:ln>
                      <a:noFill/>
                    </a:ln>
                  </pic:spPr>
                </pic:pic>
              </a:graphicData>
            </a:graphic>
          </wp:inline>
        </w:drawing>
      </w:r>
    </w:p>
    <w:p>
      <w:pPr>
        <w:pStyle w:val="91"/>
        <w:rPr>
          <w:lang w:val="en-US" w:eastAsia="zh-CN"/>
        </w:rPr>
      </w:pPr>
      <w:r>
        <w:rPr>
          <w:b/>
        </w:rPr>
        <w:t>Fig</w:t>
      </w:r>
      <w:r>
        <w:rPr>
          <w:rFonts w:hint="eastAsia"/>
          <w:b/>
        </w:rPr>
        <w:t>.</w:t>
      </w:r>
      <w:r>
        <w:rPr>
          <w:b/>
        </w:rPr>
        <w:t xml:space="preserve"> </w:t>
      </w:r>
      <w:r>
        <w:rPr>
          <w:rFonts w:hint="eastAsia"/>
          <w:b/>
        </w:rPr>
        <w:t>6</w:t>
      </w:r>
      <w:r>
        <w:t xml:space="preserve"> Domain and gene structures of tobacco </w:t>
      </w:r>
      <w:r>
        <w:rPr>
          <w:i/>
        </w:rPr>
        <w:t xml:space="preserve">CHS </w:t>
      </w:r>
      <w:r>
        <w:t xml:space="preserve">genes. </w:t>
      </w:r>
      <w:r>
        <w:rPr>
          <w:rFonts w:hint="eastAsia"/>
        </w:rPr>
        <w:t>(</w:t>
      </w:r>
      <w:r>
        <w:t xml:space="preserve">a) Domain structures of the tobacco </w:t>
      </w:r>
      <w:r>
        <w:rPr>
          <w:i/>
        </w:rPr>
        <w:t>CHS</w:t>
      </w:r>
      <w:r>
        <w:t xml:space="preserve"> peptides showing two conserved domains (yellow and blue). </w:t>
      </w:r>
      <w:r>
        <w:rPr>
          <w:rFonts w:hint="eastAsia"/>
        </w:rPr>
        <w:t>(</w:t>
      </w:r>
      <w:r>
        <w:t xml:space="preserve">b) Exon-intron structures of the tobacco </w:t>
      </w:r>
      <w:r>
        <w:rPr>
          <w:i/>
        </w:rPr>
        <w:t>CHS</w:t>
      </w:r>
      <w:r>
        <w:t xml:space="preserve"> genes showing exons (yellow boxes) and introns (lines).</w:t>
      </w:r>
    </w:p>
    <w:p>
      <w:pPr>
        <w:pStyle w:val="31"/>
        <w:rPr>
          <w:color w:val="000000" w:themeColor="text1"/>
          <w:lang w:val="en-US" w:eastAsia="zh-CN"/>
          <w14:textFill>
            <w14:solidFill>
              <w14:schemeClr w14:val="tx1"/>
            </w14:solidFill>
          </w14:textFill>
        </w:rPr>
        <w:sectPr>
          <w:type w:val="continuous"/>
          <w:pgSz w:w="11907" w:h="16840"/>
          <w:pgMar w:top="1009" w:right="851" w:bottom="1758" w:left="851" w:header="851" w:footer="1049" w:gutter="0"/>
          <w:cols w:space="227" w:num="1"/>
          <w:docGrid w:linePitch="360" w:charSpace="0"/>
        </w:sectPr>
      </w:pPr>
    </w:p>
    <w:p>
      <w:pPr>
        <w:pStyle w:val="31"/>
        <w:rPr>
          <w:color w:val="000000" w:themeColor="text1"/>
          <w:lang w:val="en-US"/>
          <w14:textFill>
            <w14:solidFill>
              <w14:schemeClr w14:val="tx1"/>
            </w14:solidFill>
          </w14:textFill>
        </w:rPr>
      </w:pPr>
      <w:r>
        <w:rPr>
          <w:color w:val="000000" w:themeColor="text1"/>
          <w:lang w:val="en-US"/>
          <w14:textFill>
            <w14:solidFill>
              <w14:schemeClr w14:val="tx1"/>
            </w14:solidFill>
          </w14:textFill>
        </w:rPr>
        <w:t xml:space="preserve">contained two conserved domains, with PF00195.18 located at the N-terminus and PF02797.14 at the C-terminus (Fig. </w:t>
      </w:r>
      <w:r>
        <w:rPr>
          <w:rFonts w:hint="eastAsia"/>
          <w:color w:val="000000" w:themeColor="text1"/>
          <w:lang w:val="en-US"/>
          <w14:textFill>
            <w14:solidFill>
              <w14:schemeClr w14:val="tx1"/>
            </w14:solidFill>
          </w14:textFill>
        </w:rPr>
        <w:t>6</w:t>
      </w:r>
      <w:r>
        <w:rPr>
          <w:color w:val="000000" w:themeColor="text1"/>
          <w:lang w:val="en-US"/>
          <w14:textFill>
            <w14:solidFill>
              <w14:schemeClr w14:val="tx1"/>
            </w14:solidFill>
          </w14:textFill>
        </w:rPr>
        <w:t xml:space="preserve">a). All CDS sequences of the CHS family genes contained one or two introns with highly variable lengths, and the first exon of the genes tended to be considerably shorter than the second and third exons (Fig. </w:t>
      </w:r>
      <w:r>
        <w:rPr>
          <w:rFonts w:hint="eastAsia"/>
          <w:color w:val="000000" w:themeColor="text1"/>
          <w:lang w:val="en-US"/>
          <w14:textFill>
            <w14:solidFill>
              <w14:schemeClr w14:val="tx1"/>
            </w14:solidFill>
          </w14:textFill>
        </w:rPr>
        <w:t>6</w:t>
      </w:r>
      <w:r>
        <w:rPr>
          <w:color w:val="000000" w:themeColor="text1"/>
          <w:lang w:val="en-US"/>
          <w14:textFill>
            <w14:solidFill>
              <w14:schemeClr w14:val="tx1"/>
            </w14:solidFill>
          </w14:textFill>
        </w:rPr>
        <w:t>b).</w:t>
      </w:r>
    </w:p>
    <w:p>
      <w:pPr>
        <w:pStyle w:val="30"/>
        <w:rPr>
          <w:color w:val="000000" w:themeColor="text1"/>
          <w:w w:val="108"/>
          <w:lang w:val="en-US"/>
          <w14:textFill>
            <w14:solidFill>
              <w14:schemeClr w14:val="tx1"/>
            </w14:solidFill>
          </w14:textFill>
        </w:rPr>
      </w:pPr>
      <w:r>
        <w:rPr>
          <w:color w:val="000000" w:themeColor="text1"/>
          <w:w w:val="108"/>
          <w:lang w:val="en-US"/>
          <w14:textFill>
            <w14:solidFill>
              <w14:schemeClr w14:val="tx1"/>
            </w14:solidFill>
          </w14:textFill>
        </w:rPr>
        <w:t>4. Discussion</w:t>
      </w:r>
    </w:p>
    <w:p>
      <w:pPr>
        <w:pStyle w:val="31"/>
        <w:rPr>
          <w:color w:val="000000" w:themeColor="text1"/>
          <w:lang w:val="en-US"/>
          <w14:textFill>
            <w14:solidFill>
              <w14:schemeClr w14:val="tx1"/>
            </w14:solidFill>
          </w14:textFill>
        </w:rPr>
      </w:pPr>
      <w:r>
        <w:rPr>
          <w:color w:val="000000" w:themeColor="text1"/>
          <w:lang w:val="en-US"/>
          <w14:textFill>
            <w14:solidFill>
              <w14:schemeClr w14:val="tx1"/>
            </w14:solidFill>
          </w14:textFill>
        </w:rPr>
        <w:t>The flavonoid biosynthesis pathway is an important secondary metabolite pathway, and CHS is the first committed enzyme that catalyzes the synthesis of the flavonoid branch. Previous work suggested a role for CHS in the production of flavonoids and improving plant tolerance to drought stress.</w:t>
      </w:r>
      <w:r>
        <w:rPr>
          <w:color w:val="000000" w:themeColor="text1"/>
          <w:lang w:val="en-US"/>
          <w14:textFill>
            <w14:solidFill>
              <w14:schemeClr w14:val="tx1"/>
            </w14:solidFill>
          </w14:textFill>
        </w:rPr>
        <w:fldChar w:fldCharType="begin">
          <w:fldData xml:space="preserve">PEVuZE5vdGU+PENpdGU+PEF1dGhvcj5DaGVuPC9BdXRob3I+PFllYXI+MjAxNTwvWWVhcj48UmVj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</w:fldData>
        </w:fldChar>
      </w:r>
      <w:r>
        <w:rPr>
          <w:color w:val="000000" w:themeColor="text1"/>
          <w:lang w:val="en-US"/>
          <w14:textFill>
            <w14:solidFill>
              <w14:schemeClr w14:val="tx1"/>
            </w14:solidFill>
          </w14:textFill>
        </w:rPr>
        <w:instrText xml:space="preserve"> ADDIN EN.CITE </w:instrText>
      </w:r>
      <w:r>
        <w:rPr>
          <w:color w:val="000000" w:themeColor="text1"/>
          <w:lang w:val="en-US"/>
          <w14:textFill>
            <w14:solidFill>
              <w14:schemeClr w14:val="tx1"/>
            </w14:solidFill>
          </w14:textFill>
        </w:rPr>
        <w:fldChar w:fldCharType="begin">
          <w:fldData xml:space="preserve">PEVuZE5vdGU+PENpdGU+PEF1dGhvcj5DaGVuPC9BdXRob3I+PFllYXI+MjAxNTwvWWVhcj48UmVj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</w:fldData>
        </w:fldChar>
      </w:r>
      <w:r>
        <w:rPr>
          <w:color w:val="000000" w:themeColor="text1"/>
          <w:lang w:val="en-US"/>
          <w14:textFill>
            <w14:solidFill>
              <w14:schemeClr w14:val="tx1"/>
            </w14:solidFill>
          </w14:textFill>
        </w:rPr>
        <w:instrText xml:space="preserve"> ADDIN EN.CITE.DATA </w:instrText>
      </w:r>
      <w:r>
        <w:rPr>
          <w:color w:val="000000" w:themeColor="text1"/>
          <w14:textFill>
            <w14:solidFill>
              <w14:schemeClr w14:val="tx1"/>
            </w14:solidFill>
          </w14:textFill>
        </w:rPr>
        <w:fldChar w:fldCharType="end"/>
      </w:r>
      <w:r>
        <w:rPr>
          <w:color w:val="000000" w:themeColor="text1"/>
          <w:lang w:val="en-US"/>
          <w14:textFill>
            <w14:solidFill>
              <w14:schemeClr w14:val="tx1"/>
            </w14:solidFill>
          </w14:textFill>
        </w:rPr>
        <w:fldChar w:fldCharType="separate"/>
      </w:r>
      <w:r>
        <w:fldChar w:fldCharType="begin"/>
      </w:r>
      <w:r>
        <w:instrText xml:space="preserve"> HYPERLINK \l "_ENREF_13" \o "Chen, 2015 #2874" </w:instrText>
      </w:r>
      <w:r>
        <w:fldChar w:fldCharType="separate"/>
      </w:r>
      <w:r>
        <w:rPr>
          <w:rStyle w:val="20"/>
          <w:color w:val="000000" w:themeColor="text1"/>
          <w:u w:val="none"/>
          <w:vertAlign w:val="superscript"/>
          <w:lang w:val="en-US"/>
          <w14:textFill>
            <w14:solidFill>
              <w14:schemeClr w14:val="tx1"/>
            </w14:solidFill>
          </w14:textFill>
        </w:rPr>
        <w:t>13</w:t>
      </w:r>
      <w:r>
        <w:rPr>
          <w:rStyle w:val="20"/>
          <w:color w:val="000000" w:themeColor="text1"/>
          <w:u w:val="none"/>
          <w:vertAlign w:val="superscript"/>
          <w:lang w:val="en-US"/>
          <w14:textFill>
            <w14:solidFill>
              <w14:schemeClr w14:val="tx1"/>
            </w14:solidFill>
          </w14:textFill>
        </w:rPr>
        <w:fldChar w:fldCharType="end"/>
      </w:r>
      <w:r>
        <w:rPr>
          <w:color w:val="000000" w:themeColor="text1"/>
          <w:vertAlign w:val="superscript"/>
          <w:lang w:val="en-US"/>
          <w14:textFill>
            <w14:solidFill>
              <w14:schemeClr w14:val="tx1"/>
            </w14:solidFill>
          </w14:textFill>
        </w:rPr>
        <w:t>,</w:t>
      </w:r>
      <w:r>
        <w:fldChar w:fldCharType="begin"/>
      </w:r>
      <w:r>
        <w:instrText xml:space="preserve"> HYPERLINK \l "_ENREF_31" \o "Abdel-Lateif, 2013 #2892" </w:instrText>
      </w:r>
      <w:r>
        <w:fldChar w:fldCharType="separate"/>
      </w:r>
      <w:r>
        <w:rPr>
          <w:rStyle w:val="20"/>
          <w:color w:val="000000" w:themeColor="text1"/>
          <w:u w:val="none"/>
          <w:vertAlign w:val="superscript"/>
          <w:lang w:val="en-US"/>
          <w14:textFill>
            <w14:solidFill>
              <w14:schemeClr w14:val="tx1"/>
            </w14:solidFill>
          </w14:textFill>
        </w:rPr>
        <w:t>31</w:t>
      </w:r>
      <w:r>
        <w:rPr>
          <w:rStyle w:val="20"/>
          <w:color w:val="000000" w:themeColor="text1"/>
          <w:u w:val="none"/>
          <w:vertAlign w:val="superscript"/>
          <w:lang w:val="en-US"/>
          <w14:textFill>
            <w14:solidFill>
              <w14:schemeClr w14:val="tx1"/>
            </w14:solidFill>
          </w14:textFill>
        </w:rPr>
        <w:fldChar w:fldCharType="end"/>
      </w:r>
      <w:r>
        <w:rPr>
          <w:color w:val="000000" w:themeColor="text1"/>
          <w:vertAlign w:val="superscript"/>
          <w:lang w:val="en-US"/>
          <w14:textFill>
            <w14:solidFill>
              <w14:schemeClr w14:val="tx1"/>
            </w14:solidFill>
          </w14:textFill>
        </w:rPr>
        <w:t>,</w:t>
      </w:r>
      <w:r>
        <w:fldChar w:fldCharType="begin"/>
      </w:r>
      <w:r>
        <w:instrText xml:space="preserve"> HYPERLINK \l "_ENREF_32" \o "Wasson, 2006 #2893" </w:instrText>
      </w:r>
      <w:r>
        <w:fldChar w:fldCharType="separate"/>
      </w:r>
      <w:r>
        <w:rPr>
          <w:rStyle w:val="20"/>
          <w:color w:val="000000" w:themeColor="text1"/>
          <w:u w:val="none"/>
          <w:vertAlign w:val="superscript"/>
          <w:lang w:val="en-US"/>
          <w14:textFill>
            <w14:solidFill>
              <w14:schemeClr w14:val="tx1"/>
            </w14:solidFill>
          </w14:textFill>
        </w:rPr>
        <w:t>32</w:t>
      </w:r>
      <w:r>
        <w:rPr>
          <w:rStyle w:val="20"/>
          <w:color w:val="000000" w:themeColor="text1"/>
          <w:u w:val="none"/>
          <w:vertAlign w:val="superscript"/>
          <w:lang w:val="en-US"/>
          <w14:textFill>
            <w14:solidFill>
              <w14:schemeClr w14:val="tx1"/>
            </w14:solidFill>
          </w14:textFill>
        </w:rPr>
        <w:fldChar w:fldCharType="end"/>
      </w:r>
      <w:r>
        <w:rPr>
          <w:color w:val="000000" w:themeColor="text1"/>
          <w14:textFill>
            <w14:solidFill>
              <w14:schemeClr w14:val="tx1"/>
            </w14:solidFill>
          </w14:textFill>
        </w:rPr>
        <w:fldChar w:fldCharType="end"/>
      </w:r>
      <w:r>
        <w:rPr>
          <w:color w:val="000000" w:themeColor="text1"/>
          <w:lang w:val="en-US"/>
          <w14:textFill>
            <w14:solidFill>
              <w14:schemeClr w14:val="tx1"/>
            </w14:solidFill>
          </w14:textFill>
        </w:rPr>
        <w:t xml:space="preserve"> In this study, overexpression of </w:t>
      </w: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 xml:space="preserve"> in tobacco plants enhanced plant tolerance to drought stress and increased RWC. Additionally, transcripts of the flavonoid biosynthesis genes and flavonoid contents were considerably upregulated in transgenic plants. Four of the seven measured flavonoids (i.e., rutin, quercetin, kaempferol-3-rutinoside, and kaempferol-glucopyranoside) were higher in content,</w:t>
      </w:r>
      <w:r>
        <w:rPr>
          <w:color w:val="000000" w:themeColor="text1"/>
          <w:lang w:val="en-US"/>
          <w14:textFill>
            <w14:solidFill>
              <w14:schemeClr w14:val="tx1"/>
            </w14:solidFill>
          </w14:textFill>
        </w:rPr>
        <w:fldChar w:fldCharType="begin">
          <w:fldData xml:space="preserve">PEVuZE5vdGU+PENpdGU+PEF1dGhvcj5DaGVuPC9BdXRob3I+PFllYXI+MjAxMjwvWWVhcj48UmVj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</w:fldData>
        </w:fldChar>
      </w:r>
      <w:r>
        <w:rPr>
          <w:color w:val="000000" w:themeColor="text1"/>
          <w:lang w:val="en-US"/>
          <w14:textFill>
            <w14:solidFill>
              <w14:schemeClr w14:val="tx1"/>
            </w14:solidFill>
          </w14:textFill>
        </w:rPr>
        <w:instrText xml:space="preserve"> ADDIN EN.CITE </w:instrText>
      </w:r>
      <w:r>
        <w:rPr>
          <w:color w:val="000000" w:themeColor="text1"/>
          <w:lang w:val="en-US"/>
          <w14:textFill>
            <w14:solidFill>
              <w14:schemeClr w14:val="tx1"/>
            </w14:solidFill>
          </w14:textFill>
        </w:rPr>
        <w:fldChar w:fldCharType="begin">
          <w:fldData xml:space="preserve">PEVuZE5vdGU+PENpdGU+PEF1dGhvcj5DaGVuPC9BdXRob3I+PFllYXI+MjAxMjwvWWVhcj48UmVj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</w:fldData>
        </w:fldChar>
      </w:r>
      <w:r>
        <w:rPr>
          <w:color w:val="000000" w:themeColor="text1"/>
          <w:lang w:val="en-US"/>
          <w14:textFill>
            <w14:solidFill>
              <w14:schemeClr w14:val="tx1"/>
            </w14:solidFill>
          </w14:textFill>
        </w:rPr>
        <w:instrText xml:space="preserve"> ADDIN EN.CITE.DATA </w:instrText>
      </w:r>
      <w:r>
        <w:rPr>
          <w:color w:val="000000" w:themeColor="text1"/>
          <w14:textFill>
            <w14:solidFill>
              <w14:schemeClr w14:val="tx1"/>
            </w14:solidFill>
          </w14:textFill>
        </w:rPr>
        <w:fldChar w:fldCharType="end"/>
      </w:r>
      <w:r>
        <w:rPr>
          <w:color w:val="000000" w:themeColor="text1"/>
          <w:lang w:val="en-US"/>
          <w14:textFill>
            <w14:solidFill>
              <w14:schemeClr w14:val="tx1"/>
            </w14:solidFill>
          </w14:textFill>
        </w:rPr>
        <w:fldChar w:fldCharType="separate"/>
      </w:r>
      <w:r>
        <w:fldChar w:fldCharType="begin"/>
      </w:r>
      <w:r>
        <w:instrText xml:space="preserve"> HYPERLINK \l "_ENREF_33" \o "Chen, 2012 #2894" </w:instrText>
      </w:r>
      <w:r>
        <w:fldChar w:fldCharType="separate"/>
      </w:r>
      <w:r>
        <w:rPr>
          <w:rStyle w:val="20"/>
          <w:color w:val="000000" w:themeColor="text1"/>
          <w:u w:val="none"/>
          <w:vertAlign w:val="superscript"/>
          <w:lang w:val="en-US"/>
          <w14:textFill>
            <w14:solidFill>
              <w14:schemeClr w14:val="tx1"/>
            </w14:solidFill>
          </w14:textFill>
        </w:rPr>
        <w:t>33</w:t>
      </w:r>
      <w:r>
        <w:rPr>
          <w:rStyle w:val="20"/>
          <w:color w:val="000000" w:themeColor="text1"/>
          <w:u w:val="none"/>
          <w:vertAlign w:val="superscript"/>
          <w:lang w:val="en-US"/>
          <w14:textFill>
            <w14:solidFill>
              <w14:schemeClr w14:val="tx1"/>
            </w14:solidFill>
          </w14:textFill>
        </w:rPr>
        <w:fldChar w:fldCharType="end"/>
      </w:r>
      <w:r>
        <w:rPr>
          <w:color w:val="000000" w:themeColor="text1"/>
          <w:vertAlign w:val="superscript"/>
          <w:lang w:val="en-US"/>
          <w14:textFill>
            <w14:solidFill>
              <w14:schemeClr w14:val="tx1"/>
            </w14:solidFill>
          </w14:textFill>
        </w:rPr>
        <w:t>,</w:t>
      </w:r>
      <w:r>
        <w:fldChar w:fldCharType="begin"/>
      </w:r>
      <w:r>
        <w:instrText xml:space="preserve"> HYPERLINK \l "_ENREF_34" \o "Chen, 2013 #2895" </w:instrText>
      </w:r>
      <w:r>
        <w:fldChar w:fldCharType="separate"/>
      </w:r>
      <w:r>
        <w:rPr>
          <w:rStyle w:val="20"/>
          <w:color w:val="000000" w:themeColor="text1"/>
          <w:u w:val="none"/>
          <w:vertAlign w:val="superscript"/>
          <w:lang w:val="en-US"/>
          <w14:textFill>
            <w14:solidFill>
              <w14:schemeClr w14:val="tx1"/>
            </w14:solidFill>
          </w14:textFill>
        </w:rPr>
        <w:t>34</w:t>
      </w:r>
      <w:r>
        <w:rPr>
          <w:rStyle w:val="20"/>
          <w:color w:val="000000" w:themeColor="text1"/>
          <w:u w:val="none"/>
          <w:vertAlign w:val="superscript"/>
          <w:lang w:val="en-US"/>
          <w14:textFill>
            <w14:solidFill>
              <w14:schemeClr w14:val="tx1"/>
            </w14:solidFill>
          </w14:textFill>
        </w:rPr>
        <w:fldChar w:fldCharType="end"/>
      </w:r>
      <w:r>
        <w:rPr>
          <w:color w:val="000000" w:themeColor="text1"/>
          <w14:textFill>
            <w14:solidFill>
              <w14:schemeClr w14:val="tx1"/>
            </w14:solidFill>
          </w14:textFill>
        </w:rPr>
        <w:fldChar w:fldCharType="end"/>
      </w:r>
      <w:r>
        <w:rPr>
          <w:color w:val="000000" w:themeColor="text1"/>
          <w:lang w:val="en-US"/>
          <w14:textFill>
            <w14:solidFill>
              <w14:schemeClr w14:val="tx1"/>
            </w14:solidFill>
          </w14:textFill>
        </w:rPr>
        <w:t xml:space="preserve"> while naringin, naringenin, and isoliquiritigenin occupied key positions in the metabolic pathway. Overall, these results suggest that flavonoids play a role in plant drought tolerance.</w:t>
      </w:r>
      <w:r>
        <w:rPr>
          <w:color w:val="000000" w:themeColor="text1"/>
          <w:lang w:val="en-US"/>
          <w14:textFill>
            <w14:solidFill>
              <w14:schemeClr w14:val="tx1"/>
            </w14:solidFill>
          </w14:textFill>
        </w:rPr>
        <w:fldChar w:fldCharType="begin">
          <w:fldData xml:space="preserve">PEVuZE5vdGU+PENpdGU+PEF1dGhvcj5QaGFka2U8L0F1dGhvcj48WWVhcj4yMDE0PC9ZZWFyPjxS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</w:fldData>
        </w:fldChar>
      </w:r>
      <w:r>
        <w:rPr>
          <w:color w:val="000000" w:themeColor="text1"/>
          <w:lang w:val="en-US"/>
          <w14:textFill>
            <w14:solidFill>
              <w14:schemeClr w14:val="tx1"/>
            </w14:solidFill>
          </w14:textFill>
        </w:rPr>
        <w:instrText xml:space="preserve"> ADDIN EN.CITE </w:instrText>
      </w:r>
      <w:r>
        <w:rPr>
          <w:color w:val="000000" w:themeColor="text1"/>
          <w:lang w:val="en-US"/>
          <w14:textFill>
            <w14:solidFill>
              <w14:schemeClr w14:val="tx1"/>
            </w14:solidFill>
          </w14:textFill>
        </w:rPr>
        <w:fldChar w:fldCharType="begin">
          <w:fldData xml:space="preserve">PEVuZE5vdGU+PENpdGU+PEF1dGhvcj5QaGFka2U8L0F1dGhvcj48WWVhcj4yMDE0PC9ZZWFyPjxS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</w:fldData>
        </w:fldChar>
      </w:r>
      <w:r>
        <w:rPr>
          <w:color w:val="000000" w:themeColor="text1"/>
          <w:lang w:val="en-US"/>
          <w14:textFill>
            <w14:solidFill>
              <w14:schemeClr w14:val="tx1"/>
            </w14:solidFill>
          </w14:textFill>
        </w:rPr>
        <w:instrText xml:space="preserve"> ADDIN EN.CITE.DATA </w:instrText>
      </w:r>
      <w:r>
        <w:rPr>
          <w:color w:val="000000" w:themeColor="text1"/>
          <w14:textFill>
            <w14:solidFill>
              <w14:schemeClr w14:val="tx1"/>
            </w14:solidFill>
          </w14:textFill>
        </w:rPr>
        <w:fldChar w:fldCharType="end"/>
      </w:r>
      <w:r>
        <w:rPr>
          <w:color w:val="000000" w:themeColor="text1"/>
          <w:lang w:val="en-US"/>
          <w14:textFill>
            <w14:solidFill>
              <w14:schemeClr w14:val="tx1"/>
            </w14:solidFill>
          </w14:textFill>
        </w:rPr>
        <w:fldChar w:fldCharType="separate"/>
      </w:r>
      <w:r>
        <w:fldChar w:fldCharType="begin"/>
      </w:r>
      <w:r>
        <w:instrText xml:space="preserve"> HYPERLINK \l "_ENREF_5" \o "Phadke, 2014 #2868" </w:instrText>
      </w:r>
      <w:r>
        <w:fldChar w:fldCharType="separate"/>
      </w:r>
      <w:r>
        <w:rPr>
          <w:rStyle w:val="20"/>
          <w:color w:val="000000" w:themeColor="text1"/>
          <w:u w:val="none"/>
          <w:vertAlign w:val="superscript"/>
          <w:lang w:val="en-US"/>
          <w14:textFill>
            <w14:solidFill>
              <w14:schemeClr w14:val="tx1"/>
            </w14:solidFill>
          </w14:textFill>
        </w:rPr>
        <w:t>5</w:t>
      </w:r>
      <w:r>
        <w:rPr>
          <w:rStyle w:val="20"/>
          <w:color w:val="000000" w:themeColor="text1"/>
          <w:u w:val="none"/>
          <w:vertAlign w:val="superscript"/>
          <w:lang w:val="en-US"/>
          <w14:textFill>
            <w14:solidFill>
              <w14:schemeClr w14:val="tx1"/>
            </w14:solidFill>
          </w14:textFill>
        </w:rPr>
        <w:fldChar w:fldCharType="end"/>
      </w:r>
      <w:r>
        <w:rPr>
          <w:color w:val="000000" w:themeColor="text1"/>
          <w:vertAlign w:val="superscript"/>
          <w:lang w:val="en-US"/>
          <w14:textFill>
            <w14:solidFill>
              <w14:schemeClr w14:val="tx1"/>
            </w14:solidFill>
          </w14:textFill>
        </w:rPr>
        <w:t>,</w:t>
      </w:r>
      <w:r>
        <w:fldChar w:fldCharType="begin"/>
      </w:r>
      <w:r>
        <w:instrText xml:space="preserve"> HYPERLINK \l "_ENREF_7" \o "Yuan, 2012 #2869" </w:instrText>
      </w:r>
      <w:r>
        <w:fldChar w:fldCharType="separate"/>
      </w:r>
      <w:r>
        <w:rPr>
          <w:rStyle w:val="20"/>
          <w:color w:val="000000" w:themeColor="text1"/>
          <w:u w:val="none"/>
          <w:vertAlign w:val="superscript"/>
          <w:lang w:val="en-US"/>
          <w14:textFill>
            <w14:solidFill>
              <w14:schemeClr w14:val="tx1"/>
            </w14:solidFill>
          </w14:textFill>
        </w:rPr>
        <w:t>7</w:t>
      </w:r>
      <w:r>
        <w:rPr>
          <w:rStyle w:val="20"/>
          <w:color w:val="000000" w:themeColor="text1"/>
          <w:u w:val="none"/>
          <w:vertAlign w:val="superscript"/>
          <w:lang w:val="en-US"/>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1"/>
        <w:ind w:firstLine="194" w:firstLineChars="100"/>
        <w:rPr>
          <w:color w:val="000000" w:themeColor="text1"/>
          <w:lang w:val="en-US"/>
          <w14:textFill>
            <w14:solidFill>
              <w14:schemeClr w14:val="tx1"/>
            </w14:solidFill>
          </w14:textFill>
        </w:rPr>
      </w:pPr>
      <w:r>
        <w:rPr>
          <w:color w:val="000000" w:themeColor="text1"/>
          <w:lang w:val="en-US"/>
          <w14:textFill>
            <w14:solidFill>
              <w14:schemeClr w14:val="tx1"/>
            </w14:solidFill>
          </w14:textFill>
        </w:rPr>
        <w:t>Exposure to drought conditions can result in the increased production of ROS, oxidative stress, and cell membrane damage in plants.</w:t>
      </w:r>
      <w:r>
        <w:fldChar w:fldCharType="begin"/>
      </w:r>
      <w:r>
        <w:instrText xml:space="preserve"> HYPERLINK \l "_ENREF_35" \o "Mittler, 2004 #2896"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&lt;EndNote&gt;&lt;Cite&gt;&lt;Author&gt;Mittler&lt;/Author&gt;&lt;Year&gt;2004&lt;/Year&gt;&lt;RecNum&gt;2896&lt;/RecNum&gt;&lt;DisplayText&gt;&lt;style face="superscript"&gt;35&lt;/style&gt;&lt;/DisplayText&gt;&lt;record&gt;&lt;rec-number&gt;2896&lt;/rec-number&gt;&lt;foreign-keys&gt;&lt;key app="EN" db-id="p5tvrefenpt90reepsx50xesffpw09pt9dwv" timestamp="1568642076"&gt;2896&lt;/key&gt;&lt;/foreign-keys&gt;&lt;ref-type name="Journal Article"&gt;17&lt;/ref-type&gt;&lt;contributors&gt;&lt;authors&gt;&lt;author&gt;Mittler, Ron&lt;/author&gt;&lt;author&gt;Vanderauwera, Sandy&lt;/author&gt;&lt;author&gt;Gollery, Martin&lt;/author&gt;&lt;author&gt;Van Breusegem, Frank&lt;/author&gt;&lt;/authors&gt;&lt;/contributors&gt;&lt;titles&gt;&lt;title&gt;Reactive oxygen gene network of plants&lt;/title&gt;&lt;secondary-title&gt;Trends in Plant Science&lt;/secondary-title&gt;&lt;/titles&gt;&lt;periodical&gt;&lt;full-title&gt;Trends in Plant Science&lt;/full-title&gt;&lt;abbr-1&gt;Trends Plant Sci.&lt;/abbr-1&gt;&lt;abbr-2&gt;Trends Plant Sci&lt;/abbr-2&gt;&lt;/periodical&gt;&lt;pages&gt;490–498&lt;/pages&gt;&lt;volume&gt;9&lt;/volume&gt;&lt;number&gt;10&lt;/number&gt;&lt;dates&gt;&lt;year&gt;2004&lt;/year&gt;&lt;pub-dates&gt;&lt;date&gt;2004/10&lt;/date&gt;&lt;/pub-dates&gt;&lt;/dates&gt;&lt;publisher&gt;Elsevier BV&lt;/publisher&gt;&lt;isbn&gt;1360-1385&lt;/isbn&gt;&lt;urls&gt;&lt;related-urls&gt;&lt;url&gt;https://dx.doi.org/10.1016/j.tplants.2004.08.009&lt;/url&gt;&lt;/related-urls&gt;&lt;/urls&gt;&lt;electronic-resource-num&gt;10.1016/j.tplants.2004.08.009&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35</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Flavonoids affect plant physiology in response to external stressors and play an important role in the maintenance of cellular redox balance.</w:t>
      </w:r>
      <w:r>
        <w:fldChar w:fldCharType="begin"/>
      </w:r>
      <w:r>
        <w:instrText xml:space="preserve"> HYPERLINK \l "_ENREF_36" \o "Rice-Evans, 1997 #2897"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&lt;EndNote&gt;&lt;Cite&gt;&lt;Author&gt;Rice-Evans&lt;/Author&gt;&lt;Year&gt;1997&lt;/Year&gt;&lt;RecNum&gt;2897&lt;/RecNum&gt;&lt;DisplayText&gt;&lt;style face="superscript"&gt;36&lt;/style&gt;&lt;/DisplayText&gt;&lt;record&gt;&lt;rec-number&gt;2897&lt;/rec-number&gt;&lt;foreign-keys&gt;&lt;key app="EN" db-id="p5tvrefenpt90reepsx50xesffpw09pt9dwv" timestamp="1568642076"&gt;2897&lt;/key&gt;&lt;/foreign-keys&gt;&lt;ref-type name="Journal Article"&gt;17&lt;/ref-type&gt;&lt;contributors&gt;&lt;authors&gt;&lt;author&gt;Rice-Evans, Catherine&lt;/author&gt;&lt;author&gt;Miller, Nicholas&lt;/author&gt;&lt;author&gt;Paganga, George&lt;/author&gt;&lt;/authors&gt;&lt;/contributors&gt;&lt;titles&gt;&lt;title&gt;Antioxidant properties of phenolic compounds&lt;/title&gt;&lt;secondary-title&gt;Trends in Plant Science&lt;/secondary-title&gt;&lt;/titles&gt;&lt;periodical&gt;&lt;full-title&gt;Trends in Plant Science&lt;/full-title&gt;&lt;abbr-1&gt;Trends Plant Sci.&lt;/abbr-1&gt;&lt;abbr-2&gt;Trends Plant Sci&lt;/abbr-2&gt;&lt;/periodical&gt;&lt;pages&gt;152–159&lt;/pages&gt;&lt;volume&gt;2&lt;/volume&gt;&lt;number&gt;4&lt;/number&gt;&lt;dates&gt;&lt;year&gt;1997&lt;/year&gt;&lt;pub-dates&gt;&lt;date&gt;1997/04&lt;/date&gt;&lt;/pub-dates&gt;&lt;/dates&gt;&lt;publisher&gt;Elsevier BV&lt;/publisher&gt;&lt;isbn&gt;1360-1385&lt;/isbn&gt;&lt;urls&gt;&lt;related-urls&gt;&lt;url&gt;https://dx.doi.org/10.1016/s1360-1385(97)01018-2&lt;/url&gt;&lt;/related-urls&gt;&lt;/urls&gt;&lt;electronic-resource-num&gt;10.1016/s1360-1385(97)01018-2&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36</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It has been demonstrated that flavonoids prevent the formation of ROS and improve the scavenging of ROS in drought-stressed plants.</w:t>
      </w:r>
      <w:r>
        <w:fldChar w:fldCharType="begin"/>
      </w:r>
      <w:r>
        <w:instrText xml:space="preserve"> HYPERLINK \l "_ENREF_37" \o "Melidou, 2005 #2898" </w:instrText>
      </w:r>
      <w:r>
        <w:fldChar w:fldCharType="separate"/>
      </w:r>
      <w:r>
        <w:rPr>
          <w:rStyle w:val="20"/>
          <w:color w:val="000000" w:themeColor="text1"/>
          <w:u w:val="none"/>
          <w:lang w:val="en-US"/>
          <w14:textFill>
            <w14:solidFill>
              <w14:schemeClr w14:val="tx1"/>
            </w14:solidFill>
          </w14:textFill>
        </w:rPr>
        <w:fldChar w:fldCharType="begin">
          <w:fldData xml:space="preserve">PEVuZE5vdGU+PENpdGU+PEF1dGhvcj5NZWxpZG91PC9BdXRob3I+PFllYXI+MjAwNTwvWWVhcj48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==
</w:fldData>
        </w:fldChar>
      </w:r>
      <w:r>
        <w:rPr>
          <w:rStyle w:val="20"/>
          <w:color w:val="000000" w:themeColor="text1"/>
          <w:u w:val="none"/>
          <w:lang w:val="en-US"/>
          <w14:textFill>
            <w14:solidFill>
              <w14:schemeClr w14:val="tx1"/>
            </w14:solidFill>
          </w14:textFill>
        </w:rPr>
        <w:instrText xml:space="preserve"> ADDIN EN.CITE </w:instrText>
      </w:r>
      <w:r>
        <w:rPr>
          <w:rStyle w:val="20"/>
          <w:color w:val="000000" w:themeColor="text1"/>
          <w:u w:val="none"/>
          <w:lang w:val="en-US"/>
          <w14:textFill>
            <w14:solidFill>
              <w14:schemeClr w14:val="tx1"/>
            </w14:solidFill>
          </w14:textFill>
        </w:rPr>
        <w:fldChar w:fldCharType="begin">
          <w:fldData xml:space="preserve">PEVuZE5vdGU+PENpdGU+PEF1dGhvcj5NZWxpZG91PC9BdXRob3I+PFllYXI+MjAwNTwvWWVhcj48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==
</w:fldData>
        </w:fldChar>
      </w:r>
      <w:r>
        <w:rPr>
          <w:rStyle w:val="20"/>
          <w:color w:val="000000" w:themeColor="text1"/>
          <w:u w:val="none"/>
          <w:lang w:val="en-US"/>
          <w14:textFill>
            <w14:solidFill>
              <w14:schemeClr w14:val="tx1"/>
            </w14:solidFill>
          </w14:textFill>
        </w:rPr>
        <w:instrText xml:space="preserve"> ADDIN EN.CITE.DATA </w:instrText>
      </w:r>
      <w:r>
        <w:rPr>
          <w:rStyle w:val="20"/>
          <w:color w:val="000000" w:themeColor="text1"/>
          <w:u w:val="none"/>
          <w14:textFill>
            <w14:solidFill>
              <w14:schemeClr w14:val="tx1"/>
            </w14:solidFill>
          </w14:textFill>
        </w:rPr>
        <w:fldChar w:fldCharType="end"/>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37-39</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Before exposure to drought conditions, the concentrations of MDA and H</w:t>
      </w:r>
      <w:r>
        <w:rPr>
          <w:color w:val="000000" w:themeColor="text1"/>
          <w:vertAlign w:val="subscript"/>
          <w:lang w:val="en-US"/>
          <w14:textFill>
            <w14:solidFill>
              <w14:schemeClr w14:val="tx1"/>
            </w14:solidFill>
          </w14:textFill>
        </w:rPr>
        <w:t>2</w:t>
      </w:r>
      <w:r>
        <w:rPr>
          <w:color w:val="000000" w:themeColor="text1"/>
          <w:lang w:val="en-US"/>
          <w14:textFill>
            <w14:solidFill>
              <w14:schemeClr w14:val="tx1"/>
            </w14:solidFill>
          </w14:textFill>
        </w:rPr>
        <w:t>O</w:t>
      </w:r>
      <w:r>
        <w:rPr>
          <w:color w:val="000000" w:themeColor="text1"/>
          <w:vertAlign w:val="subscript"/>
          <w:lang w:val="en-US"/>
          <w14:textFill>
            <w14:solidFill>
              <w14:schemeClr w14:val="tx1"/>
            </w14:solidFill>
          </w14:textFill>
        </w:rPr>
        <w:t>2</w:t>
      </w:r>
      <w:r>
        <w:rPr>
          <w:color w:val="000000" w:themeColor="text1"/>
          <w:lang w:val="en-US"/>
          <w14:textFill>
            <w14:solidFill>
              <w14:schemeClr w14:val="tx1"/>
            </w14:solidFill>
          </w14:textFill>
        </w:rPr>
        <w:t xml:space="preserve"> in transgenic plants were similar to control plants. However, transgenic tobacco plants possessed lower concentrations of ROS and MDA than control plants when exposed to drought stress conditions</w:t>
      </w:r>
      <w:r>
        <w:rPr>
          <w:color w:val="000000" w:themeColor="text1"/>
          <w:vertAlign w:val="subscript"/>
          <w:lang w:val="en-US"/>
          <w14:textFill>
            <w14:solidFill>
              <w14:schemeClr w14:val="tx1"/>
            </w14:solidFill>
          </w14:textFill>
        </w:rPr>
        <w:t xml:space="preserve">. </w:t>
      </w:r>
      <w:r>
        <w:rPr>
          <w:color w:val="000000" w:themeColor="text1"/>
          <w:lang w:val="en-US"/>
          <w14:textFill>
            <w14:solidFill>
              <w14:schemeClr w14:val="tx1"/>
            </w14:solidFill>
          </w14:textFill>
        </w:rPr>
        <w:t>MDA is a lipid peroxidation product that is produced due to drought stress in plants.</w:t>
      </w:r>
      <w:r>
        <w:fldChar w:fldCharType="begin"/>
      </w:r>
      <w:r>
        <w:instrText xml:space="preserve"> HYPERLINK \l "_ENREF_40" \o "Dhindsa, 1981 #2901" </w:instrText>
      </w:r>
      <w:r>
        <w:fldChar w:fldCharType="separate"/>
      </w:r>
      <w:r>
        <w:rPr>
          <w:rStyle w:val="20"/>
          <w:color w:val="000000" w:themeColor="text1"/>
          <w:u w:val="none"/>
          <w:lang w:val="en-US"/>
          <w14:textFill>
            <w14:solidFill>
              <w14:schemeClr w14:val="tx1"/>
            </w14:solidFill>
          </w14:textFill>
        </w:rPr>
        <w:fldChar w:fldCharType="begin"/>
      </w:r>
      <w:r>
        <w:rPr>
          <w:rStyle w:val="20"/>
          <w:color w:val="000000" w:themeColor="text1"/>
          <w:u w:val="none"/>
          <w:lang w:val="en-US"/>
          <w14:textFill>
            <w14:solidFill>
              <w14:schemeClr w14:val="tx1"/>
            </w14:solidFill>
          </w14:textFill>
        </w:rPr>
        <w:instrText xml:space="preserve"> ADDIN EN.CITE &lt;EndNote&gt;&lt;Cite&gt;&lt;Author&gt;Dhindsa&lt;/Author&gt;&lt;Year&gt;1981&lt;/Year&gt;&lt;RecNum&gt;2901&lt;/RecNum&gt;&lt;DisplayText&gt;&lt;style face="superscript"&gt;40&lt;/style&gt;&lt;/DisplayText&gt;&lt;record&gt;&lt;rec-number&gt;2901&lt;/rec-number&gt;&lt;foreign-keys&gt;&lt;key app="EN" db-id="p5tvrefenpt90reepsx50xesffpw09pt9dwv" timestamp="1568642076"&gt;2901&lt;/key&gt;&lt;/foreign-keys&gt;&lt;ref-type name="Journal Article"&gt;17&lt;/ref-type&gt;&lt;contributors&gt;&lt;authors&gt;&lt;author&gt;Dhindsa, Rajinder S.&lt;/author&gt;&lt;author&gt;Matowe, Wandekayi&lt;/author&gt;&lt;/authors&gt;&lt;/contributors&gt;&lt;titles&gt;&lt;title&gt;Drought tolerance in two mosses: correlated with enzymatic defence against lipid peroxidation&lt;/title&gt;&lt;secondary-title&gt;Journal of Experimental Botany&lt;/secondary-title&gt;&lt;/titles&gt;&lt;periodical&gt;&lt;full-title&gt;Journal of Experimental Botany&lt;/full-title&gt;&lt;abbr-1&gt;J. Exp. Bot.&lt;/abbr-1&gt;&lt;abbr-2&gt;J Exp Bot&lt;/abbr-2&gt;&lt;/periodical&gt;&lt;pages&gt;79–91&lt;/pages&gt;&lt;volume&gt;32&lt;/volume&gt;&lt;number&gt;1&lt;/number&gt;&lt;dates&gt;&lt;year&gt;1981&lt;/year&gt;&lt;/dates&gt;&lt;publisher&gt;Oxford University Press (OUP)&lt;/publisher&gt;&lt;isbn&gt;0022-0957&amp;#xD;1460-2431&lt;/isbn&gt;&lt;urls&gt;&lt;related-urls&gt;&lt;url&gt;https://dx.doi.org/10.1093/jxb/32.1.79&lt;/url&gt;&lt;/related-urls&gt;&lt;/urls&gt;&lt;electronic-resource-num&gt;10.1093/jxb/32.1.79&lt;/electronic-resource-num&gt;&lt;/record&gt;&lt;/Cite&gt;&lt;/EndNote&gt;</w:instrText>
      </w:r>
      <w:r>
        <w:rPr>
          <w:rStyle w:val="20"/>
          <w:color w:val="000000" w:themeColor="text1"/>
          <w:u w:val="none"/>
          <w:lang w:val="en-US"/>
          <w14:textFill>
            <w14:solidFill>
              <w14:schemeClr w14:val="tx1"/>
            </w14:solidFill>
          </w14:textFill>
        </w:rPr>
        <w:fldChar w:fldCharType="separate"/>
      </w:r>
      <w:r>
        <w:rPr>
          <w:rStyle w:val="20"/>
          <w:color w:val="000000" w:themeColor="text1"/>
          <w:u w:val="none"/>
          <w:vertAlign w:val="superscript"/>
          <w:lang w:val="en-US"/>
          <w14:textFill>
            <w14:solidFill>
              <w14:schemeClr w14:val="tx1"/>
            </w14:solidFill>
          </w14:textFill>
        </w:rPr>
        <w:t>40</w:t>
      </w:r>
      <w:r>
        <w:rPr>
          <w:rStyle w:val="20"/>
          <w:color w:val="000000" w:themeColor="text1"/>
          <w:u w:val="none"/>
          <w14:textFill>
            <w14:solidFill>
              <w14:schemeClr w14:val="tx1"/>
            </w14:solidFill>
          </w14:textFill>
        </w:rPr>
        <w:fldChar w:fldCharType="end"/>
      </w:r>
      <w:r>
        <w:rPr>
          <w:rStyle w:val="20"/>
          <w:color w:val="000000" w:themeColor="text1"/>
          <w:u w:val="none"/>
          <w14:textFill>
            <w14:solidFill>
              <w14:schemeClr w14:val="tx1"/>
            </w14:solidFill>
          </w14:textFill>
        </w:rPr>
        <w:fldChar w:fldCharType="end"/>
      </w:r>
      <w:r>
        <w:rPr>
          <w:color w:val="000000" w:themeColor="text1"/>
          <w:lang w:val="en-US"/>
          <w14:textFill>
            <w14:solidFill>
              <w14:schemeClr w14:val="tx1"/>
            </w14:solidFill>
          </w14:textFill>
        </w:rPr>
        <w:t xml:space="preserve"> Therefore, the results of this study suggest that the measured flavonoids (i.e., rutin, quercetin, kaempferol-3-rutinoside, kaempferol-glucopyranoside, naringin, naringenin, and isoliquiritigenin) play a role in maintaining the redox balance of transgenic tobacco in response to drought stress, as indicated by the lower concentrations of MDA.</w:t>
      </w:r>
    </w:p>
    <w:p>
      <w:pPr>
        <w:pStyle w:val="31"/>
        <w:ind w:firstLine="194" w:firstLineChars="100"/>
        <w:rPr>
          <w:color w:val="000000" w:themeColor="text1"/>
          <w:lang w:val="en-US"/>
          <w14:textFill>
            <w14:solidFill>
              <w14:schemeClr w14:val="tx1"/>
            </w14:solidFill>
          </w14:textFill>
        </w:rPr>
      </w:pPr>
      <w:r>
        <w:rPr>
          <w:color w:val="000000" w:themeColor="text1"/>
          <w:lang w:val="en-US"/>
          <w14:textFill>
            <w14:solidFill>
              <w14:schemeClr w14:val="tx1"/>
            </w14:solidFill>
          </w14:textFill>
        </w:rPr>
        <w:t xml:space="preserve">By using the 14 d drought tolerance treatment, it was demonstrated that the overexpression of the </w:t>
      </w: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 xml:space="preserve"> gene in tobacco resulted in improved plant drought tolerance. Additionally, the transcripts of key flavonoid pathway genes and contents of seven flavonoids significantly increased in transgenic plants. Furthermore, concentrations of ROS were lower in transgenic tobacco plants than control plants, suggesting a role for flavonoids in maintaining cellular redox balance. The results of this study suggest that </w:t>
      </w:r>
      <w:r>
        <w:rPr>
          <w:i/>
          <w:color w:val="000000" w:themeColor="text1"/>
          <w:lang w:val="en-US"/>
          <w14:textFill>
            <w14:solidFill>
              <w14:schemeClr w14:val="tx1"/>
            </w14:solidFill>
          </w14:textFill>
        </w:rPr>
        <w:t>NtCHS</w:t>
      </w:r>
      <w:r>
        <w:rPr>
          <w:color w:val="000000" w:themeColor="text1"/>
          <w:lang w:val="en-US"/>
          <w14:textFill>
            <w14:solidFill>
              <w14:schemeClr w14:val="tx1"/>
            </w14:solidFill>
          </w14:textFill>
        </w:rPr>
        <w:t xml:space="preserve"> is a potential candidate gene that could be targeted in the genetic engineering of tobacco plants in order to enhance drought stress tolerance.</w:t>
      </w:r>
    </w:p>
    <w:p>
      <w:pPr>
        <w:pStyle w:val="31"/>
        <w:ind w:firstLine="194" w:firstLineChars="100"/>
        <w:rPr>
          <w:lang w:val="en-US"/>
        </w:rPr>
      </w:pPr>
      <w:r>
        <w:rPr>
          <w:color w:val="000000" w:themeColor="text1"/>
          <w:lang w:val="en-US"/>
          <w14:textFill>
            <w14:solidFill>
              <w14:schemeClr w14:val="tx1"/>
            </w14:solidFill>
          </w14:textFill>
        </w:rPr>
        <w:t xml:space="preserve">In addition to the cloned tobacco </w:t>
      </w:r>
      <w:r>
        <w:rPr>
          <w:i/>
          <w:color w:val="000000" w:themeColor="text1"/>
          <w:lang w:val="en-US"/>
          <w14:textFill>
            <w14:solidFill>
              <w14:schemeClr w14:val="tx1"/>
            </w14:solidFill>
          </w14:textFill>
        </w:rPr>
        <w:t>CHS</w:t>
      </w:r>
      <w:r>
        <w:rPr>
          <w:color w:val="000000" w:themeColor="text1"/>
          <w:lang w:val="en-US"/>
          <w14:textFill>
            <w14:solidFill>
              <w14:schemeClr w14:val="tx1"/>
            </w14:solidFill>
          </w14:textFill>
        </w:rPr>
        <w:t xml:space="preserve"> gene, </w:t>
      </w:r>
      <w:r>
        <w:rPr>
          <w:i/>
          <w:color w:val="000000" w:themeColor="text1"/>
          <w:lang w:val="en-US"/>
          <w14:textFill>
            <w14:solidFill>
              <w14:schemeClr w14:val="tx1"/>
            </w14:solidFill>
          </w14:textFill>
        </w:rPr>
        <w:t>CHS</w:t>
      </w:r>
      <w:r>
        <w:rPr>
          <w:color w:val="000000" w:themeColor="text1"/>
          <w:lang w:val="en-US"/>
          <w14:textFill>
            <w14:solidFill>
              <w14:schemeClr w14:val="tx1"/>
            </w14:solidFill>
          </w14:textFill>
        </w:rPr>
        <w:t xml:space="preserve"> genes were systematically mined from the tobacco genome, leading to the identification of 11 </w:t>
      </w:r>
      <w:r>
        <w:rPr>
          <w:i/>
          <w:color w:val="000000" w:themeColor="text1"/>
          <w:lang w:val="en-US"/>
          <w14:textFill>
            <w14:solidFill>
              <w14:schemeClr w14:val="tx1"/>
            </w14:solidFill>
          </w14:textFill>
        </w:rPr>
        <w:t>CHS</w:t>
      </w:r>
      <w:r>
        <w:rPr>
          <w:color w:val="000000" w:themeColor="text1"/>
          <w:lang w:val="en-US"/>
          <w14:textFill>
            <w14:solidFill>
              <w14:schemeClr w14:val="tx1"/>
            </w14:solidFill>
          </w14:textFill>
        </w:rPr>
        <w:t xml:space="preserve"> family genes. Phylogenetic analyses indicated that there are 8 </w:t>
      </w:r>
      <w:r>
        <w:rPr>
          <w:i/>
          <w:color w:val="000000" w:themeColor="text1"/>
          <w:lang w:val="en-US"/>
          <w14:textFill>
            <w14:solidFill>
              <w14:schemeClr w14:val="tx1"/>
            </w14:solidFill>
          </w14:textFill>
        </w:rPr>
        <w:t>CHS</w:t>
      </w:r>
      <w:r>
        <w:rPr>
          <w:color w:val="000000" w:themeColor="text1"/>
          <w:lang w:val="en-US"/>
          <w14:textFill>
            <w14:solidFill>
              <w14:schemeClr w14:val="tx1"/>
            </w14:solidFill>
          </w14:textFill>
        </w:rPr>
        <w:t xml:space="preserve"> genes in the tobacco genome, which were derived from two rounds of duplications in </w:t>
      </w:r>
      <w:r>
        <w:rPr>
          <w:i/>
          <w:color w:val="000000" w:themeColor="text1"/>
          <w:lang w:val="en-US"/>
          <w14:textFill>
            <w14:solidFill>
              <w14:schemeClr w14:val="tx1"/>
            </w14:solidFill>
          </w14:textFill>
        </w:rPr>
        <w:t>Solanaceae</w:t>
      </w:r>
      <w:r>
        <w:rPr>
          <w:color w:val="000000" w:themeColor="text1"/>
          <w:lang w:val="en-US"/>
          <w14:textFill>
            <w14:solidFill>
              <w14:schemeClr w14:val="tx1"/>
            </w14:solidFill>
          </w14:textFill>
        </w:rPr>
        <w:t xml:space="preserve">. The genes exhibited a conservation of sequence characteristics, indicating that these genes are conserved in biological and enzymatic roles. Therefore, these genes may serve as targets in future studies on </w:t>
      </w:r>
      <w:r>
        <w:rPr>
          <w:i/>
          <w:color w:val="000000" w:themeColor="text1"/>
          <w:lang w:val="en-US"/>
          <w14:textFill>
            <w14:solidFill>
              <w14:schemeClr w14:val="tx1"/>
            </w14:solidFill>
          </w14:textFill>
        </w:rPr>
        <w:t>CHSs</w:t>
      </w:r>
      <w:r>
        <w:rPr>
          <w:color w:val="000000" w:themeColor="text1"/>
          <w:lang w:val="en-US"/>
          <w14:textFill>
            <w14:solidFill>
              <w14:schemeClr w14:val="tx1"/>
            </w14:solidFill>
          </w14:textFill>
        </w:rPr>
        <w:t xml:space="preserve"> in</w:t>
      </w:r>
      <w:r>
        <w:rPr>
          <w:lang w:val="en-US"/>
        </w:rPr>
        <w:t xml:space="preserve"> tobacco and their relationship to flavonoid biosynthesis and drought tolerance.</w:t>
      </w:r>
    </w:p>
    <w:p>
      <w:pPr>
        <w:pStyle w:val="30"/>
      </w:pPr>
      <w:r>
        <w:t>Conflicts of interest</w:t>
      </w:r>
    </w:p>
    <w:p>
      <w:pPr>
        <w:rPr>
          <w:rFonts w:cs="Times New Roman"/>
          <w:w w:val="108"/>
          <w:sz w:val="18"/>
          <w:szCs w:val="18"/>
          <w:lang w:eastAsia="zh-CN"/>
        </w:rPr>
      </w:pPr>
      <w:r>
        <w:rPr>
          <w:rFonts w:cs="Times New Roman"/>
          <w:w w:val="108"/>
          <w:sz w:val="18"/>
          <w:szCs w:val="18"/>
        </w:rPr>
        <w:t>There are no conflicts to declare.</w:t>
      </w:r>
    </w:p>
    <w:p>
      <w:pPr>
        <w:pStyle w:val="30"/>
      </w:pPr>
      <w:r>
        <w:t>Acknowledgements</w:t>
      </w:r>
    </w:p>
    <w:p>
      <w:pPr>
        <w:pStyle w:val="31"/>
        <w:jc w:val="left"/>
      </w:pPr>
      <w:r>
        <w:t xml:space="preserve">This work was supported by the Project of the Tobacco Genomic Program (No. </w:t>
      </w:r>
      <w:r>
        <w:rPr>
          <w:rFonts w:hint="eastAsia"/>
        </w:rPr>
        <w:t>110201801031</w:t>
      </w:r>
      <w:r>
        <w:rPr>
          <w:rFonts w:hint="eastAsia"/>
          <w:lang w:val="en-US" w:eastAsia="zh-CN"/>
        </w:rPr>
        <w:t xml:space="preserve">, </w:t>
      </w:r>
      <w:r>
        <w:rPr>
          <w:rFonts w:hint="eastAsia"/>
        </w:rPr>
        <w:t>JY-08</w:t>
      </w:r>
      <w:r>
        <w:rPr>
          <w:rFonts w:hint="eastAsia"/>
          <w:lang w:val="en-US" w:eastAsia="zh-CN"/>
        </w:rPr>
        <w:t xml:space="preserve">; </w:t>
      </w:r>
      <w:r>
        <w:t>110201601031, JY-05</w:t>
      </w:r>
      <w:r>
        <w:rPr>
          <w:rFonts w:hint="eastAsia"/>
          <w:lang w:val="en-US" w:eastAsia="zh-CN"/>
        </w:rPr>
        <w:t>; 110201401012 JY-12</w:t>
      </w:r>
      <w:r>
        <w:t>).</w:t>
      </w:r>
    </w:p>
    <w:p>
      <w:pPr>
        <w:pStyle w:val="30"/>
        <w:rPr>
          <w:sz w:val="18"/>
          <w:szCs w:val="18"/>
          <w:lang w:eastAsia="zh-CN"/>
        </w:rPr>
      </w:pPr>
      <w:r>
        <w:rPr>
          <w:rFonts w:hint="eastAsia"/>
          <w:lang w:eastAsia="zh-CN"/>
        </w:rPr>
        <w:t>Notes and r</w:t>
      </w:r>
      <w:r>
        <w:t>eferences</w:t>
      </w:r>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r>
        <w:rPr>
          <w:rFonts w:ascii="Calibri" w:hAnsi="Calibri" w:eastAsia="宋体" w:cs="Calibri"/>
          <w:sz w:val="18"/>
          <w:szCs w:val="24"/>
          <w:lang w:val="en-US" w:eastAsia="zh-CN"/>
        </w:rPr>
        <w:fldChar w:fldCharType="begin"/>
      </w:r>
      <w:r>
        <w:rPr>
          <w:rFonts w:ascii="Calibri" w:hAnsi="Calibri" w:eastAsia="宋体" w:cs="Calibri"/>
          <w:sz w:val="18"/>
          <w:szCs w:val="24"/>
          <w:lang w:val="en-US" w:eastAsia="zh-CN"/>
        </w:rPr>
        <w:instrText xml:space="preserve"> ADDIN EN.REFLIST </w:instrText>
      </w:r>
      <w:r>
        <w:rPr>
          <w:rFonts w:ascii="Calibri" w:hAnsi="Calibri" w:eastAsia="宋体" w:cs="Calibri"/>
          <w:sz w:val="18"/>
          <w:szCs w:val="24"/>
          <w:lang w:val="en-US" w:eastAsia="zh-CN"/>
        </w:rPr>
        <w:fldChar w:fldCharType="separate"/>
      </w:r>
      <w:bookmarkStart w:id="70" w:name="_ENREF_1"/>
      <w:r>
        <w:rPr>
          <w:rFonts w:ascii="Calibri" w:hAnsi="Calibri" w:eastAsia="Times New Roman" w:cs="Calibri"/>
          <w:sz w:val="18"/>
          <w:lang w:val="en-US" w:eastAsia="zh-CN"/>
        </w:rPr>
        <w:t>1</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E. Domínguez, L. España, G. López-Casado, J. Cuartero and A. Heredia, </w:t>
      </w:r>
      <w:r>
        <w:rPr>
          <w:rFonts w:ascii="Calibri" w:hAnsi="Calibri" w:eastAsia="Times New Roman" w:cs="Calibri"/>
          <w:i/>
          <w:sz w:val="18"/>
          <w:lang w:val="en-US" w:eastAsia="zh-CN"/>
        </w:rPr>
        <w:t>Funct. Plant Biol.</w:t>
      </w:r>
      <w:r>
        <w:rPr>
          <w:rFonts w:ascii="Calibri" w:hAnsi="Calibri" w:eastAsia="Times New Roman" w:cs="Calibri"/>
          <w:sz w:val="18"/>
          <w:lang w:val="en-US" w:eastAsia="zh-CN"/>
        </w:rPr>
        <w:t xml:space="preserve">, 2009, </w:t>
      </w:r>
      <w:r>
        <w:rPr>
          <w:rFonts w:ascii="Calibri" w:hAnsi="Calibri" w:eastAsia="Times New Roman" w:cs="Calibri"/>
          <w:b/>
          <w:sz w:val="18"/>
          <w:lang w:val="en-US" w:eastAsia="zh-CN"/>
        </w:rPr>
        <w:t>36</w:t>
      </w:r>
      <w:r>
        <w:rPr>
          <w:rFonts w:ascii="Calibri" w:hAnsi="Calibri" w:eastAsia="Times New Roman" w:cs="Calibri"/>
          <w:sz w:val="18"/>
          <w:lang w:val="en-US" w:eastAsia="zh-CN"/>
        </w:rPr>
        <w:t>, 613–620.</w:t>
      </w:r>
      <w:bookmarkEnd w:id="70"/>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71" w:name="_ENREF_2"/>
      <w:r>
        <w:rPr>
          <w:rFonts w:ascii="Calibri" w:hAnsi="Calibri" w:eastAsia="Times New Roman" w:cs="Calibri"/>
          <w:sz w:val="18"/>
          <w:lang w:val="en-US" w:eastAsia="zh-CN"/>
        </w:rPr>
        <w:t>2</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H. A. Stafford, </w:t>
      </w:r>
      <w:r>
        <w:rPr>
          <w:rFonts w:ascii="Calibri" w:hAnsi="Calibri" w:eastAsia="Times New Roman" w:cs="Calibri"/>
          <w:i/>
          <w:sz w:val="18"/>
          <w:lang w:val="en-US" w:eastAsia="zh-CN"/>
        </w:rPr>
        <w:t>Plant Physiol.</w:t>
      </w:r>
      <w:r>
        <w:rPr>
          <w:rFonts w:ascii="Calibri" w:hAnsi="Calibri" w:eastAsia="Times New Roman" w:cs="Calibri"/>
          <w:sz w:val="18"/>
          <w:lang w:val="en-US" w:eastAsia="zh-CN"/>
        </w:rPr>
        <w:t xml:space="preserve">, 1991, </w:t>
      </w:r>
      <w:r>
        <w:rPr>
          <w:rFonts w:ascii="Calibri" w:hAnsi="Calibri" w:eastAsia="Times New Roman" w:cs="Calibri"/>
          <w:b/>
          <w:sz w:val="18"/>
          <w:lang w:val="en-US" w:eastAsia="zh-CN"/>
        </w:rPr>
        <w:t>96</w:t>
      </w:r>
      <w:r>
        <w:rPr>
          <w:rFonts w:ascii="Calibri" w:hAnsi="Calibri" w:eastAsia="Times New Roman" w:cs="Calibri"/>
          <w:sz w:val="18"/>
          <w:lang w:val="en-US" w:eastAsia="zh-CN"/>
        </w:rPr>
        <w:t>, 680–685.</w:t>
      </w:r>
      <w:bookmarkEnd w:id="71"/>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72" w:name="_ENREF_3"/>
      <w:r>
        <w:rPr>
          <w:rFonts w:ascii="Calibri" w:hAnsi="Calibri" w:eastAsia="Times New Roman" w:cs="Calibri"/>
          <w:sz w:val="18"/>
          <w:lang w:val="en-US" w:eastAsia="zh-CN"/>
        </w:rPr>
        <w:t>3</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C. H. Shih, H. Chu, L. K. Tang, W. Sakamoto, M. Maekawa, I. K. Chu, M. Wang and C. Lo, </w:t>
      </w:r>
      <w:r>
        <w:rPr>
          <w:rFonts w:ascii="Calibri" w:hAnsi="Calibri" w:eastAsia="Times New Roman" w:cs="Calibri"/>
          <w:i/>
          <w:sz w:val="18"/>
          <w:lang w:val="en-US" w:eastAsia="zh-CN"/>
        </w:rPr>
        <w:t>Planta</w:t>
      </w:r>
      <w:r>
        <w:rPr>
          <w:rFonts w:ascii="Calibri" w:hAnsi="Calibri" w:eastAsia="Times New Roman" w:cs="Calibri"/>
          <w:sz w:val="18"/>
          <w:lang w:val="en-US" w:eastAsia="zh-CN"/>
        </w:rPr>
        <w:t xml:space="preserve">, 2008, </w:t>
      </w:r>
      <w:r>
        <w:rPr>
          <w:rFonts w:ascii="Calibri" w:hAnsi="Calibri" w:eastAsia="Times New Roman" w:cs="Calibri"/>
          <w:b/>
          <w:sz w:val="18"/>
          <w:lang w:val="en-US" w:eastAsia="zh-CN"/>
        </w:rPr>
        <w:t>228</w:t>
      </w:r>
      <w:r>
        <w:rPr>
          <w:rFonts w:ascii="Calibri" w:hAnsi="Calibri" w:eastAsia="Times New Roman" w:cs="Calibri"/>
          <w:sz w:val="18"/>
          <w:lang w:val="en-US" w:eastAsia="zh-CN"/>
        </w:rPr>
        <w:t>, 1043–1054.</w:t>
      </w:r>
      <w:bookmarkEnd w:id="72"/>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73" w:name="_ENREF_4"/>
      <w:r>
        <w:rPr>
          <w:rFonts w:ascii="Calibri" w:hAnsi="Calibri" w:eastAsia="Times New Roman" w:cs="Calibri"/>
          <w:sz w:val="18"/>
          <w:lang w:val="en-US" w:eastAsia="zh-CN"/>
        </w:rPr>
        <w:t>4</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K. S. Gould, </w:t>
      </w:r>
      <w:r>
        <w:rPr>
          <w:rFonts w:ascii="Calibri" w:hAnsi="Calibri" w:eastAsia="Times New Roman" w:cs="Calibri"/>
          <w:i/>
          <w:sz w:val="18"/>
          <w:lang w:val="en-US" w:eastAsia="zh-CN"/>
        </w:rPr>
        <w:t>J. Biomed. Biotechnol.</w:t>
      </w:r>
      <w:r>
        <w:rPr>
          <w:rFonts w:ascii="Calibri" w:hAnsi="Calibri" w:eastAsia="Times New Roman" w:cs="Calibri"/>
          <w:sz w:val="18"/>
          <w:lang w:val="en-US" w:eastAsia="zh-CN"/>
        </w:rPr>
        <w:t xml:space="preserve">, 2004, </w:t>
      </w:r>
      <w:r>
        <w:rPr>
          <w:rFonts w:ascii="Calibri" w:hAnsi="Calibri" w:eastAsia="Times New Roman" w:cs="Calibri"/>
          <w:b/>
          <w:sz w:val="18"/>
          <w:lang w:val="en-US" w:eastAsia="zh-CN"/>
        </w:rPr>
        <w:t>2004</w:t>
      </w:r>
      <w:r>
        <w:rPr>
          <w:rFonts w:ascii="Calibri" w:hAnsi="Calibri" w:eastAsia="Times New Roman" w:cs="Calibri"/>
          <w:sz w:val="18"/>
          <w:lang w:val="en-US" w:eastAsia="zh-CN"/>
        </w:rPr>
        <w:t>, 314–320.</w:t>
      </w:r>
      <w:bookmarkEnd w:id="73"/>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74" w:name="_ENREF_5"/>
      <w:r>
        <w:rPr>
          <w:rFonts w:ascii="Calibri" w:hAnsi="Calibri" w:eastAsia="Times New Roman" w:cs="Calibri"/>
          <w:sz w:val="18"/>
          <w:lang w:val="en-US" w:eastAsia="zh-CN"/>
        </w:rPr>
        <w:t>5</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R. V. Phadke, A. Bhattacharyya, A. Handique, K. Jain, A. Kumar, V. Singh, D. Baruah, T. Kumar, S. Patwari and B. M. Mohan, </w:t>
      </w:r>
      <w:r>
        <w:rPr>
          <w:rFonts w:ascii="Calibri" w:hAnsi="Calibri" w:eastAsia="Times New Roman" w:cs="Calibri"/>
          <w:i/>
          <w:sz w:val="18"/>
          <w:lang w:val="en-US" w:eastAsia="zh-CN"/>
        </w:rPr>
        <w:t>Interv. Neuroradiol.</w:t>
      </w:r>
      <w:r>
        <w:rPr>
          <w:rFonts w:ascii="Calibri" w:hAnsi="Calibri" w:eastAsia="Times New Roman" w:cs="Calibri"/>
          <w:sz w:val="18"/>
          <w:lang w:val="en-US" w:eastAsia="zh-CN"/>
        </w:rPr>
        <w:t xml:space="preserve">, 2014, </w:t>
      </w:r>
      <w:r>
        <w:rPr>
          <w:rFonts w:ascii="Calibri" w:hAnsi="Calibri" w:eastAsia="Times New Roman" w:cs="Calibri"/>
          <w:b/>
          <w:sz w:val="18"/>
          <w:lang w:val="en-US" w:eastAsia="zh-CN"/>
        </w:rPr>
        <w:t>20</w:t>
      </w:r>
      <w:r>
        <w:rPr>
          <w:rFonts w:ascii="Calibri" w:hAnsi="Calibri" w:eastAsia="Times New Roman" w:cs="Calibri"/>
          <w:sz w:val="18"/>
          <w:lang w:val="en-US" w:eastAsia="zh-CN"/>
        </w:rPr>
        <w:t>, 357–367.</w:t>
      </w:r>
      <w:bookmarkEnd w:id="74"/>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75" w:name="_ENREF_6"/>
      <w:r>
        <w:rPr>
          <w:rFonts w:ascii="Calibri" w:hAnsi="Calibri" w:eastAsia="Times New Roman" w:cs="Calibri"/>
          <w:sz w:val="18"/>
          <w:lang w:val="en-US" w:eastAsia="zh-CN"/>
        </w:rPr>
        <w:t>6</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G. L. Wang, Z. Wei, S. X. He, X. J. Zhou and Z. S. Liang, </w:t>
      </w:r>
      <w:r>
        <w:rPr>
          <w:rFonts w:ascii="Calibri" w:hAnsi="Calibri" w:eastAsia="Times New Roman" w:cs="Calibri"/>
          <w:i/>
          <w:sz w:val="18"/>
          <w:lang w:val="en-US" w:eastAsia="zh-CN"/>
        </w:rPr>
        <w:t>Zhiwu Ziyuan Yu Huanjing Xuebao</w:t>
      </w:r>
      <w:r>
        <w:rPr>
          <w:rFonts w:ascii="Calibri" w:hAnsi="Calibri" w:eastAsia="Times New Roman" w:cs="Calibri"/>
          <w:sz w:val="18"/>
          <w:lang w:val="en-US" w:eastAsia="zh-CN"/>
        </w:rPr>
        <w:t xml:space="preserve">, 2011, </w:t>
      </w:r>
      <w:r>
        <w:rPr>
          <w:rFonts w:ascii="Calibri" w:hAnsi="Calibri" w:eastAsia="Times New Roman" w:cs="Calibri"/>
          <w:b/>
          <w:sz w:val="18"/>
          <w:lang w:val="en-US" w:eastAsia="zh-CN"/>
        </w:rPr>
        <w:t>20</w:t>
      </w:r>
      <w:r>
        <w:rPr>
          <w:rFonts w:ascii="Calibri" w:hAnsi="Calibri" w:eastAsia="Times New Roman" w:cs="Calibri"/>
          <w:sz w:val="18"/>
          <w:lang w:val="en-US" w:eastAsia="zh-CN"/>
        </w:rPr>
        <w:t>, 1–8.</w:t>
      </w:r>
      <w:bookmarkEnd w:id="75"/>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76" w:name="_ENREF_7"/>
      <w:r>
        <w:rPr>
          <w:rFonts w:ascii="Calibri" w:hAnsi="Calibri" w:eastAsia="Times New Roman" w:cs="Calibri"/>
          <w:sz w:val="18"/>
          <w:lang w:val="en-US" w:eastAsia="zh-CN"/>
        </w:rPr>
        <w:t>7</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Y. Yuan, Y. Liu, C. Wu, S. Chen, Z. Wang, Z. Yang, S. Qin and L. Huang, </w:t>
      </w:r>
      <w:r>
        <w:rPr>
          <w:rFonts w:ascii="Calibri" w:hAnsi="Calibri" w:eastAsia="Times New Roman" w:cs="Calibri"/>
          <w:i/>
          <w:sz w:val="18"/>
          <w:lang w:val="en-US" w:eastAsia="zh-CN"/>
        </w:rPr>
        <w:t>PLoS One</w:t>
      </w:r>
      <w:r>
        <w:rPr>
          <w:rFonts w:ascii="Calibri" w:hAnsi="Calibri" w:eastAsia="Times New Roman" w:cs="Calibri"/>
          <w:sz w:val="18"/>
          <w:lang w:val="en-US" w:eastAsia="zh-CN"/>
        </w:rPr>
        <w:t xml:space="preserve">, 2012, </w:t>
      </w:r>
      <w:r>
        <w:rPr>
          <w:rFonts w:ascii="Calibri" w:hAnsi="Calibri" w:eastAsia="Times New Roman" w:cs="Calibri"/>
          <w:b/>
          <w:sz w:val="18"/>
          <w:lang w:val="en-US" w:eastAsia="zh-CN"/>
        </w:rPr>
        <w:t>7</w:t>
      </w:r>
      <w:r>
        <w:rPr>
          <w:rFonts w:ascii="Calibri" w:hAnsi="Calibri" w:eastAsia="Times New Roman" w:cs="Calibri"/>
          <w:sz w:val="18"/>
          <w:lang w:val="en-US" w:eastAsia="zh-CN"/>
        </w:rPr>
        <w:t>, e42946.</w:t>
      </w:r>
      <w:bookmarkEnd w:id="76"/>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77" w:name="_ENREF_8"/>
      <w:r>
        <w:rPr>
          <w:rFonts w:ascii="Calibri" w:hAnsi="Calibri" w:eastAsia="Times New Roman" w:cs="Calibri"/>
          <w:sz w:val="18"/>
          <w:lang w:val="en-US" w:eastAsia="zh-CN"/>
        </w:rPr>
        <w:t>8</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J. L. Ferrer, J. M. Jez, M. E. Bowman, R. A. Dixon and J. P. Noel, </w:t>
      </w:r>
      <w:r>
        <w:rPr>
          <w:rFonts w:ascii="Calibri" w:hAnsi="Calibri" w:eastAsia="Times New Roman" w:cs="Calibri"/>
          <w:i/>
          <w:sz w:val="18"/>
          <w:lang w:val="en-US" w:eastAsia="zh-CN"/>
        </w:rPr>
        <w:t>Nat. Struct. Biol.</w:t>
      </w:r>
      <w:r>
        <w:rPr>
          <w:rFonts w:ascii="Calibri" w:hAnsi="Calibri" w:eastAsia="Times New Roman" w:cs="Calibri"/>
          <w:sz w:val="18"/>
          <w:lang w:val="en-US" w:eastAsia="zh-CN"/>
        </w:rPr>
        <w:t xml:space="preserve">, 1999, </w:t>
      </w:r>
      <w:r>
        <w:rPr>
          <w:rFonts w:ascii="Calibri" w:hAnsi="Calibri" w:eastAsia="Times New Roman" w:cs="Calibri"/>
          <w:b/>
          <w:sz w:val="18"/>
          <w:lang w:val="en-US" w:eastAsia="zh-CN"/>
        </w:rPr>
        <w:t>6</w:t>
      </w:r>
      <w:r>
        <w:rPr>
          <w:rFonts w:ascii="Calibri" w:hAnsi="Calibri" w:eastAsia="Times New Roman" w:cs="Calibri"/>
          <w:sz w:val="18"/>
          <w:lang w:val="en-US" w:eastAsia="zh-CN"/>
        </w:rPr>
        <w:t>, 775–784.</w:t>
      </w:r>
      <w:bookmarkEnd w:id="77"/>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78" w:name="_ENREF_9"/>
      <w:r>
        <w:rPr>
          <w:rFonts w:ascii="Calibri" w:hAnsi="Calibri" w:eastAsia="Times New Roman" w:cs="Calibri"/>
          <w:sz w:val="18"/>
          <w:lang w:val="en-US" w:eastAsia="zh-CN"/>
        </w:rPr>
        <w:t>9</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D. Y. Suh, K. Fukuma, J. Kagami, Y. Yamazaki, M. Shibuya, Y. Ebizuka and U. Sankawa, </w:t>
      </w:r>
      <w:r>
        <w:rPr>
          <w:rFonts w:ascii="Calibri" w:hAnsi="Calibri" w:eastAsia="Times New Roman" w:cs="Calibri"/>
          <w:i/>
          <w:sz w:val="18"/>
          <w:lang w:val="en-US" w:eastAsia="zh-CN"/>
        </w:rPr>
        <w:t>Biochem. J.</w:t>
      </w:r>
      <w:r>
        <w:rPr>
          <w:rFonts w:ascii="Calibri" w:hAnsi="Calibri" w:eastAsia="Times New Roman" w:cs="Calibri"/>
          <w:sz w:val="18"/>
          <w:lang w:val="en-US" w:eastAsia="zh-CN"/>
        </w:rPr>
        <w:t xml:space="preserve">, 2000, </w:t>
      </w:r>
      <w:r>
        <w:rPr>
          <w:rFonts w:ascii="Calibri" w:hAnsi="Calibri" w:eastAsia="Times New Roman" w:cs="Calibri"/>
          <w:b/>
          <w:sz w:val="18"/>
          <w:lang w:val="en-US" w:eastAsia="zh-CN"/>
        </w:rPr>
        <w:t>350</w:t>
      </w:r>
      <w:r>
        <w:rPr>
          <w:rFonts w:ascii="Calibri" w:hAnsi="Calibri" w:eastAsia="Times New Roman" w:cs="Calibri"/>
          <w:sz w:val="18"/>
          <w:lang w:val="en-US" w:eastAsia="zh-CN"/>
        </w:rPr>
        <w:t>, 229–235.</w:t>
      </w:r>
      <w:bookmarkEnd w:id="78"/>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79" w:name="_ENREF_10"/>
      <w:r>
        <w:rPr>
          <w:rFonts w:ascii="Calibri" w:hAnsi="Calibri" w:eastAsia="Times New Roman" w:cs="Calibri"/>
          <w:sz w:val="18"/>
          <w:lang w:val="en-US" w:eastAsia="zh-CN"/>
        </w:rPr>
        <w:t>10</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J. M. Jez and J. P. Noel, </w:t>
      </w:r>
      <w:r>
        <w:rPr>
          <w:rFonts w:ascii="Calibri" w:hAnsi="Calibri" w:eastAsia="Times New Roman" w:cs="Calibri"/>
          <w:i/>
          <w:sz w:val="18"/>
          <w:lang w:val="en-US" w:eastAsia="zh-CN"/>
        </w:rPr>
        <w:t>J. Biol. Chem.</w:t>
      </w:r>
      <w:r>
        <w:rPr>
          <w:rFonts w:ascii="Calibri" w:hAnsi="Calibri" w:eastAsia="Times New Roman" w:cs="Calibri"/>
          <w:sz w:val="18"/>
          <w:lang w:val="en-US" w:eastAsia="zh-CN"/>
        </w:rPr>
        <w:t xml:space="preserve">, 2000, </w:t>
      </w:r>
      <w:r>
        <w:rPr>
          <w:rFonts w:ascii="Calibri" w:hAnsi="Calibri" w:eastAsia="Times New Roman" w:cs="Calibri"/>
          <w:b/>
          <w:sz w:val="18"/>
          <w:lang w:val="en-US" w:eastAsia="zh-CN"/>
        </w:rPr>
        <w:t>275</w:t>
      </w:r>
      <w:r>
        <w:rPr>
          <w:rFonts w:ascii="Calibri" w:hAnsi="Calibri" w:eastAsia="Times New Roman" w:cs="Calibri"/>
          <w:sz w:val="18"/>
          <w:lang w:val="en-US" w:eastAsia="zh-CN"/>
        </w:rPr>
        <w:t>, 39640–39646.</w:t>
      </w:r>
      <w:bookmarkEnd w:id="79"/>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80" w:name="_ENREF_11"/>
      <w:r>
        <w:rPr>
          <w:rFonts w:ascii="Calibri" w:hAnsi="Calibri" w:eastAsia="Times New Roman" w:cs="Calibri"/>
          <w:sz w:val="18"/>
          <w:lang w:val="en-US" w:eastAsia="zh-CN"/>
        </w:rPr>
        <w:t>11</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X. J. Liu, Y. N. Chuang, C. Y. Chiou, D. C. Chin, F. Q. Shen and K. W. Yeh, </w:t>
      </w:r>
      <w:r>
        <w:rPr>
          <w:rFonts w:ascii="Calibri" w:hAnsi="Calibri" w:eastAsia="Times New Roman" w:cs="Calibri"/>
          <w:i/>
          <w:sz w:val="18"/>
          <w:lang w:val="en-US" w:eastAsia="zh-CN"/>
        </w:rPr>
        <w:t>Planta</w:t>
      </w:r>
      <w:r>
        <w:rPr>
          <w:rFonts w:ascii="Calibri" w:hAnsi="Calibri" w:eastAsia="Times New Roman" w:cs="Calibri"/>
          <w:sz w:val="18"/>
          <w:lang w:val="en-US" w:eastAsia="zh-CN"/>
        </w:rPr>
        <w:t xml:space="preserve">, 2012, </w:t>
      </w:r>
      <w:r>
        <w:rPr>
          <w:rFonts w:ascii="Calibri" w:hAnsi="Calibri" w:eastAsia="Times New Roman" w:cs="Calibri"/>
          <w:b/>
          <w:sz w:val="18"/>
          <w:lang w:val="en-US" w:eastAsia="zh-CN"/>
        </w:rPr>
        <w:t>236</w:t>
      </w:r>
      <w:r>
        <w:rPr>
          <w:rFonts w:ascii="Calibri" w:hAnsi="Calibri" w:eastAsia="Times New Roman" w:cs="Calibri"/>
          <w:sz w:val="18"/>
          <w:lang w:val="en-US" w:eastAsia="zh-CN"/>
        </w:rPr>
        <w:t>, 401–409.</w:t>
      </w:r>
      <w:bookmarkEnd w:id="80"/>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81" w:name="_ENREF_12"/>
      <w:r>
        <w:rPr>
          <w:rFonts w:ascii="Calibri" w:hAnsi="Calibri" w:eastAsia="Times New Roman" w:cs="Calibri"/>
          <w:sz w:val="18"/>
          <w:lang w:val="en-US" w:eastAsia="zh-CN"/>
        </w:rPr>
        <w:t>12</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B. Zhou, Y. Wang, Y. Zhan, Y. Li and S. Kawabata, </w:t>
      </w:r>
      <w:r>
        <w:rPr>
          <w:rFonts w:ascii="Calibri" w:hAnsi="Calibri" w:eastAsia="Times New Roman" w:cs="Calibri"/>
          <w:i/>
          <w:sz w:val="18"/>
          <w:lang w:val="en-US" w:eastAsia="zh-CN"/>
        </w:rPr>
        <w:t>Am. J. Bot.</w:t>
      </w:r>
      <w:r>
        <w:rPr>
          <w:rFonts w:ascii="Calibri" w:hAnsi="Calibri" w:eastAsia="Times New Roman" w:cs="Calibri"/>
          <w:sz w:val="18"/>
          <w:lang w:val="en-US" w:eastAsia="zh-CN"/>
        </w:rPr>
        <w:t xml:space="preserve">, 2013, </w:t>
      </w:r>
      <w:r>
        <w:rPr>
          <w:rFonts w:ascii="Calibri" w:hAnsi="Calibri" w:eastAsia="Times New Roman" w:cs="Calibri"/>
          <w:b/>
          <w:sz w:val="18"/>
          <w:lang w:val="en-US" w:eastAsia="zh-CN"/>
        </w:rPr>
        <w:t>100</w:t>
      </w:r>
      <w:r>
        <w:rPr>
          <w:rFonts w:ascii="Calibri" w:hAnsi="Calibri" w:eastAsia="Times New Roman" w:cs="Calibri"/>
          <w:sz w:val="18"/>
          <w:lang w:val="en-US" w:eastAsia="zh-CN"/>
        </w:rPr>
        <w:t>, 2458–2467.</w:t>
      </w:r>
      <w:bookmarkEnd w:id="81"/>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82" w:name="_ENREF_13"/>
      <w:r>
        <w:rPr>
          <w:rFonts w:ascii="Calibri" w:hAnsi="Calibri" w:eastAsia="Times New Roman" w:cs="Calibri"/>
          <w:sz w:val="18"/>
          <w:lang w:val="en-US" w:eastAsia="zh-CN"/>
        </w:rPr>
        <w:t>13</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L. Chen, H. Guo, Y. Lin and H. Cheng, </w:t>
      </w:r>
      <w:r>
        <w:rPr>
          <w:rFonts w:ascii="Calibri" w:hAnsi="Calibri" w:eastAsia="Times New Roman" w:cs="Calibri"/>
          <w:i/>
          <w:sz w:val="18"/>
          <w:lang w:val="en-US" w:eastAsia="zh-CN"/>
        </w:rPr>
        <w:t>Plant Cell Rep.</w:t>
      </w:r>
      <w:r>
        <w:rPr>
          <w:rFonts w:ascii="Calibri" w:hAnsi="Calibri" w:eastAsia="Times New Roman" w:cs="Calibri"/>
          <w:sz w:val="18"/>
          <w:lang w:val="en-US" w:eastAsia="zh-CN"/>
        </w:rPr>
        <w:t xml:space="preserve">, 2015, </w:t>
      </w:r>
      <w:r>
        <w:rPr>
          <w:rFonts w:ascii="Calibri" w:hAnsi="Calibri" w:eastAsia="Times New Roman" w:cs="Calibri"/>
          <w:b/>
          <w:sz w:val="18"/>
          <w:lang w:val="en-US" w:eastAsia="zh-CN"/>
        </w:rPr>
        <w:t>34</w:t>
      </w:r>
      <w:r>
        <w:rPr>
          <w:rFonts w:ascii="Calibri" w:hAnsi="Calibri" w:eastAsia="Times New Roman" w:cs="Calibri"/>
          <w:sz w:val="18"/>
          <w:lang w:val="en-US" w:eastAsia="zh-CN"/>
        </w:rPr>
        <w:t>, 885–894.</w:t>
      </w:r>
      <w:bookmarkEnd w:id="82"/>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83" w:name="_ENREF_14"/>
      <w:r>
        <w:rPr>
          <w:rFonts w:ascii="Calibri" w:hAnsi="Calibri" w:eastAsia="Times New Roman" w:cs="Calibri"/>
          <w:sz w:val="18"/>
          <w:lang w:val="en-US" w:eastAsia="zh-CN"/>
        </w:rPr>
        <w:t>14</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Y. Mo, C. Nagel and L. P. Taylor, </w:t>
      </w:r>
      <w:r>
        <w:rPr>
          <w:rFonts w:ascii="Calibri" w:hAnsi="Calibri" w:eastAsia="Times New Roman" w:cs="Calibri"/>
          <w:i/>
          <w:sz w:val="18"/>
          <w:lang w:val="en-US" w:eastAsia="zh-CN"/>
        </w:rPr>
        <w:t>Proc. Natl. Acad. Sci. U. S. A.</w:t>
      </w:r>
      <w:r>
        <w:rPr>
          <w:rFonts w:ascii="Calibri" w:hAnsi="Calibri" w:eastAsia="Times New Roman" w:cs="Calibri"/>
          <w:sz w:val="18"/>
          <w:lang w:val="en-US" w:eastAsia="zh-CN"/>
        </w:rPr>
        <w:t xml:space="preserve">, 1992, </w:t>
      </w:r>
      <w:r>
        <w:rPr>
          <w:rFonts w:ascii="Calibri" w:hAnsi="Calibri" w:eastAsia="Times New Roman" w:cs="Calibri"/>
          <w:b/>
          <w:sz w:val="18"/>
          <w:lang w:val="en-US" w:eastAsia="zh-CN"/>
        </w:rPr>
        <w:t>89</w:t>
      </w:r>
      <w:r>
        <w:rPr>
          <w:rFonts w:ascii="Calibri" w:hAnsi="Calibri" w:eastAsia="Times New Roman" w:cs="Calibri"/>
          <w:sz w:val="18"/>
          <w:lang w:val="en-US" w:eastAsia="zh-CN"/>
        </w:rPr>
        <w:t>, 7213–7217.</w:t>
      </w:r>
      <w:bookmarkEnd w:id="83"/>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84" w:name="_ENREF_15"/>
      <w:r>
        <w:rPr>
          <w:rFonts w:ascii="Calibri" w:hAnsi="Calibri" w:eastAsia="Times New Roman" w:cs="Calibri"/>
          <w:sz w:val="18"/>
          <w:lang w:val="en-US" w:eastAsia="zh-CN"/>
        </w:rPr>
        <w:t>15</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R. B. Horsch, J. E. Fry, N. L. Hoffmann, D. Eichholtz, S. G. Rogers and R. T. Fraley, </w:t>
      </w:r>
      <w:r>
        <w:rPr>
          <w:rFonts w:ascii="Calibri" w:hAnsi="Calibri" w:eastAsia="Times New Roman" w:cs="Calibri"/>
          <w:i/>
          <w:sz w:val="18"/>
          <w:lang w:val="en-US" w:eastAsia="zh-CN"/>
        </w:rPr>
        <w:t>Science</w:t>
      </w:r>
      <w:r>
        <w:rPr>
          <w:rFonts w:ascii="Calibri" w:hAnsi="Calibri" w:eastAsia="Times New Roman" w:cs="Calibri"/>
          <w:sz w:val="18"/>
          <w:lang w:val="en-US" w:eastAsia="zh-CN"/>
        </w:rPr>
        <w:t xml:space="preserve">, 1985, </w:t>
      </w:r>
      <w:r>
        <w:rPr>
          <w:rFonts w:ascii="Calibri" w:hAnsi="Calibri" w:eastAsia="Times New Roman" w:cs="Calibri"/>
          <w:b/>
          <w:sz w:val="18"/>
          <w:lang w:val="en-US" w:eastAsia="zh-CN"/>
        </w:rPr>
        <w:t>227</w:t>
      </w:r>
      <w:r>
        <w:rPr>
          <w:rFonts w:ascii="Calibri" w:hAnsi="Calibri" w:eastAsia="Times New Roman" w:cs="Calibri"/>
          <w:sz w:val="18"/>
          <w:lang w:val="en-US" w:eastAsia="zh-CN"/>
        </w:rPr>
        <w:t>, 1229–1231.</w:t>
      </w:r>
      <w:bookmarkEnd w:id="84"/>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85" w:name="_ENREF_16"/>
      <w:r>
        <w:rPr>
          <w:rFonts w:ascii="Calibri" w:hAnsi="Calibri" w:eastAsia="Times New Roman" w:cs="Calibri"/>
          <w:sz w:val="18"/>
          <w:lang w:val="en-US" w:eastAsia="zh-CN"/>
        </w:rPr>
        <w:t>16</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K. Singh, J. Raizada, P. Bhardwaj, S. Ghawana, A. Rani, H. Singh, K. Kaul and S. Kumar, </w:t>
      </w:r>
      <w:r>
        <w:rPr>
          <w:rFonts w:ascii="Calibri" w:hAnsi="Calibri" w:eastAsia="Times New Roman" w:cs="Calibri"/>
          <w:i/>
          <w:sz w:val="18"/>
          <w:lang w:val="en-US" w:eastAsia="zh-CN"/>
        </w:rPr>
        <w:t>Anal. Biochem.</w:t>
      </w:r>
      <w:r>
        <w:rPr>
          <w:rFonts w:ascii="Calibri" w:hAnsi="Calibri" w:eastAsia="Times New Roman" w:cs="Calibri"/>
          <w:sz w:val="18"/>
          <w:lang w:val="en-US" w:eastAsia="zh-CN"/>
        </w:rPr>
        <w:t xml:space="preserve">, 2004, </w:t>
      </w:r>
      <w:r>
        <w:rPr>
          <w:rFonts w:ascii="Calibri" w:hAnsi="Calibri" w:eastAsia="Times New Roman" w:cs="Calibri"/>
          <w:b/>
          <w:sz w:val="18"/>
          <w:lang w:val="en-US" w:eastAsia="zh-CN"/>
        </w:rPr>
        <w:t>335</w:t>
      </w:r>
      <w:r>
        <w:rPr>
          <w:rFonts w:ascii="Calibri" w:hAnsi="Calibri" w:eastAsia="Times New Roman" w:cs="Calibri"/>
          <w:sz w:val="18"/>
          <w:lang w:val="en-US" w:eastAsia="zh-CN"/>
        </w:rPr>
        <w:t>, 330–333.</w:t>
      </w:r>
      <w:bookmarkEnd w:id="85"/>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86" w:name="_ENREF_17"/>
      <w:r>
        <w:rPr>
          <w:rFonts w:ascii="Calibri" w:hAnsi="Calibri" w:eastAsia="Times New Roman" w:cs="Calibri"/>
          <w:sz w:val="18"/>
          <w:lang w:val="en-US" w:eastAsia="zh-CN"/>
        </w:rPr>
        <w:t>17</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X. Liu, S. Liu, J. Wu, B. Zhang, X. Li, Y. Yan and L. Li, </w:t>
      </w:r>
      <w:r>
        <w:rPr>
          <w:rFonts w:ascii="Calibri" w:hAnsi="Calibri" w:eastAsia="Times New Roman" w:cs="Calibri"/>
          <w:i/>
          <w:sz w:val="18"/>
          <w:lang w:val="en-US" w:eastAsia="zh-CN"/>
        </w:rPr>
        <w:t>Plant Physiol. Biochem.</w:t>
      </w:r>
      <w:r>
        <w:rPr>
          <w:rFonts w:ascii="Calibri" w:hAnsi="Calibri" w:eastAsia="Times New Roman" w:cs="Calibri"/>
          <w:sz w:val="18"/>
          <w:lang w:val="en-US" w:eastAsia="zh-CN"/>
        </w:rPr>
        <w:t xml:space="preserve">, 2013, </w:t>
      </w:r>
      <w:r>
        <w:rPr>
          <w:rFonts w:ascii="Calibri" w:hAnsi="Calibri" w:eastAsia="Times New Roman" w:cs="Calibri"/>
          <w:b/>
          <w:sz w:val="18"/>
          <w:lang w:val="en-US" w:eastAsia="zh-CN"/>
        </w:rPr>
        <w:t>70</w:t>
      </w:r>
      <w:r>
        <w:rPr>
          <w:rFonts w:ascii="Calibri" w:hAnsi="Calibri" w:eastAsia="Times New Roman" w:cs="Calibri"/>
          <w:sz w:val="18"/>
          <w:lang w:val="en-US" w:eastAsia="zh-CN"/>
        </w:rPr>
        <w:t>, 354–359.</w:t>
      </w:r>
      <w:bookmarkEnd w:id="86"/>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87" w:name="_ENREF_18"/>
      <w:r>
        <w:rPr>
          <w:rFonts w:ascii="Calibri" w:hAnsi="Calibri" w:eastAsia="Times New Roman" w:cs="Calibri"/>
          <w:sz w:val="18"/>
          <w:lang w:val="en-US" w:eastAsia="zh-CN"/>
        </w:rPr>
        <w:t>18</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M. Jiang and J. Zhang, </w:t>
      </w:r>
      <w:r>
        <w:rPr>
          <w:rFonts w:ascii="Calibri" w:hAnsi="Calibri" w:eastAsia="Times New Roman" w:cs="Calibri"/>
          <w:i/>
          <w:sz w:val="18"/>
          <w:lang w:val="en-US" w:eastAsia="zh-CN"/>
        </w:rPr>
        <w:t>Plant Cell Physiol.</w:t>
      </w:r>
      <w:r>
        <w:rPr>
          <w:rFonts w:ascii="Calibri" w:hAnsi="Calibri" w:eastAsia="Times New Roman" w:cs="Calibri"/>
          <w:sz w:val="18"/>
          <w:lang w:val="en-US" w:eastAsia="zh-CN"/>
        </w:rPr>
        <w:t xml:space="preserve">, 2001, </w:t>
      </w:r>
      <w:r>
        <w:rPr>
          <w:rFonts w:ascii="Calibri" w:hAnsi="Calibri" w:eastAsia="Times New Roman" w:cs="Calibri"/>
          <w:b/>
          <w:sz w:val="18"/>
          <w:lang w:val="en-US" w:eastAsia="zh-CN"/>
        </w:rPr>
        <w:t>42</w:t>
      </w:r>
      <w:r>
        <w:rPr>
          <w:rFonts w:ascii="Calibri" w:hAnsi="Calibri" w:eastAsia="Times New Roman" w:cs="Calibri"/>
          <w:sz w:val="18"/>
          <w:lang w:val="en-US" w:eastAsia="zh-CN"/>
        </w:rPr>
        <w:t>, 1265–1273.</w:t>
      </w:r>
      <w:bookmarkEnd w:id="87"/>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88" w:name="_ENREF_19"/>
      <w:r>
        <w:rPr>
          <w:rFonts w:ascii="Calibri" w:hAnsi="Calibri" w:eastAsia="Times New Roman" w:cs="Calibri"/>
          <w:sz w:val="18"/>
          <w:lang w:val="en-US" w:eastAsia="zh-CN"/>
        </w:rPr>
        <w:t>19</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K. V. Madhava Rao and T. V. S. Sresty, </w:t>
      </w:r>
      <w:r>
        <w:rPr>
          <w:rFonts w:ascii="Calibri" w:hAnsi="Calibri" w:eastAsia="Times New Roman" w:cs="Calibri"/>
          <w:i/>
          <w:sz w:val="18"/>
          <w:lang w:val="en-US" w:eastAsia="zh-CN"/>
        </w:rPr>
        <w:t>Plant Sci.</w:t>
      </w:r>
      <w:r>
        <w:rPr>
          <w:rFonts w:ascii="Calibri" w:hAnsi="Calibri" w:eastAsia="Times New Roman" w:cs="Calibri"/>
          <w:sz w:val="18"/>
          <w:lang w:val="en-US" w:eastAsia="zh-CN"/>
        </w:rPr>
        <w:t xml:space="preserve">, 2000, </w:t>
      </w:r>
      <w:r>
        <w:rPr>
          <w:rFonts w:ascii="Calibri" w:hAnsi="Calibri" w:eastAsia="Times New Roman" w:cs="Calibri"/>
          <w:b/>
          <w:sz w:val="18"/>
          <w:lang w:val="en-US" w:eastAsia="zh-CN"/>
        </w:rPr>
        <w:t>157</w:t>
      </w:r>
      <w:r>
        <w:rPr>
          <w:rFonts w:ascii="Calibri" w:hAnsi="Calibri" w:eastAsia="Times New Roman" w:cs="Calibri"/>
          <w:sz w:val="18"/>
          <w:lang w:val="en-US" w:eastAsia="zh-CN"/>
        </w:rPr>
        <w:t>, 113–128.</w:t>
      </w:r>
      <w:bookmarkEnd w:id="88"/>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89" w:name="_ENREF_20"/>
      <w:r>
        <w:rPr>
          <w:rFonts w:ascii="Calibri" w:hAnsi="Calibri" w:eastAsia="Times New Roman" w:cs="Calibri"/>
          <w:sz w:val="18"/>
          <w:lang w:val="en-US" w:eastAsia="zh-CN"/>
        </w:rPr>
        <w:t>20</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J. Y. Qian, D. Liu and A. G. Huang, </w:t>
      </w:r>
      <w:r>
        <w:rPr>
          <w:rFonts w:ascii="Calibri" w:hAnsi="Calibri" w:eastAsia="Times New Roman" w:cs="Calibri"/>
          <w:i/>
          <w:sz w:val="18"/>
          <w:lang w:val="en-US" w:eastAsia="zh-CN"/>
        </w:rPr>
        <w:t>Food Chem.</w:t>
      </w:r>
      <w:r>
        <w:rPr>
          <w:rFonts w:ascii="Calibri" w:hAnsi="Calibri" w:eastAsia="Times New Roman" w:cs="Calibri"/>
          <w:sz w:val="18"/>
          <w:lang w:val="en-US" w:eastAsia="zh-CN"/>
        </w:rPr>
        <w:t xml:space="preserve">, 2004, </w:t>
      </w:r>
      <w:r>
        <w:rPr>
          <w:rFonts w:ascii="Calibri" w:hAnsi="Calibri" w:eastAsia="Times New Roman" w:cs="Calibri"/>
          <w:b/>
          <w:sz w:val="18"/>
          <w:lang w:val="en-US" w:eastAsia="zh-CN"/>
        </w:rPr>
        <w:t>87</w:t>
      </w:r>
      <w:r>
        <w:rPr>
          <w:rFonts w:ascii="Calibri" w:hAnsi="Calibri" w:eastAsia="Times New Roman" w:cs="Calibri"/>
          <w:sz w:val="18"/>
          <w:lang w:val="en-US" w:eastAsia="zh-CN"/>
        </w:rPr>
        <w:t>, 283–288.</w:t>
      </w:r>
      <w:bookmarkEnd w:id="89"/>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90" w:name="_ENREF_21"/>
      <w:r>
        <w:rPr>
          <w:rFonts w:ascii="Calibri" w:hAnsi="Calibri" w:eastAsia="Times New Roman" w:cs="Calibri"/>
          <w:sz w:val="18"/>
          <w:lang w:val="en-US" w:eastAsia="zh-CN"/>
        </w:rPr>
        <w:t>21</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N. Sierro, J. N. D. Battey, S. Ouadi, N. Bakaher, L. Bovet, A. Willig, S. Goepfert, M. C. Peitsch and N. V. Ivanov, </w:t>
      </w:r>
      <w:r>
        <w:rPr>
          <w:rFonts w:ascii="Calibri" w:hAnsi="Calibri" w:eastAsia="Times New Roman" w:cs="Calibri"/>
          <w:i/>
          <w:sz w:val="18"/>
          <w:lang w:val="en-US" w:eastAsia="zh-CN"/>
        </w:rPr>
        <w:t>Nat. Commun.</w:t>
      </w:r>
      <w:r>
        <w:rPr>
          <w:rFonts w:ascii="Calibri" w:hAnsi="Calibri" w:eastAsia="Times New Roman" w:cs="Calibri"/>
          <w:sz w:val="18"/>
          <w:lang w:val="en-US" w:eastAsia="zh-CN"/>
        </w:rPr>
        <w:t xml:space="preserve">, 2014, </w:t>
      </w:r>
      <w:r>
        <w:rPr>
          <w:rFonts w:ascii="Calibri" w:hAnsi="Calibri" w:eastAsia="Times New Roman" w:cs="Calibri"/>
          <w:b/>
          <w:sz w:val="18"/>
          <w:lang w:val="en-US" w:eastAsia="zh-CN"/>
        </w:rPr>
        <w:t>5</w:t>
      </w:r>
      <w:r>
        <w:rPr>
          <w:rFonts w:ascii="Calibri" w:hAnsi="Calibri" w:eastAsia="Times New Roman" w:cs="Calibri"/>
          <w:sz w:val="18"/>
          <w:lang w:val="en-US" w:eastAsia="zh-CN"/>
        </w:rPr>
        <w:t>, 3833.</w:t>
      </w:r>
      <w:bookmarkEnd w:id="90"/>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91" w:name="_ENREF_22"/>
      <w:r>
        <w:rPr>
          <w:rFonts w:ascii="Calibri" w:hAnsi="Calibri" w:eastAsia="Times New Roman" w:cs="Calibri"/>
          <w:sz w:val="18"/>
          <w:lang w:val="en-US" w:eastAsia="zh-CN"/>
        </w:rPr>
        <w:t>22</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S. Xu, T. Brockmöller, A. Navarro-Quezada, H. Kuhl, K. Gase, Z. Ling, W. Zhou, C. Kreitzer, M. Stanke, H. Tang, E. Lyons, P. Pandey, S. P. Pandey, B. Timmermann, E. Gaquerel and I. T. Baldwin, </w:t>
      </w:r>
      <w:r>
        <w:rPr>
          <w:rFonts w:ascii="Calibri" w:hAnsi="Calibri" w:eastAsia="Times New Roman" w:cs="Calibri"/>
          <w:i/>
          <w:sz w:val="18"/>
          <w:lang w:val="en-US" w:eastAsia="zh-CN"/>
        </w:rPr>
        <w:t>Proc. Natl. Acad. Sci. U. S. A.</w:t>
      </w:r>
      <w:r>
        <w:rPr>
          <w:rFonts w:ascii="Calibri" w:hAnsi="Calibri" w:eastAsia="Times New Roman" w:cs="Calibri"/>
          <w:sz w:val="18"/>
          <w:lang w:val="en-US" w:eastAsia="zh-CN"/>
        </w:rPr>
        <w:t xml:space="preserve">, 2017, </w:t>
      </w:r>
      <w:r>
        <w:rPr>
          <w:rFonts w:ascii="Calibri" w:hAnsi="Calibri" w:eastAsia="Times New Roman" w:cs="Calibri"/>
          <w:b/>
          <w:sz w:val="18"/>
          <w:lang w:val="en-US" w:eastAsia="zh-CN"/>
        </w:rPr>
        <w:t>114</w:t>
      </w:r>
      <w:r>
        <w:rPr>
          <w:rFonts w:ascii="Calibri" w:hAnsi="Calibri" w:eastAsia="Times New Roman" w:cs="Calibri"/>
          <w:sz w:val="18"/>
          <w:lang w:val="en-US" w:eastAsia="zh-CN"/>
        </w:rPr>
        <w:t>, 6133–6138.</w:t>
      </w:r>
      <w:bookmarkEnd w:id="91"/>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92" w:name="_ENREF_23"/>
      <w:r>
        <w:rPr>
          <w:rFonts w:ascii="Calibri" w:hAnsi="Calibri" w:eastAsia="Times New Roman" w:cs="Calibri"/>
          <w:sz w:val="18"/>
          <w:lang w:val="en-US" w:eastAsia="zh-CN"/>
        </w:rPr>
        <w:t>23</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The Tomato Genome Consortium, </w:t>
      </w:r>
      <w:r>
        <w:rPr>
          <w:rFonts w:ascii="Calibri" w:hAnsi="Calibri" w:eastAsia="Times New Roman" w:cs="Calibri"/>
          <w:i/>
          <w:sz w:val="18"/>
          <w:lang w:val="en-US" w:eastAsia="zh-CN"/>
        </w:rPr>
        <w:t>Nature</w:t>
      </w:r>
      <w:r>
        <w:rPr>
          <w:rFonts w:ascii="Calibri" w:hAnsi="Calibri" w:eastAsia="Times New Roman" w:cs="Calibri"/>
          <w:sz w:val="18"/>
          <w:lang w:val="en-US" w:eastAsia="zh-CN"/>
        </w:rPr>
        <w:t xml:space="preserve">, 2012, </w:t>
      </w:r>
      <w:r>
        <w:rPr>
          <w:rFonts w:ascii="Calibri" w:hAnsi="Calibri" w:eastAsia="Times New Roman" w:cs="Calibri"/>
          <w:b/>
          <w:sz w:val="18"/>
          <w:lang w:val="en-US" w:eastAsia="zh-CN"/>
        </w:rPr>
        <w:t>485</w:t>
      </w:r>
      <w:r>
        <w:rPr>
          <w:rFonts w:ascii="Calibri" w:hAnsi="Calibri" w:eastAsia="Times New Roman" w:cs="Calibri"/>
          <w:sz w:val="18"/>
          <w:lang w:val="en-US" w:eastAsia="zh-CN"/>
        </w:rPr>
        <w:t>, 635–641.</w:t>
      </w:r>
      <w:bookmarkEnd w:id="92"/>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93" w:name="_ENREF_24"/>
      <w:r>
        <w:rPr>
          <w:rFonts w:ascii="Calibri" w:hAnsi="Calibri" w:eastAsia="Times New Roman" w:cs="Calibri"/>
          <w:sz w:val="18"/>
          <w:lang w:val="en-US" w:eastAsia="zh-CN"/>
        </w:rPr>
        <w:t>24</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H. T. M. Tran, T. Ramaraj, A. Furtado, L. S. Lee and R. J. Henry, </w:t>
      </w:r>
      <w:r>
        <w:rPr>
          <w:rFonts w:ascii="Calibri" w:hAnsi="Calibri" w:eastAsia="Times New Roman" w:cs="Calibri"/>
          <w:i/>
          <w:sz w:val="18"/>
          <w:lang w:val="en-US" w:eastAsia="zh-CN"/>
        </w:rPr>
        <w:t>Plant Biotechnol. J.</w:t>
      </w:r>
      <w:r>
        <w:rPr>
          <w:rFonts w:ascii="Calibri" w:hAnsi="Calibri" w:eastAsia="Times New Roman" w:cs="Calibri"/>
          <w:sz w:val="18"/>
          <w:lang w:val="en-US" w:eastAsia="zh-CN"/>
        </w:rPr>
        <w:t xml:space="preserve">, 2018, </w:t>
      </w:r>
      <w:r>
        <w:rPr>
          <w:rFonts w:ascii="Calibri" w:hAnsi="Calibri" w:eastAsia="Times New Roman" w:cs="Calibri"/>
          <w:b/>
          <w:sz w:val="18"/>
          <w:lang w:val="en-US" w:eastAsia="zh-CN"/>
        </w:rPr>
        <w:t>16</w:t>
      </w:r>
      <w:r>
        <w:rPr>
          <w:rFonts w:ascii="Calibri" w:hAnsi="Calibri" w:eastAsia="Times New Roman" w:cs="Calibri"/>
          <w:sz w:val="18"/>
          <w:lang w:val="en-US" w:eastAsia="zh-CN"/>
        </w:rPr>
        <w:t>, 1756–1766.</w:t>
      </w:r>
      <w:bookmarkEnd w:id="93"/>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94" w:name="_ENREF_25"/>
      <w:r>
        <w:rPr>
          <w:rFonts w:ascii="Calibri" w:hAnsi="Calibri" w:eastAsia="Times New Roman" w:cs="Calibri"/>
          <w:sz w:val="18"/>
          <w:lang w:val="en-US" w:eastAsia="zh-CN"/>
        </w:rPr>
        <w:t>25</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The Arabidopsis Genome Initiative, </w:t>
      </w:r>
      <w:r>
        <w:rPr>
          <w:rFonts w:ascii="Calibri" w:hAnsi="Calibri" w:eastAsia="Times New Roman" w:cs="Calibri"/>
          <w:i/>
          <w:sz w:val="18"/>
          <w:lang w:val="en-US" w:eastAsia="zh-CN"/>
        </w:rPr>
        <w:t>Nature</w:t>
      </w:r>
      <w:r>
        <w:rPr>
          <w:rFonts w:ascii="Calibri" w:hAnsi="Calibri" w:eastAsia="Times New Roman" w:cs="Calibri"/>
          <w:sz w:val="18"/>
          <w:lang w:val="en-US" w:eastAsia="zh-CN"/>
        </w:rPr>
        <w:t xml:space="preserve">, 2000, </w:t>
      </w:r>
      <w:r>
        <w:rPr>
          <w:rFonts w:ascii="Calibri" w:hAnsi="Calibri" w:eastAsia="Times New Roman" w:cs="Calibri"/>
          <w:b/>
          <w:sz w:val="18"/>
          <w:lang w:val="en-US" w:eastAsia="zh-CN"/>
        </w:rPr>
        <w:t>408</w:t>
      </w:r>
      <w:r>
        <w:rPr>
          <w:rFonts w:ascii="Calibri" w:hAnsi="Calibri" w:eastAsia="Times New Roman" w:cs="Calibri"/>
          <w:sz w:val="18"/>
          <w:lang w:val="en-US" w:eastAsia="zh-CN"/>
        </w:rPr>
        <w:t>, 796–815.</w:t>
      </w:r>
      <w:bookmarkEnd w:id="94"/>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95" w:name="_ENREF_26"/>
      <w:r>
        <w:rPr>
          <w:rFonts w:ascii="Calibri" w:hAnsi="Calibri" w:eastAsia="Times New Roman" w:cs="Calibri"/>
          <w:sz w:val="18"/>
          <w:lang w:val="en-US" w:eastAsia="zh-CN"/>
        </w:rPr>
        <w:t>26</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A. Bateman, L. Coin, R. Durbin, R. D. Finn, V. Hollich, S. Griffiths-Jones, A. Khanna, M. Marshall, S. Moxon, E. L. L. Sonnhammer, D. J. Studholme, C. Yeats and S. R. Eddy, </w:t>
      </w:r>
      <w:r>
        <w:rPr>
          <w:rFonts w:ascii="Calibri" w:hAnsi="Calibri" w:eastAsia="Times New Roman" w:cs="Calibri"/>
          <w:i/>
          <w:sz w:val="18"/>
          <w:lang w:val="en-US" w:eastAsia="zh-CN"/>
        </w:rPr>
        <w:t>Nucleic Acids Res.</w:t>
      </w:r>
      <w:r>
        <w:rPr>
          <w:rFonts w:ascii="Calibri" w:hAnsi="Calibri" w:eastAsia="Times New Roman" w:cs="Calibri"/>
          <w:sz w:val="18"/>
          <w:lang w:val="en-US" w:eastAsia="zh-CN"/>
        </w:rPr>
        <w:t xml:space="preserve">, 2004, </w:t>
      </w:r>
      <w:r>
        <w:rPr>
          <w:rFonts w:ascii="Calibri" w:hAnsi="Calibri" w:eastAsia="Times New Roman" w:cs="Calibri"/>
          <w:b/>
          <w:sz w:val="18"/>
          <w:lang w:val="en-US" w:eastAsia="zh-CN"/>
        </w:rPr>
        <w:t>32</w:t>
      </w:r>
      <w:r>
        <w:rPr>
          <w:rFonts w:ascii="Calibri" w:hAnsi="Calibri" w:eastAsia="Times New Roman" w:cs="Calibri"/>
          <w:sz w:val="18"/>
          <w:lang w:val="en-US" w:eastAsia="zh-CN"/>
        </w:rPr>
        <w:t>, D138–D141.</w:t>
      </w:r>
      <w:bookmarkEnd w:id="95"/>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96" w:name="_ENREF_27"/>
      <w:r>
        <w:rPr>
          <w:rFonts w:ascii="Calibri" w:hAnsi="Calibri" w:eastAsia="Times New Roman" w:cs="Calibri"/>
          <w:sz w:val="18"/>
          <w:lang w:val="en-US" w:eastAsia="zh-CN"/>
        </w:rPr>
        <w:t>27</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C. B. Do, M. S. P. Mahabhashyam, M. Brudno and S. Batzoglou, </w:t>
      </w:r>
      <w:r>
        <w:rPr>
          <w:rFonts w:ascii="Calibri" w:hAnsi="Calibri" w:eastAsia="Times New Roman" w:cs="Calibri"/>
          <w:i/>
          <w:sz w:val="18"/>
          <w:lang w:val="en-US" w:eastAsia="zh-CN"/>
        </w:rPr>
        <w:t>Genome Res.</w:t>
      </w:r>
      <w:r>
        <w:rPr>
          <w:rFonts w:ascii="Calibri" w:hAnsi="Calibri" w:eastAsia="Times New Roman" w:cs="Calibri"/>
          <w:sz w:val="18"/>
          <w:lang w:val="en-US" w:eastAsia="zh-CN"/>
        </w:rPr>
        <w:t xml:space="preserve">, 2005, </w:t>
      </w:r>
      <w:r>
        <w:rPr>
          <w:rFonts w:ascii="Calibri" w:hAnsi="Calibri" w:eastAsia="Times New Roman" w:cs="Calibri"/>
          <w:b/>
          <w:sz w:val="18"/>
          <w:lang w:val="en-US" w:eastAsia="zh-CN"/>
        </w:rPr>
        <w:t>15</w:t>
      </w:r>
      <w:r>
        <w:rPr>
          <w:rFonts w:ascii="Calibri" w:hAnsi="Calibri" w:eastAsia="Times New Roman" w:cs="Calibri"/>
          <w:sz w:val="18"/>
          <w:lang w:val="en-US" w:eastAsia="zh-CN"/>
        </w:rPr>
        <w:t>, 330–340.</w:t>
      </w:r>
      <w:bookmarkEnd w:id="96"/>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97" w:name="_ENREF_28"/>
      <w:r>
        <w:rPr>
          <w:rFonts w:ascii="Calibri" w:hAnsi="Calibri" w:eastAsia="Times New Roman" w:cs="Calibri"/>
          <w:sz w:val="18"/>
          <w:lang w:val="en-US" w:eastAsia="zh-CN"/>
        </w:rPr>
        <w:t>28</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S. Guindon, F. Delsuc, J. F. Dufayard and O. Gascuel, in </w:t>
      </w:r>
      <w:r>
        <w:rPr>
          <w:rFonts w:ascii="Calibri" w:hAnsi="Calibri" w:eastAsia="Times New Roman" w:cs="Calibri"/>
          <w:i/>
          <w:sz w:val="18"/>
          <w:lang w:val="en-US" w:eastAsia="zh-CN"/>
        </w:rPr>
        <w:t>Bioinformatics for DNA Sequence Analysis</w:t>
      </w:r>
      <w:r>
        <w:rPr>
          <w:rFonts w:ascii="Calibri" w:hAnsi="Calibri" w:eastAsia="Times New Roman" w:cs="Calibri"/>
          <w:sz w:val="18"/>
          <w:lang w:val="en-US" w:eastAsia="zh-CN"/>
        </w:rPr>
        <w:t>, ed. D. Posada, Humana Press, Totowa, NJ, 2009, pp. 113–137.</w:t>
      </w:r>
      <w:bookmarkEnd w:id="97"/>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98" w:name="_ENREF_29"/>
      <w:r>
        <w:rPr>
          <w:rFonts w:ascii="Calibri" w:hAnsi="Calibri" w:eastAsia="Times New Roman" w:cs="Calibri"/>
          <w:sz w:val="18"/>
          <w:lang w:val="en-US" w:eastAsia="zh-CN"/>
        </w:rPr>
        <w:t>29</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I. Abe and H. Morita, </w:t>
      </w:r>
      <w:r>
        <w:rPr>
          <w:rFonts w:ascii="Calibri" w:hAnsi="Calibri" w:eastAsia="Times New Roman" w:cs="Calibri"/>
          <w:i/>
          <w:sz w:val="18"/>
          <w:lang w:val="en-US" w:eastAsia="zh-CN"/>
        </w:rPr>
        <w:t>Nat. Prod. Rep.</w:t>
      </w:r>
      <w:r>
        <w:rPr>
          <w:rFonts w:ascii="Calibri" w:hAnsi="Calibri" w:eastAsia="Times New Roman" w:cs="Calibri"/>
          <w:sz w:val="18"/>
          <w:lang w:val="en-US" w:eastAsia="zh-CN"/>
        </w:rPr>
        <w:t xml:space="preserve">, 2010, </w:t>
      </w:r>
      <w:r>
        <w:rPr>
          <w:rFonts w:ascii="Calibri" w:hAnsi="Calibri" w:eastAsia="Times New Roman" w:cs="Calibri"/>
          <w:b/>
          <w:sz w:val="18"/>
          <w:lang w:val="en-US" w:eastAsia="zh-CN"/>
        </w:rPr>
        <w:t>27</w:t>
      </w:r>
      <w:r>
        <w:rPr>
          <w:rFonts w:ascii="Calibri" w:hAnsi="Calibri" w:eastAsia="Times New Roman" w:cs="Calibri"/>
          <w:sz w:val="18"/>
          <w:lang w:val="en-US" w:eastAsia="zh-CN"/>
        </w:rPr>
        <w:t>, 809–838.</w:t>
      </w:r>
      <w:bookmarkEnd w:id="98"/>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99" w:name="_ENREF_30"/>
      <w:r>
        <w:rPr>
          <w:rFonts w:ascii="Calibri" w:hAnsi="Calibri" w:eastAsia="Times New Roman" w:cs="Calibri"/>
          <w:sz w:val="18"/>
          <w:lang w:val="en-US" w:eastAsia="zh-CN"/>
        </w:rPr>
        <w:t>30</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S. S. Kim, E. Grienenberger, B. Lallemand, C. C. Colpitts, S. Y. Kim, C. d. A. Souza, P. Geoffroy, D. Heintz, D. Krahn, M. Kaiser, E. Kombrink, T. Heitz, D.-Y. Suh, M. Legrand and C. J. Douglas, </w:t>
      </w:r>
      <w:r>
        <w:rPr>
          <w:rFonts w:ascii="Calibri" w:hAnsi="Calibri" w:eastAsia="Times New Roman" w:cs="Calibri"/>
          <w:i/>
          <w:sz w:val="18"/>
          <w:lang w:val="en-US" w:eastAsia="zh-CN"/>
        </w:rPr>
        <w:t>Plant Cell</w:t>
      </w:r>
      <w:r>
        <w:rPr>
          <w:rFonts w:ascii="Calibri" w:hAnsi="Calibri" w:eastAsia="Times New Roman" w:cs="Calibri"/>
          <w:sz w:val="18"/>
          <w:lang w:val="en-US" w:eastAsia="zh-CN"/>
        </w:rPr>
        <w:t xml:space="preserve">, 2010, </w:t>
      </w:r>
      <w:r>
        <w:rPr>
          <w:rFonts w:ascii="Calibri" w:hAnsi="Calibri" w:eastAsia="Times New Roman" w:cs="Calibri"/>
          <w:b/>
          <w:sz w:val="18"/>
          <w:lang w:val="en-US" w:eastAsia="zh-CN"/>
        </w:rPr>
        <w:t>22</w:t>
      </w:r>
      <w:r>
        <w:rPr>
          <w:rFonts w:ascii="Calibri" w:hAnsi="Calibri" w:eastAsia="Times New Roman" w:cs="Calibri"/>
          <w:sz w:val="18"/>
          <w:lang w:val="en-US" w:eastAsia="zh-CN"/>
        </w:rPr>
        <w:t>, 4045–4066.</w:t>
      </w:r>
      <w:bookmarkEnd w:id="99"/>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100" w:name="_ENREF_31"/>
      <w:r>
        <w:rPr>
          <w:rFonts w:ascii="Calibri" w:hAnsi="Calibri" w:eastAsia="Times New Roman" w:cs="Calibri"/>
          <w:sz w:val="18"/>
          <w:lang w:val="en-US" w:eastAsia="zh-CN"/>
        </w:rPr>
        <w:t>31</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K. Abdel-Lateif, V. Vaissayre, H. Gherbi, C. Verries, E. Meudec, F. Perrine-Walker, V. Cheynier, S. Svistoonoff, C. Franche, D. Bogusz and V. Hocher, </w:t>
      </w:r>
      <w:r>
        <w:rPr>
          <w:rFonts w:ascii="Calibri" w:hAnsi="Calibri" w:eastAsia="Times New Roman" w:cs="Calibri"/>
          <w:i/>
          <w:sz w:val="18"/>
          <w:lang w:val="en-US" w:eastAsia="zh-CN"/>
        </w:rPr>
        <w:t>New Phytol.</w:t>
      </w:r>
      <w:r>
        <w:rPr>
          <w:rFonts w:ascii="Calibri" w:hAnsi="Calibri" w:eastAsia="Times New Roman" w:cs="Calibri"/>
          <w:sz w:val="18"/>
          <w:lang w:val="en-US" w:eastAsia="zh-CN"/>
        </w:rPr>
        <w:t xml:space="preserve">, 2013, </w:t>
      </w:r>
      <w:r>
        <w:rPr>
          <w:rFonts w:ascii="Calibri" w:hAnsi="Calibri" w:eastAsia="Times New Roman" w:cs="Calibri"/>
          <w:b/>
          <w:sz w:val="18"/>
          <w:lang w:val="en-US" w:eastAsia="zh-CN"/>
        </w:rPr>
        <w:t>199</w:t>
      </w:r>
      <w:r>
        <w:rPr>
          <w:rFonts w:ascii="Calibri" w:hAnsi="Calibri" w:eastAsia="Times New Roman" w:cs="Calibri"/>
          <w:sz w:val="18"/>
          <w:lang w:val="en-US" w:eastAsia="zh-CN"/>
        </w:rPr>
        <w:t>, 1012–1021.</w:t>
      </w:r>
      <w:bookmarkEnd w:id="100"/>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101" w:name="_ENREF_32"/>
      <w:r>
        <w:rPr>
          <w:rFonts w:ascii="Calibri" w:hAnsi="Calibri" w:eastAsia="Times New Roman" w:cs="Calibri"/>
          <w:sz w:val="18"/>
          <w:lang w:val="en-US" w:eastAsia="zh-CN"/>
        </w:rPr>
        <w:t>32</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A. P. Wasson, F. I. Pellerone and U. Mathesius, </w:t>
      </w:r>
      <w:r>
        <w:rPr>
          <w:rFonts w:ascii="Calibri" w:hAnsi="Calibri" w:eastAsia="Times New Roman" w:cs="Calibri"/>
          <w:i/>
          <w:sz w:val="18"/>
          <w:lang w:val="en-US" w:eastAsia="zh-CN"/>
        </w:rPr>
        <w:t>Plant Cell</w:t>
      </w:r>
      <w:r>
        <w:rPr>
          <w:rFonts w:ascii="Calibri" w:hAnsi="Calibri" w:eastAsia="Times New Roman" w:cs="Calibri"/>
          <w:sz w:val="18"/>
          <w:lang w:val="en-US" w:eastAsia="zh-CN"/>
        </w:rPr>
        <w:t xml:space="preserve">, 2006, </w:t>
      </w:r>
      <w:r>
        <w:rPr>
          <w:rFonts w:ascii="Calibri" w:hAnsi="Calibri" w:eastAsia="Times New Roman" w:cs="Calibri"/>
          <w:b/>
          <w:sz w:val="18"/>
          <w:lang w:val="en-US" w:eastAsia="zh-CN"/>
        </w:rPr>
        <w:t>18</w:t>
      </w:r>
      <w:r>
        <w:rPr>
          <w:rFonts w:ascii="Calibri" w:hAnsi="Calibri" w:eastAsia="Times New Roman" w:cs="Calibri"/>
          <w:sz w:val="18"/>
          <w:lang w:val="en-US" w:eastAsia="zh-CN"/>
        </w:rPr>
        <w:t>, 1617–1629.</w:t>
      </w:r>
      <w:bookmarkEnd w:id="101"/>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102" w:name="_ENREF_33"/>
      <w:r>
        <w:rPr>
          <w:rFonts w:ascii="Calibri" w:hAnsi="Calibri" w:eastAsia="Times New Roman" w:cs="Calibri"/>
          <w:sz w:val="18"/>
          <w:lang w:val="en-US" w:eastAsia="zh-CN"/>
        </w:rPr>
        <w:t>33</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Z. Chen, J. Tan, G. Yang, M. Miao, Y. Chen and T. Li, </w:t>
      </w:r>
      <w:r>
        <w:rPr>
          <w:rFonts w:ascii="Calibri" w:hAnsi="Calibri" w:eastAsia="Times New Roman" w:cs="Calibri"/>
          <w:i/>
          <w:sz w:val="18"/>
          <w:lang w:val="en-US" w:eastAsia="zh-CN"/>
        </w:rPr>
        <w:t>Phytochem. Lett.</w:t>
      </w:r>
      <w:r>
        <w:rPr>
          <w:rFonts w:ascii="Calibri" w:hAnsi="Calibri" w:eastAsia="Times New Roman" w:cs="Calibri"/>
          <w:sz w:val="18"/>
          <w:lang w:val="en-US" w:eastAsia="zh-CN"/>
        </w:rPr>
        <w:t xml:space="preserve">, 2012, </w:t>
      </w:r>
      <w:r>
        <w:rPr>
          <w:rFonts w:ascii="Calibri" w:hAnsi="Calibri" w:eastAsia="Times New Roman" w:cs="Calibri"/>
          <w:b/>
          <w:sz w:val="18"/>
          <w:lang w:val="en-US" w:eastAsia="zh-CN"/>
        </w:rPr>
        <w:t>5</w:t>
      </w:r>
      <w:r>
        <w:rPr>
          <w:rFonts w:ascii="Calibri" w:hAnsi="Calibri" w:eastAsia="Times New Roman" w:cs="Calibri"/>
          <w:sz w:val="18"/>
          <w:lang w:val="en-US" w:eastAsia="zh-CN"/>
        </w:rPr>
        <w:t>, 233–235.</w:t>
      </w:r>
      <w:bookmarkEnd w:id="102"/>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103" w:name="_ENREF_34"/>
      <w:r>
        <w:rPr>
          <w:rFonts w:ascii="Calibri" w:hAnsi="Calibri" w:eastAsia="Times New Roman" w:cs="Calibri"/>
          <w:sz w:val="18"/>
          <w:lang w:val="en-US" w:eastAsia="zh-CN"/>
        </w:rPr>
        <w:t>34</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J. Chen, H. Leng, Y. Duan, W. Zhao, G. Yang, Y. Guo, Y. Chen and Q. Hu, </w:t>
      </w:r>
      <w:r>
        <w:rPr>
          <w:rFonts w:ascii="Calibri" w:hAnsi="Calibri" w:eastAsia="Times New Roman" w:cs="Calibri"/>
          <w:i/>
          <w:sz w:val="18"/>
          <w:lang w:val="en-US" w:eastAsia="zh-CN"/>
        </w:rPr>
        <w:t>Phytochem. Lett.</w:t>
      </w:r>
      <w:r>
        <w:rPr>
          <w:rFonts w:ascii="Calibri" w:hAnsi="Calibri" w:eastAsia="Times New Roman" w:cs="Calibri"/>
          <w:sz w:val="18"/>
          <w:lang w:val="en-US" w:eastAsia="zh-CN"/>
        </w:rPr>
        <w:t xml:space="preserve">, 2013, </w:t>
      </w:r>
      <w:r>
        <w:rPr>
          <w:rFonts w:ascii="Calibri" w:hAnsi="Calibri" w:eastAsia="Times New Roman" w:cs="Calibri"/>
          <w:b/>
          <w:sz w:val="18"/>
          <w:lang w:val="en-US" w:eastAsia="zh-CN"/>
        </w:rPr>
        <w:t>6</w:t>
      </w:r>
      <w:r>
        <w:rPr>
          <w:rFonts w:ascii="Calibri" w:hAnsi="Calibri" w:eastAsia="Times New Roman" w:cs="Calibri"/>
          <w:sz w:val="18"/>
          <w:lang w:val="en-US" w:eastAsia="zh-CN"/>
        </w:rPr>
        <w:t>, 144–147.</w:t>
      </w:r>
      <w:bookmarkEnd w:id="103"/>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104" w:name="_ENREF_35"/>
      <w:r>
        <w:rPr>
          <w:rFonts w:ascii="Calibri" w:hAnsi="Calibri" w:eastAsia="Times New Roman" w:cs="Calibri"/>
          <w:sz w:val="18"/>
          <w:lang w:val="en-US" w:eastAsia="zh-CN"/>
        </w:rPr>
        <w:t>35</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R. Mittler, S. Vanderauwera, M. Gollery and F. Van Breusegem, </w:t>
      </w:r>
      <w:r>
        <w:rPr>
          <w:rFonts w:ascii="Calibri" w:hAnsi="Calibri" w:eastAsia="Times New Roman" w:cs="Calibri"/>
          <w:i/>
          <w:sz w:val="18"/>
          <w:lang w:val="en-US" w:eastAsia="zh-CN"/>
        </w:rPr>
        <w:t>Trends Plant Sci.</w:t>
      </w:r>
      <w:r>
        <w:rPr>
          <w:rFonts w:ascii="Calibri" w:hAnsi="Calibri" w:eastAsia="Times New Roman" w:cs="Calibri"/>
          <w:sz w:val="18"/>
          <w:lang w:val="en-US" w:eastAsia="zh-CN"/>
        </w:rPr>
        <w:t xml:space="preserve">, 2004, </w:t>
      </w:r>
      <w:r>
        <w:rPr>
          <w:rFonts w:ascii="Calibri" w:hAnsi="Calibri" w:eastAsia="Times New Roman" w:cs="Calibri"/>
          <w:b/>
          <w:sz w:val="18"/>
          <w:lang w:val="en-US" w:eastAsia="zh-CN"/>
        </w:rPr>
        <w:t>9</w:t>
      </w:r>
      <w:r>
        <w:rPr>
          <w:rFonts w:ascii="Calibri" w:hAnsi="Calibri" w:eastAsia="Times New Roman" w:cs="Calibri"/>
          <w:sz w:val="18"/>
          <w:lang w:val="en-US" w:eastAsia="zh-CN"/>
        </w:rPr>
        <w:t>, 490–498.</w:t>
      </w:r>
      <w:bookmarkEnd w:id="104"/>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105" w:name="_ENREF_36"/>
      <w:r>
        <w:rPr>
          <w:rFonts w:ascii="Calibri" w:hAnsi="Calibri" w:eastAsia="Times New Roman" w:cs="Calibri"/>
          <w:sz w:val="18"/>
          <w:lang w:val="en-US" w:eastAsia="zh-CN"/>
        </w:rPr>
        <w:t>36</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C. Rice-Evans, N. Miller and G. Paganga, </w:t>
      </w:r>
      <w:r>
        <w:rPr>
          <w:rFonts w:ascii="Calibri" w:hAnsi="Calibri" w:eastAsia="Times New Roman" w:cs="Calibri"/>
          <w:i/>
          <w:sz w:val="18"/>
          <w:lang w:val="en-US" w:eastAsia="zh-CN"/>
        </w:rPr>
        <w:t>Trends Plant Sci.</w:t>
      </w:r>
      <w:r>
        <w:rPr>
          <w:rFonts w:ascii="Calibri" w:hAnsi="Calibri" w:eastAsia="Times New Roman" w:cs="Calibri"/>
          <w:sz w:val="18"/>
          <w:lang w:val="en-US" w:eastAsia="zh-CN"/>
        </w:rPr>
        <w:t xml:space="preserve">, 1997, </w:t>
      </w:r>
      <w:r>
        <w:rPr>
          <w:rFonts w:ascii="Calibri" w:hAnsi="Calibri" w:eastAsia="Times New Roman" w:cs="Calibri"/>
          <w:b/>
          <w:sz w:val="18"/>
          <w:lang w:val="en-US" w:eastAsia="zh-CN"/>
        </w:rPr>
        <w:t>2</w:t>
      </w:r>
      <w:r>
        <w:rPr>
          <w:rFonts w:ascii="Calibri" w:hAnsi="Calibri" w:eastAsia="Times New Roman" w:cs="Calibri"/>
          <w:sz w:val="18"/>
          <w:lang w:val="en-US" w:eastAsia="zh-CN"/>
        </w:rPr>
        <w:t>, 152–159.</w:t>
      </w:r>
      <w:bookmarkEnd w:id="105"/>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106" w:name="_ENREF_37"/>
      <w:r>
        <w:rPr>
          <w:rFonts w:ascii="Calibri" w:hAnsi="Calibri" w:eastAsia="Times New Roman" w:cs="Calibri"/>
          <w:sz w:val="18"/>
          <w:lang w:val="en-US" w:eastAsia="zh-CN"/>
        </w:rPr>
        <w:t>37</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M. Melidou, K. Riganakos and D. Galaris, </w:t>
      </w:r>
      <w:r>
        <w:rPr>
          <w:rFonts w:ascii="Calibri" w:hAnsi="Calibri" w:eastAsia="Times New Roman" w:cs="Calibri"/>
          <w:i/>
          <w:sz w:val="18"/>
          <w:lang w:val="en-US" w:eastAsia="zh-CN"/>
        </w:rPr>
        <w:t>Free Radic. Biol. Med.</w:t>
      </w:r>
      <w:r>
        <w:rPr>
          <w:rFonts w:ascii="Calibri" w:hAnsi="Calibri" w:eastAsia="Times New Roman" w:cs="Calibri"/>
          <w:sz w:val="18"/>
          <w:lang w:val="en-US" w:eastAsia="zh-CN"/>
        </w:rPr>
        <w:t xml:space="preserve">, 2005, </w:t>
      </w:r>
      <w:r>
        <w:rPr>
          <w:rFonts w:ascii="Calibri" w:hAnsi="Calibri" w:eastAsia="Times New Roman" w:cs="Calibri"/>
          <w:b/>
          <w:sz w:val="18"/>
          <w:lang w:val="en-US" w:eastAsia="zh-CN"/>
        </w:rPr>
        <w:t>39</w:t>
      </w:r>
      <w:r>
        <w:rPr>
          <w:rFonts w:ascii="Calibri" w:hAnsi="Calibri" w:eastAsia="Times New Roman" w:cs="Calibri"/>
          <w:sz w:val="18"/>
          <w:lang w:val="en-US" w:eastAsia="zh-CN"/>
        </w:rPr>
        <w:t>, 1591–1600.</w:t>
      </w:r>
      <w:bookmarkEnd w:id="106"/>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107" w:name="_ENREF_38"/>
      <w:r>
        <w:rPr>
          <w:rFonts w:ascii="Calibri" w:hAnsi="Calibri" w:eastAsia="Times New Roman" w:cs="Calibri"/>
          <w:sz w:val="18"/>
          <w:lang w:val="en-US" w:eastAsia="zh-CN"/>
        </w:rPr>
        <w:t>38</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G. Agati and M. Tattini, </w:t>
      </w:r>
      <w:r>
        <w:rPr>
          <w:rFonts w:ascii="Calibri" w:hAnsi="Calibri" w:eastAsia="Times New Roman" w:cs="Calibri"/>
          <w:i/>
          <w:sz w:val="18"/>
          <w:lang w:val="en-US" w:eastAsia="zh-CN"/>
        </w:rPr>
        <w:t>New Phytol.</w:t>
      </w:r>
      <w:r>
        <w:rPr>
          <w:rFonts w:ascii="Calibri" w:hAnsi="Calibri" w:eastAsia="Times New Roman" w:cs="Calibri"/>
          <w:sz w:val="18"/>
          <w:lang w:val="en-US" w:eastAsia="zh-CN"/>
        </w:rPr>
        <w:t xml:space="preserve">, 2010, </w:t>
      </w:r>
      <w:r>
        <w:rPr>
          <w:rFonts w:ascii="Calibri" w:hAnsi="Calibri" w:eastAsia="Times New Roman" w:cs="Calibri"/>
          <w:b/>
          <w:sz w:val="18"/>
          <w:lang w:val="en-US" w:eastAsia="zh-CN"/>
        </w:rPr>
        <w:t>186</w:t>
      </w:r>
      <w:r>
        <w:rPr>
          <w:rFonts w:ascii="Calibri" w:hAnsi="Calibri" w:eastAsia="Times New Roman" w:cs="Calibri"/>
          <w:sz w:val="18"/>
          <w:lang w:val="en-US" w:eastAsia="zh-CN"/>
        </w:rPr>
        <w:t>, 786–793.</w:t>
      </w:r>
      <w:bookmarkEnd w:id="107"/>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108" w:name="_ENREF_39"/>
      <w:r>
        <w:rPr>
          <w:rFonts w:ascii="Calibri" w:hAnsi="Calibri" w:eastAsia="Times New Roman" w:cs="Calibri"/>
          <w:sz w:val="18"/>
          <w:lang w:val="en-US" w:eastAsia="zh-CN"/>
        </w:rPr>
        <w:t>39</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L. Jaakola and A. Hohtola, </w:t>
      </w:r>
      <w:r>
        <w:rPr>
          <w:rFonts w:ascii="Calibri" w:hAnsi="Calibri" w:eastAsia="Times New Roman" w:cs="Calibri"/>
          <w:i/>
          <w:sz w:val="18"/>
          <w:lang w:val="en-US" w:eastAsia="zh-CN"/>
        </w:rPr>
        <w:t>Plant Cell Environ.</w:t>
      </w:r>
      <w:r>
        <w:rPr>
          <w:rFonts w:ascii="Calibri" w:hAnsi="Calibri" w:eastAsia="Times New Roman" w:cs="Calibri"/>
          <w:sz w:val="18"/>
          <w:lang w:val="en-US" w:eastAsia="zh-CN"/>
        </w:rPr>
        <w:t xml:space="preserve">, 2010, </w:t>
      </w:r>
      <w:r>
        <w:rPr>
          <w:rFonts w:ascii="Calibri" w:hAnsi="Calibri" w:eastAsia="Times New Roman" w:cs="Calibri"/>
          <w:b/>
          <w:sz w:val="18"/>
          <w:lang w:val="en-US" w:eastAsia="zh-CN"/>
        </w:rPr>
        <w:t>33</w:t>
      </w:r>
      <w:r>
        <w:rPr>
          <w:rFonts w:ascii="Calibri" w:hAnsi="Calibri" w:eastAsia="Times New Roman" w:cs="Calibri"/>
          <w:sz w:val="18"/>
          <w:lang w:val="en-US" w:eastAsia="zh-CN"/>
        </w:rPr>
        <w:t>, 1239–1247.</w:t>
      </w:r>
      <w:bookmarkEnd w:id="108"/>
    </w:p>
    <w:p>
      <w:pPr>
        <w:widowControl w:val="0"/>
        <w:adjustRightInd w:val="0"/>
        <w:snapToGrid w:val="0"/>
        <w:spacing w:after="0" w:line="200" w:lineRule="atLeast"/>
        <w:ind w:left="284" w:hanging="284"/>
        <w:jc w:val="both"/>
        <w:textAlignment w:val="baseline"/>
        <w:rPr>
          <w:rFonts w:ascii="Calibri" w:hAnsi="Calibri" w:eastAsia="Times New Roman" w:cs="Calibri"/>
          <w:sz w:val="18"/>
          <w:lang w:val="en-US" w:eastAsia="zh-CN"/>
        </w:rPr>
      </w:pPr>
      <w:bookmarkStart w:id="109" w:name="_ENREF_40"/>
      <w:r>
        <w:rPr>
          <w:rFonts w:ascii="Calibri" w:hAnsi="Calibri" w:eastAsia="Times New Roman" w:cs="Calibri"/>
          <w:sz w:val="18"/>
          <w:lang w:val="en-US" w:eastAsia="zh-CN"/>
        </w:rPr>
        <w:t>40</w:t>
      </w:r>
      <w:r>
        <w:rPr>
          <w:rFonts w:ascii="Calibri" w:hAnsi="Calibri" w:eastAsia="Times New Roman" w:cs="Calibri"/>
          <w:sz w:val="18"/>
          <w:lang w:val="en-US" w:eastAsia="zh-CN"/>
        </w:rPr>
        <w:tab/>
      </w:r>
      <w:r>
        <w:rPr>
          <w:rFonts w:ascii="Calibri" w:hAnsi="Calibri" w:eastAsia="Times New Roman" w:cs="Calibri"/>
          <w:sz w:val="18"/>
          <w:lang w:val="en-US" w:eastAsia="zh-CN"/>
        </w:rPr>
        <w:t xml:space="preserve">R. S. Dhindsa and W. Matowe, </w:t>
      </w:r>
      <w:r>
        <w:rPr>
          <w:rFonts w:ascii="Calibri" w:hAnsi="Calibri" w:eastAsia="Times New Roman" w:cs="Calibri"/>
          <w:i/>
          <w:sz w:val="18"/>
          <w:lang w:val="en-US" w:eastAsia="zh-CN"/>
        </w:rPr>
        <w:t>J. Exp. Bot.</w:t>
      </w:r>
      <w:r>
        <w:rPr>
          <w:rFonts w:ascii="Calibri" w:hAnsi="Calibri" w:eastAsia="Times New Roman" w:cs="Calibri"/>
          <w:sz w:val="18"/>
          <w:lang w:val="en-US" w:eastAsia="zh-CN"/>
        </w:rPr>
        <w:t xml:space="preserve">, 1981, </w:t>
      </w:r>
      <w:r>
        <w:rPr>
          <w:rFonts w:ascii="Calibri" w:hAnsi="Calibri" w:eastAsia="Times New Roman" w:cs="Calibri"/>
          <w:b/>
          <w:sz w:val="18"/>
          <w:lang w:val="en-US" w:eastAsia="zh-CN"/>
        </w:rPr>
        <w:t>32</w:t>
      </w:r>
      <w:r>
        <w:rPr>
          <w:rFonts w:ascii="Calibri" w:hAnsi="Calibri" w:eastAsia="Times New Roman" w:cs="Calibri"/>
          <w:sz w:val="18"/>
          <w:lang w:val="en-US" w:eastAsia="zh-CN"/>
        </w:rPr>
        <w:t>, 79–91.</w:t>
      </w:r>
      <w:bookmarkEnd w:id="109"/>
    </w:p>
    <w:p>
      <w:pPr>
        <w:pStyle w:val="44"/>
        <w:numPr>
          <w:ilvl w:val="0"/>
          <w:numId w:val="0"/>
        </w:numPr>
      </w:pPr>
      <w:r>
        <w:rPr>
          <w:rFonts w:ascii="Times New Roman" w:hAnsi="Times New Roman" w:eastAsia="宋体"/>
          <w:w w:val="100"/>
          <w:sz w:val="24"/>
          <w:szCs w:val="24"/>
          <w:lang w:val="en-US" w:eastAsia="zh-CN"/>
        </w:rPr>
        <w:fldChar w:fldCharType="end"/>
      </w:r>
    </w:p>
    <w:sectPr>
      <w:type w:val="continuous"/>
      <w:pgSz w:w="11907" w:h="16840"/>
      <w:pgMar w:top="1009" w:right="851" w:bottom="1758" w:left="851" w:header="851" w:footer="1049" w:gutter="0"/>
      <w:cols w:space="227" w:num="2"/>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CBD50E9-047C-42CC-91C1-2691DC1F0564}"/>
  </w:font>
  <w:font w:name="Arial">
    <w:panose1 w:val="020B0604020202020204"/>
    <w:charset w:val="01"/>
    <w:family w:val="swiss"/>
    <w:pitch w:val="default"/>
    <w:sig w:usb0="E0002EFF" w:usb1="C000785B" w:usb2="00000009" w:usb3="00000000" w:csb0="400001FF" w:csb1="FFFF0000"/>
    <w:embedRegular r:id="rId2" w:fontKey="{EC2910F1-98F9-44D6-BC1F-ACD674F508AD}"/>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3" w:fontKey="{04B2344B-0184-4EE0-88FE-B2D1505397D6}"/>
  </w:font>
  <w:font w:name="Symbol">
    <w:panose1 w:val="05050102010706020507"/>
    <w:charset w:val="02"/>
    <w:family w:val="roman"/>
    <w:pitch w:val="default"/>
    <w:sig w:usb0="00000000" w:usb1="00000000" w:usb2="00000000" w:usb3="00000000" w:csb0="80000000" w:csb1="00000000"/>
    <w:embedRegular r:id="rId4" w:fontKey="{BF720FEB-2D17-41D5-BFDC-3736433C1C6C}"/>
  </w:font>
  <w:font w:name="Calibri">
    <w:panose1 w:val="020F0502020204030204"/>
    <w:charset w:val="00"/>
    <w:family w:val="swiss"/>
    <w:pitch w:val="default"/>
    <w:sig w:usb0="E0002EFF" w:usb1="C000247B" w:usb2="00000009" w:usb3="00000000" w:csb0="200001FF" w:csb1="00000000"/>
    <w:embedRegular r:id="rId5" w:fontKey="{C5613140-FFCD-4FF8-BB5E-93FE82BDFDE3}"/>
  </w:font>
  <w:font w:name="Cambria">
    <w:panose1 w:val="02040503050406030204"/>
    <w:charset w:val="00"/>
    <w:family w:val="roman"/>
    <w:pitch w:val="default"/>
    <w:sig w:usb0="E00006FF" w:usb1="420024FF" w:usb2="02000000" w:usb3="00000000" w:csb0="2000019F" w:csb1="00000000"/>
    <w:embedRegular r:id="rId6" w:fontKey="{68D8F1B9-9D6E-4ACA-9FB4-9D511DFB80CC}"/>
  </w:font>
  <w:font w:name="Tahoma">
    <w:panose1 w:val="020B0604030504040204"/>
    <w:charset w:val="00"/>
    <w:family w:val="swiss"/>
    <w:pitch w:val="default"/>
    <w:sig w:usb0="E1002EFF" w:usb1="C000605B" w:usb2="00000029" w:usb3="00000000" w:csb0="200101FF" w:csb1="20280000"/>
    <w:embedRegular r:id="rId7" w:fontKey="{86C0233F-0575-44B3-996A-E6B033B5DF9D}"/>
  </w:font>
  <w:font w:name="MS Mincho">
    <w:panose1 w:val="02020609040205080304"/>
    <w:charset w:val="80"/>
    <w:family w:val="modern"/>
    <w:pitch w:val="default"/>
    <w:sig w:usb0="A00002BF" w:usb1="68C7FCFB" w:usb2="00000010" w:usb3="00000000" w:csb0="4002009F" w:csb1="DFD70000"/>
    <w:embedRegular r:id="rId8" w:fontKey="{68ABA308-BBA3-4CDF-9939-CE573A0C52C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right" w:pos="10205"/>
        <w:tab w:val="clear" w:pos="4513"/>
        <w:tab w:val="clear" w:pos="9026"/>
      </w:tabs>
      <w:spacing w:before="480"/>
      <w:rPr>
        <w:sz w:val="16"/>
        <w:szCs w:val="16"/>
      </w:rPr>
    </w:pPr>
    <w:r>
      <w:rPr>
        <w:spacing w:val="2"/>
        <w:sz w:val="16"/>
        <w:szCs w:val="16"/>
      </w:rPr>
      <w:t xml:space="preserve">This journal is </w:t>
    </w:r>
    <w:r>
      <w:rPr>
        <w:rFonts w:cstheme="minorHAnsi"/>
        <w:spacing w:val="2"/>
        <w:sz w:val="16"/>
        <w:szCs w:val="16"/>
      </w:rPr>
      <w:t>©</w:t>
    </w:r>
    <w:r>
      <w:rPr>
        <w:spacing w:val="2"/>
        <w:sz w:val="16"/>
        <w:szCs w:val="16"/>
      </w:rPr>
      <w:t xml:space="preserve"> The Royal Society of Chemistry 20xx</w:t>
    </w:r>
    <w:r>
      <w:rPr>
        <w:i/>
        <w:spacing w:val="10"/>
        <w:sz w:val="16"/>
        <w:szCs w:val="16"/>
      </w:rPr>
      <w:tab/>
    </w:r>
    <w:r>
      <w:rPr>
        <w:i/>
        <w:spacing w:val="10"/>
        <w:sz w:val="16"/>
        <w:szCs w:val="16"/>
      </w:rPr>
      <w:t>J. Name</w:t>
    </w:r>
    <w:r>
      <w:rPr>
        <w:spacing w:val="10"/>
        <w:sz w:val="16"/>
        <w:szCs w:val="16"/>
      </w:rPr>
      <w:t xml:space="preserve">., 2013, </w:t>
    </w:r>
    <w:r>
      <w:rPr>
        <w:b/>
        <w:spacing w:val="10"/>
        <w:sz w:val="16"/>
        <w:szCs w:val="16"/>
      </w:rPr>
      <w:t>00</w:t>
    </w:r>
    <w:r>
      <w:rPr>
        <w:spacing w:val="10"/>
        <w:sz w:val="16"/>
        <w:szCs w:val="16"/>
      </w:rPr>
      <w:t xml:space="preserve">, 1-3 | </w:t>
    </w:r>
    <w:r>
      <w:rPr>
        <w:b/>
        <w:spacing w:val="10"/>
        <w:sz w:val="16"/>
        <w:szCs w:val="16"/>
      </w:rPr>
      <w:fldChar w:fldCharType="begin"/>
    </w:r>
    <w:r>
      <w:rPr>
        <w:b/>
        <w:spacing w:val="10"/>
        <w:sz w:val="16"/>
        <w:szCs w:val="16"/>
      </w:rPr>
      <w:instrText xml:space="preserve"> PAGE   \* MERGEFORMAT </w:instrText>
    </w:r>
    <w:r>
      <w:rPr>
        <w:b/>
        <w:spacing w:val="10"/>
        <w:sz w:val="16"/>
        <w:szCs w:val="16"/>
      </w:rPr>
      <w:fldChar w:fldCharType="separate"/>
    </w:r>
    <w:r>
      <w:rPr>
        <w:b/>
        <w:spacing w:val="10"/>
        <w:sz w:val="16"/>
        <w:szCs w:val="16"/>
      </w:rPr>
      <w:t>2</w:t>
    </w:r>
    <w:r>
      <w:rPr>
        <w:b/>
        <w:spacing w:val="10"/>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right" w:pos="10206"/>
        <w:tab w:val="clear" w:pos="4513"/>
        <w:tab w:val="clear" w:pos="9026"/>
      </w:tabs>
      <w:spacing w:before="480"/>
      <w:rPr>
        <w:spacing w:val="10"/>
        <w:sz w:val="16"/>
        <w:szCs w:val="16"/>
      </w:rPr>
    </w:pPr>
    <w:r>
      <w:rPr>
        <w:b/>
        <w:spacing w:val="10"/>
        <w:sz w:val="16"/>
        <w:szCs w:val="16"/>
      </w:rPr>
      <w:fldChar w:fldCharType="begin"/>
    </w:r>
    <w:r>
      <w:rPr>
        <w:b/>
        <w:spacing w:val="10"/>
        <w:sz w:val="16"/>
        <w:szCs w:val="16"/>
      </w:rPr>
      <w:instrText xml:space="preserve"> PAGE   \* MERGEFORMAT </w:instrText>
    </w:r>
    <w:r>
      <w:rPr>
        <w:b/>
        <w:spacing w:val="10"/>
        <w:sz w:val="16"/>
        <w:szCs w:val="16"/>
      </w:rPr>
      <w:fldChar w:fldCharType="separate"/>
    </w:r>
    <w:r>
      <w:rPr>
        <w:b/>
        <w:spacing w:val="10"/>
        <w:sz w:val="16"/>
        <w:szCs w:val="16"/>
      </w:rPr>
      <w:t>4</w:t>
    </w:r>
    <w:r>
      <w:rPr>
        <w:b/>
        <w:spacing w:val="10"/>
        <w:sz w:val="16"/>
        <w:szCs w:val="16"/>
      </w:rPr>
      <w:fldChar w:fldCharType="end"/>
    </w:r>
    <w:r>
      <w:rPr>
        <w:spacing w:val="10"/>
        <w:sz w:val="16"/>
        <w:szCs w:val="16"/>
      </w:rPr>
      <w:t xml:space="preserve"> | </w:t>
    </w:r>
    <w:r>
      <w:rPr>
        <w:i/>
        <w:spacing w:val="10"/>
        <w:sz w:val="16"/>
        <w:szCs w:val="16"/>
      </w:rPr>
      <w:t>J. Name</w:t>
    </w:r>
    <w:r>
      <w:rPr>
        <w:spacing w:val="10"/>
        <w:sz w:val="16"/>
        <w:szCs w:val="16"/>
      </w:rPr>
      <w:t xml:space="preserve">., 2012, </w:t>
    </w:r>
    <w:r>
      <w:rPr>
        <w:b/>
        <w:spacing w:val="10"/>
        <w:sz w:val="16"/>
        <w:szCs w:val="16"/>
      </w:rPr>
      <w:t>00</w:t>
    </w:r>
    <w:r>
      <w:rPr>
        <w:spacing w:val="10"/>
        <w:sz w:val="16"/>
        <w:szCs w:val="16"/>
      </w:rPr>
      <w:t>, 1-3</w:t>
    </w:r>
    <w:r>
      <w:rPr>
        <w:spacing w:val="10"/>
        <w:sz w:val="16"/>
        <w:szCs w:val="16"/>
      </w:rPr>
      <w:tab/>
    </w:r>
    <w:r>
      <w:rPr>
        <w:spacing w:val="2"/>
        <w:sz w:val="16"/>
        <w:szCs w:val="16"/>
      </w:rPr>
      <w:t xml:space="preserve">This journal is </w:t>
    </w:r>
    <w:r>
      <w:rPr>
        <w:rFonts w:cstheme="minorHAnsi"/>
        <w:spacing w:val="2"/>
        <w:sz w:val="16"/>
        <w:szCs w:val="16"/>
      </w:rPr>
      <w:t>©</w:t>
    </w:r>
    <w:r>
      <w:rPr>
        <w:spacing w:val="2"/>
        <w:sz w:val="16"/>
        <w:szCs w:val="16"/>
      </w:rPr>
      <w:t xml:space="preserve"> The Royal Society of Chemistry 20xx</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right" w:pos="10206"/>
        <w:tab w:val="clear" w:pos="4513"/>
        <w:tab w:val="clear" w:pos="9026"/>
      </w:tabs>
      <w:spacing w:before="480"/>
      <w:rPr>
        <w:sz w:val="16"/>
        <w:szCs w:val="16"/>
      </w:rPr>
    </w:pPr>
    <w:r>
      <w:rPr>
        <w:lang w:val="en-US" w:eastAsia="zh-CN"/>
      </w:rPr>
      <mc:AlternateContent>
        <mc:Choice Requires="wps">
          <w:drawing>
            <wp:anchor distT="0" distB="0" distL="114300" distR="114300" simplePos="0" relativeHeight="251664384" behindDoc="0" locked="0" layoutInCell="1" allowOverlap="1">
              <wp:simplePos x="0" y="0"/>
              <wp:positionH relativeFrom="column">
                <wp:align>center</wp:align>
              </wp:positionH>
              <wp:positionV relativeFrom="page">
                <wp:align>bottom</wp:align>
              </wp:positionV>
              <wp:extent cx="7700645" cy="396240"/>
              <wp:effectExtent l="0" t="0" r="0" b="4445"/>
              <wp:wrapNone/>
              <wp:docPr id="1" name="Text Box 2"/>
              <wp:cNvGraphicFramePr/>
              <a:graphic xmlns:a="http://schemas.openxmlformats.org/drawingml/2006/main">
                <a:graphicData uri="http://schemas.microsoft.com/office/word/2010/wordprocessingShape">
                  <wps:wsp>
                    <wps:cNvSpPr txBox="1">
                      <a:spLocks noChangeArrowheads="1"/>
                    </wps:cNvSpPr>
                    <wps:spPr bwMode="auto">
                      <a:xfrm>
                        <a:off x="0" y="0"/>
                        <a:ext cx="7700400" cy="396000"/>
                      </a:xfrm>
                      <a:prstGeom prst="rect">
                        <a:avLst/>
                      </a:prstGeom>
                      <a:solidFill>
                        <a:schemeClr val="bg1">
                          <a:lumMod val="65000"/>
                        </a:schemeClr>
                      </a:solidFill>
                      <a:ln w="9525">
                        <a:noFill/>
                        <a:miter lim="800000"/>
                      </a:ln>
                    </wps:spPr>
                    <wps:txbx>
                      <w:txbxContent>
                        <w:p>
                          <w:pPr>
                            <w:spacing w:after="0"/>
                            <w:jc w:val="center"/>
                            <w:rPr>
                              <w:color w:val="FFFFFF" w:themeColor="background1"/>
                              <w14:textFill>
                                <w14:solidFill>
                                  <w14:schemeClr w14:val="bg1"/>
                                </w14:solidFill>
                              </w14:textFill>
                            </w:rPr>
                          </w:pPr>
                          <w:r>
                            <w:rPr>
                              <w:color w:val="FFFFFF" w:themeColor="background1"/>
                              <w14:textFill>
                                <w14:solidFill>
                                  <w14:schemeClr w14:val="bg1"/>
                                </w14:solidFill>
                              </w14:textFill>
                            </w:rPr>
                            <w:t>Please do not adjust margins</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height:31.2pt;width:606.35pt;mso-position-horizontal:center;mso-position-vertical:bottom;mso-position-vertical-relative:page;z-index:251664384;v-text-anchor:middle;mso-width-relative:page;mso-height-relative:page;" fillcolor="#A6A6A6 [2092]" filled="t" stroked="f" coordsize="21600,21600" o:gfxdata="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0NjfttIAAAAFAQAADwAAAAAA&#10;AAABACAAAAAiAAAAZHJzL2Rvd25yZXYueG1sUEsBAhQAFAAAAAgAh07iQHhdJ0cZAgAAJwQAAA4A&#10;AAAAAAAAAQAgAAAAIQEAAGRycy9lMm9Eb2MueG1sUEsFBgAAAAAGAAYAWQEAAKwFAAAAAA==&#10;">
              <v:fill on="t" focussize="0,0"/>
              <v:stroke on="f" miterlimit="8" joinstyle="miter"/>
              <v:imagedata o:title=""/>
              <o:lock v:ext="edit" aspectratio="f"/>
              <v:textbox>
                <w:txbxContent>
                  <w:p>
                    <w:pPr>
                      <w:spacing w:after="0"/>
                      <w:jc w:val="center"/>
                      <w:rPr>
                        <w:color w:val="FFFFFF" w:themeColor="background1"/>
                        <w14:textFill>
                          <w14:solidFill>
                            <w14:schemeClr w14:val="bg1"/>
                          </w14:solidFill>
                        </w14:textFill>
                      </w:rPr>
                    </w:pPr>
                    <w:r>
                      <w:rPr>
                        <w:color w:val="FFFFFF" w:themeColor="background1"/>
                        <w14:textFill>
                          <w14:solidFill>
                            <w14:schemeClr w14:val="bg1"/>
                          </w14:solidFill>
                        </w14:textFill>
                      </w:rPr>
                      <w:t>Please do not adjust margins</w:t>
                    </w:r>
                  </w:p>
                </w:txbxContent>
              </v:textbox>
            </v:shape>
          </w:pict>
        </mc:Fallback>
      </mc:AlternateContent>
    </w:r>
    <w:r>
      <w:rPr>
        <w:i/>
        <w:sz w:val="16"/>
        <w:szCs w:val="16"/>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right" w:pos="10206"/>
        <w:tab w:val="clear" w:pos="4513"/>
        <w:tab w:val="clear" w:pos="9026"/>
      </w:tabs>
      <w:spacing w:after="240"/>
      <w:rPr>
        <w:rFonts w:cstheme="minorHAnsi"/>
        <w:b/>
        <w:color w:val="999999"/>
        <w:sz w:val="20"/>
        <w:szCs w:val="20"/>
      </w:rPr>
    </w:pPr>
    <w:r>
      <w:rPr>
        <w:lang w:val="en-US" w:eastAsia="zh-CN"/>
      </w:rPr>
      <mc:AlternateContent>
        <mc:Choice Requires="wps">
          <w:drawing>
            <wp:anchor distT="0" distB="0" distL="114300" distR="114300" simplePos="0" relativeHeight="251672576" behindDoc="0" locked="0" layoutInCell="1" allowOverlap="1">
              <wp:simplePos x="0" y="0"/>
              <wp:positionH relativeFrom="column">
                <wp:align>center</wp:align>
              </wp:positionH>
              <wp:positionV relativeFrom="page">
                <wp:align>bottom</wp:align>
              </wp:positionV>
              <wp:extent cx="7700645" cy="399415"/>
              <wp:effectExtent l="0" t="0" r="0" b="635"/>
              <wp:wrapNone/>
              <wp:docPr id="5" name="Text Box 2"/>
              <wp:cNvGraphicFramePr/>
              <a:graphic xmlns:a="http://schemas.openxmlformats.org/drawingml/2006/main">
                <a:graphicData uri="http://schemas.microsoft.com/office/word/2010/wordprocessingShape">
                  <wps:wsp>
                    <wps:cNvSpPr txBox="1">
                      <a:spLocks noChangeArrowheads="1"/>
                    </wps:cNvSpPr>
                    <wps:spPr bwMode="auto">
                      <a:xfrm>
                        <a:off x="0" y="0"/>
                        <a:ext cx="7700400" cy="399600"/>
                      </a:xfrm>
                      <a:prstGeom prst="rect">
                        <a:avLst/>
                      </a:prstGeom>
                      <a:solidFill>
                        <a:schemeClr val="bg1">
                          <a:lumMod val="65000"/>
                        </a:schemeClr>
                      </a:solidFill>
                      <a:ln w="9525">
                        <a:noFill/>
                        <a:miter lim="800000"/>
                      </a:ln>
                    </wps:spPr>
                    <wps:txbx>
                      <w:txbxContent>
                        <w:p>
                          <w:pPr>
                            <w:spacing w:after="0"/>
                            <w:jc w:val="center"/>
                            <w:rPr>
                              <w:color w:val="FFFFFF" w:themeColor="background1"/>
                              <w14:textFill>
                                <w14:solidFill>
                                  <w14:schemeClr w14:val="bg1"/>
                                </w14:solidFill>
                              </w14:textFill>
                            </w:rPr>
                          </w:pPr>
                          <w:r>
                            <w:rPr>
                              <w:color w:val="FFFFFF" w:themeColor="background1"/>
                              <w14:textFill>
                                <w14:solidFill>
                                  <w14:schemeClr w14:val="bg1"/>
                                </w14:solidFill>
                              </w14:textFill>
                            </w:rPr>
                            <w:t>Please do not adjust margins</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height:31.45pt;width:606.35pt;mso-position-horizontal:center;mso-position-vertical:bottom;mso-position-vertical-relative:page;z-index:251672576;v-text-anchor:middle;mso-width-relative:page;mso-height-relative:page;" fillcolor="#A6A6A6 [2092]" filled="t" stroked="f" coordsize="21600,21600" o:gfxdata="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vSPSB0gAAAAUBAAAPAAAA&#10;AAAAAAEAIAAAACIAAABkcnMvZG93bnJldi54bWxQSwECFAAUAAAACACHTuJAI7BLwBsCAAAnBAAA&#10;DgAAAAAAAAABACAAAAAhAQAAZHJzL2Uyb0RvYy54bWxQSwUGAAAAAAYABgBZAQAArgUAAAAA&#10;">
              <v:fill on="t" focussize="0,0"/>
              <v:stroke on="f" miterlimit="8" joinstyle="miter"/>
              <v:imagedata o:title=""/>
              <o:lock v:ext="edit" aspectratio="f"/>
              <v:textbox>
                <w:txbxContent>
                  <w:p>
                    <w:pPr>
                      <w:spacing w:after="0"/>
                      <w:jc w:val="center"/>
                      <w:rPr>
                        <w:color w:val="FFFFFF" w:themeColor="background1"/>
                        <w14:textFill>
                          <w14:solidFill>
                            <w14:schemeClr w14:val="bg1"/>
                          </w14:solidFill>
                        </w14:textFill>
                      </w:rPr>
                    </w:pPr>
                    <w:r>
                      <w:rPr>
                        <w:color w:val="FFFFFF" w:themeColor="background1"/>
                        <w14:textFill>
                          <w14:solidFill>
                            <w14:schemeClr w14:val="bg1"/>
                          </w14:solidFill>
                        </w14:textFill>
                      </w:rPr>
                      <w:t>Please do not adjust margins</w:t>
                    </w:r>
                  </w:p>
                </w:txbxContent>
              </v:textbox>
            </v:shape>
          </w:pict>
        </mc:Fallback>
      </mc:AlternateContent>
    </w:r>
    <w:r>
      <w:rPr>
        <w:rFonts w:hint="eastAsia" w:cstheme="minorHAnsi"/>
        <w:b/>
        <w:color w:val="999999"/>
        <w:sz w:val="20"/>
        <w:szCs w:val="20"/>
        <w:lang w:eastAsia="zh-CN"/>
      </w:rPr>
      <w:t>RSC Advances</w:t>
    </w:r>
    <w:r>
      <w:rPr>
        <w:lang w:val="en-US" w:eastAsia="zh-CN"/>
      </w:rPr>
      <mc:AlternateContent>
        <mc:Choice Requires="wps">
          <w:drawing>
            <wp:anchor distT="0" distB="0" distL="114300" distR="114300" simplePos="0" relativeHeight="251670528" behindDoc="0" locked="0" layoutInCell="1" allowOverlap="1">
              <wp:simplePos x="0" y="0"/>
              <wp:positionH relativeFrom="column">
                <wp:align>center</wp:align>
              </wp:positionH>
              <wp:positionV relativeFrom="page">
                <wp:align>top</wp:align>
              </wp:positionV>
              <wp:extent cx="7700645" cy="42481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7700400" cy="424800"/>
                      </a:xfrm>
                      <a:prstGeom prst="rect">
                        <a:avLst/>
                      </a:prstGeom>
                      <a:solidFill>
                        <a:schemeClr val="bg1">
                          <a:lumMod val="65000"/>
                        </a:schemeClr>
                      </a:solidFill>
                      <a:ln w="9525">
                        <a:noFill/>
                        <a:miter lim="800000"/>
                      </a:ln>
                    </wps:spPr>
                    <wps:txbx>
                      <w:txbxContent>
                        <w:p>
                          <w:pPr>
                            <w:spacing w:after="0"/>
                            <w:jc w:val="center"/>
                            <w:rPr>
                              <w:color w:val="FFFFFF" w:themeColor="background1"/>
                              <w14:textFill>
                                <w14:solidFill>
                                  <w14:schemeClr w14:val="bg1"/>
                                </w14:solidFill>
                              </w14:textFill>
                            </w:rPr>
                          </w:pPr>
                          <w:r>
                            <w:rPr>
                              <w:color w:val="FFFFFF" w:themeColor="background1"/>
                              <w14:textFill>
                                <w14:solidFill>
                                  <w14:schemeClr w14:val="bg1"/>
                                </w14:solidFill>
                              </w14:textFill>
                            </w:rPr>
                            <w:t>Please do not adjust margins</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height:33.45pt;width:606.35pt;mso-position-horizontal:center;mso-position-vertical:top;mso-position-vertical-relative:page;z-index:251670528;v-text-anchor:middle;mso-width-relative:page;mso-height-relative:page;" fillcolor="#A6A6A6 [2092]" filled="t" stroked="f" coordsize="21600,21600" o:gfxdata="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ajGc/SAAAABQEAAA8AAAAA&#10;AAAAAQAgAAAAIgAAAGRycy9kb3ducmV2LnhtbFBLAQIUABQAAAAIAIdO4kCh5EXCGgIAACcEAAAO&#10;AAAAAAAAAAEAIAAAACEBAABkcnMvZTJvRG9jLnhtbFBLBQYAAAAABgAGAFkBAACtBQAAAAA=&#10;">
              <v:fill on="t" focussize="0,0"/>
              <v:stroke on="f" miterlimit="8" joinstyle="miter"/>
              <v:imagedata o:title=""/>
              <o:lock v:ext="edit" aspectratio="f"/>
              <v:textbox>
                <w:txbxContent>
                  <w:p>
                    <w:pPr>
                      <w:spacing w:after="0"/>
                      <w:jc w:val="center"/>
                      <w:rPr>
                        <w:color w:val="FFFFFF" w:themeColor="background1"/>
                        <w14:textFill>
                          <w14:solidFill>
                            <w14:schemeClr w14:val="bg1"/>
                          </w14:solidFill>
                        </w14:textFill>
                      </w:rPr>
                    </w:pPr>
                    <w:r>
                      <w:rPr>
                        <w:color w:val="FFFFFF" w:themeColor="background1"/>
                        <w14:textFill>
                          <w14:solidFill>
                            <w14:schemeClr w14:val="bg1"/>
                          </w14:solidFill>
                        </w14:textFill>
                      </w:rPr>
                      <w:t>Please do not adjust margins</w:t>
                    </w:r>
                  </w:p>
                </w:txbxContent>
              </v:textbox>
            </v:shape>
          </w:pict>
        </mc:Fallback>
      </mc:AlternateContent>
    </w:r>
    <w:r>
      <w:rPr>
        <w:rFonts w:cstheme="minorHAnsi"/>
        <w:b/>
        <w:color w:val="999999"/>
        <w:sz w:val="20"/>
        <w:szCs w:val="20"/>
      </w:rPr>
      <w:ptab w:relativeTo="margin" w:alignment="right" w:leader="none"/>
    </w:r>
    <w:r>
      <w:rPr>
        <w:rFonts w:cstheme="minorHAnsi"/>
        <w:b/>
        <w:color w:val="999999"/>
        <w:sz w:val="20"/>
        <w:szCs w:val="20"/>
      </w:rPr>
      <w:t xml:space="preserve"> ARTICLE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right" w:pos="10206"/>
        <w:tab w:val="clear" w:pos="4513"/>
        <w:tab w:val="clear" w:pos="9026"/>
      </w:tabs>
      <w:spacing w:after="240"/>
      <w:rPr>
        <w:rFonts w:cstheme="minorHAnsi"/>
        <w:color w:val="999999"/>
        <w:sz w:val="20"/>
        <w:szCs w:val="20"/>
      </w:rPr>
    </w:pPr>
    <w:r>
      <w:rPr>
        <w:lang w:val="en-US" w:eastAsia="zh-CN"/>
      </w:rPr>
      <mc:AlternateContent>
        <mc:Choice Requires="wps">
          <w:drawing>
            <wp:anchor distT="0" distB="0" distL="114300" distR="114300" simplePos="0" relativeHeight="251668480" behindDoc="0" locked="0" layoutInCell="1" allowOverlap="1">
              <wp:simplePos x="0" y="0"/>
              <wp:positionH relativeFrom="column">
                <wp:align>center</wp:align>
              </wp:positionH>
              <wp:positionV relativeFrom="page">
                <wp:align>bottom</wp:align>
              </wp:positionV>
              <wp:extent cx="7700645" cy="396240"/>
              <wp:effectExtent l="0" t="0" r="0" b="4445"/>
              <wp:wrapNone/>
              <wp:docPr id="3" name="Text Box 2"/>
              <wp:cNvGraphicFramePr/>
              <a:graphic xmlns:a="http://schemas.openxmlformats.org/drawingml/2006/main">
                <a:graphicData uri="http://schemas.microsoft.com/office/word/2010/wordprocessingShape">
                  <wps:wsp>
                    <wps:cNvSpPr txBox="1">
                      <a:spLocks noChangeArrowheads="1"/>
                    </wps:cNvSpPr>
                    <wps:spPr bwMode="auto">
                      <a:xfrm>
                        <a:off x="0" y="0"/>
                        <a:ext cx="7700400" cy="396000"/>
                      </a:xfrm>
                      <a:prstGeom prst="rect">
                        <a:avLst/>
                      </a:prstGeom>
                      <a:solidFill>
                        <a:schemeClr val="bg1">
                          <a:lumMod val="65000"/>
                        </a:schemeClr>
                      </a:solidFill>
                      <a:ln w="9525">
                        <a:noFill/>
                        <a:miter lim="800000"/>
                      </a:ln>
                    </wps:spPr>
                    <wps:txbx>
                      <w:txbxContent>
                        <w:p>
                          <w:pPr>
                            <w:spacing w:after="0"/>
                            <w:jc w:val="center"/>
                            <w:rPr>
                              <w:color w:val="FFFFFF" w:themeColor="background1"/>
                              <w14:textFill>
                                <w14:solidFill>
                                  <w14:schemeClr w14:val="bg1"/>
                                </w14:solidFill>
                              </w14:textFill>
                            </w:rPr>
                          </w:pPr>
                          <w:r>
                            <w:rPr>
                              <w:color w:val="FFFFFF" w:themeColor="background1"/>
                              <w14:textFill>
                                <w14:solidFill>
                                  <w14:schemeClr w14:val="bg1"/>
                                </w14:solidFill>
                              </w14:textFill>
                            </w:rPr>
                            <w:t>Please do not adjust margins</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height:31.2pt;width:606.35pt;mso-position-horizontal:center;mso-position-vertical:bottom;mso-position-vertical-relative:page;z-index:251668480;v-text-anchor:middle;mso-width-relative:page;mso-height-relative:page;" fillcolor="#A6A6A6 [2092]" filled="t" stroked="f" coordsize="21600,21600" o:gfxdata="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Q2N+20gAAAAUBAAAPAAAA&#10;AAAAAAEAIAAAACIAAABkcnMvZG93bnJldi54bWxQSwECFAAUAAAACACHTuJAzpA78BsCAAAnBAAA&#10;DgAAAAAAAAABACAAAAAhAQAAZHJzL2Uyb0RvYy54bWxQSwUGAAAAAAYABgBZAQAArgUAAAAA&#10;">
              <v:fill on="t" focussize="0,0"/>
              <v:stroke on="f" miterlimit="8" joinstyle="miter"/>
              <v:imagedata o:title=""/>
              <o:lock v:ext="edit" aspectratio="f"/>
              <v:textbox>
                <w:txbxContent>
                  <w:p>
                    <w:pPr>
                      <w:spacing w:after="0"/>
                      <w:jc w:val="center"/>
                      <w:rPr>
                        <w:color w:val="FFFFFF" w:themeColor="background1"/>
                        <w14:textFill>
                          <w14:solidFill>
                            <w14:schemeClr w14:val="bg1"/>
                          </w14:solidFill>
                        </w14:textFill>
                      </w:rPr>
                    </w:pPr>
                    <w:r>
                      <w:rPr>
                        <w:color w:val="FFFFFF" w:themeColor="background1"/>
                        <w14:textFill>
                          <w14:solidFill>
                            <w14:schemeClr w14:val="bg1"/>
                          </w14:solidFill>
                        </w14:textFill>
                      </w:rPr>
                      <w:t>Please do not adjust margins</w:t>
                    </w:r>
                  </w:p>
                </w:txbxContent>
              </v:textbox>
            </v:shape>
          </w:pict>
        </mc:Fallback>
      </mc:AlternateContent>
    </w:r>
    <w:r>
      <w:rPr>
        <w:lang w:val="en-US" w:eastAsia="zh-CN"/>
      </w:rPr>
      <mc:AlternateContent>
        <mc:Choice Requires="wps">
          <w:drawing>
            <wp:anchor distT="0" distB="0" distL="114300" distR="114300" simplePos="0" relativeHeight="251666432" behindDoc="0" locked="0" layoutInCell="1" allowOverlap="1">
              <wp:simplePos x="0" y="0"/>
              <wp:positionH relativeFrom="column">
                <wp:align>center</wp:align>
              </wp:positionH>
              <wp:positionV relativeFrom="page">
                <wp:align>top</wp:align>
              </wp:positionV>
              <wp:extent cx="7700645" cy="396240"/>
              <wp:effectExtent l="0" t="0" r="0" b="4445"/>
              <wp:wrapNone/>
              <wp:docPr id="2" name="Text Box 2"/>
              <wp:cNvGraphicFramePr/>
              <a:graphic xmlns:a="http://schemas.openxmlformats.org/drawingml/2006/main">
                <a:graphicData uri="http://schemas.microsoft.com/office/word/2010/wordprocessingShape">
                  <wps:wsp>
                    <wps:cNvSpPr txBox="1">
                      <a:spLocks noChangeArrowheads="1"/>
                    </wps:cNvSpPr>
                    <wps:spPr bwMode="auto">
                      <a:xfrm>
                        <a:off x="0" y="0"/>
                        <a:ext cx="7700400" cy="396000"/>
                      </a:xfrm>
                      <a:prstGeom prst="rect">
                        <a:avLst/>
                      </a:prstGeom>
                      <a:solidFill>
                        <a:schemeClr val="bg1">
                          <a:lumMod val="65000"/>
                        </a:schemeClr>
                      </a:solidFill>
                      <a:ln w="9525">
                        <a:noFill/>
                        <a:miter lim="800000"/>
                      </a:ln>
                    </wps:spPr>
                    <wps:txbx>
                      <w:txbxContent>
                        <w:p>
                          <w:pPr>
                            <w:spacing w:after="0"/>
                            <w:jc w:val="center"/>
                            <w:rPr>
                              <w:color w:val="FFFFFF" w:themeColor="background1"/>
                              <w14:textFill>
                                <w14:solidFill>
                                  <w14:schemeClr w14:val="bg1"/>
                                </w14:solidFill>
                              </w14:textFill>
                            </w:rPr>
                          </w:pPr>
                          <w:r>
                            <w:rPr>
                              <w:color w:val="FFFFFF" w:themeColor="background1"/>
                              <w14:textFill>
                                <w14:solidFill>
                                  <w14:schemeClr w14:val="bg1"/>
                                </w14:solidFill>
                              </w14:textFill>
                            </w:rPr>
                            <w:t>Please do not adjust margins</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height:31.2pt;width:606.35pt;mso-position-horizontal:center;mso-position-vertical:top;mso-position-vertical-relative:page;z-index:251666432;v-text-anchor:middle;mso-width-relative:page;mso-height-relative:page;" fillcolor="#A6A6A6 [2092]" filled="t" stroked="f" coordsize="21600,21600" o:gfxdata="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Q2N+20gAAAAUBAAAPAAAA&#10;AAAAAAEAIAAAACIAAABkcnMvZG93bnJldi54bWxQSwECFAAUAAAACACHTuJAFfa1qxsCAAAnBAAA&#10;DgAAAAAAAAABACAAAAAhAQAAZHJzL2Uyb0RvYy54bWxQSwUGAAAAAAYABgBZAQAArgUAAAAA&#10;">
              <v:fill on="t" focussize="0,0"/>
              <v:stroke on="f" miterlimit="8" joinstyle="miter"/>
              <v:imagedata o:title=""/>
              <o:lock v:ext="edit" aspectratio="f"/>
              <v:textbox>
                <w:txbxContent>
                  <w:p>
                    <w:pPr>
                      <w:spacing w:after="0"/>
                      <w:jc w:val="center"/>
                      <w:rPr>
                        <w:color w:val="FFFFFF" w:themeColor="background1"/>
                        <w14:textFill>
                          <w14:solidFill>
                            <w14:schemeClr w14:val="bg1"/>
                          </w14:solidFill>
                        </w14:textFill>
                      </w:rPr>
                    </w:pPr>
                    <w:r>
                      <w:rPr>
                        <w:color w:val="FFFFFF" w:themeColor="background1"/>
                        <w14:textFill>
                          <w14:solidFill>
                            <w14:schemeClr w14:val="bg1"/>
                          </w14:solidFill>
                        </w14:textFill>
                      </w:rPr>
                      <w:t>Please do not adjust margins</w:t>
                    </w:r>
                  </w:p>
                </w:txbxContent>
              </v:textbox>
            </v:shape>
          </w:pict>
        </mc:Fallback>
      </mc:AlternateContent>
    </w:r>
    <w:r>
      <w:rPr>
        <w:rFonts w:cstheme="minorHAnsi"/>
        <w:b/>
        <w:color w:val="999999"/>
        <w:sz w:val="20"/>
        <w:szCs w:val="20"/>
      </w:rPr>
      <w:t>ARTICLE</w:t>
    </w:r>
    <w:r>
      <w:rPr>
        <w:rFonts w:cstheme="minorHAnsi"/>
        <w:color w:val="999999"/>
        <w:sz w:val="20"/>
        <w:szCs w:val="20"/>
      </w:rPr>
      <w:tab/>
    </w:r>
    <w:r>
      <w:rPr>
        <w:rFonts w:cstheme="minorHAnsi"/>
        <w:b/>
        <w:color w:val="999999"/>
        <w:sz w:val="20"/>
        <w:szCs w:val="20"/>
      </w:rPr>
      <w:t>Journal Name</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hd w:val="clear" w:color="auto" w:fill="FFFFFF" w:themeFill="background1"/>
      <w:tabs>
        <w:tab w:val="right" w:pos="10205"/>
        <w:tab w:val="clear" w:pos="4513"/>
        <w:tab w:val="clear" w:pos="9026"/>
      </w:tabs>
      <w:spacing w:after="240"/>
      <w:rPr>
        <w:b/>
        <w:sz w:val="32"/>
        <w:szCs w:val="32"/>
        <w:lang w:eastAsia="en-GB"/>
      </w:rPr>
    </w:pPr>
    <w:r>
      <w:rPr>
        <w:lang w:val="en-US" w:eastAsia="zh-CN"/>
      </w:rPr>
      <mc:AlternateContent>
        <mc:Choice Requires="wps">
          <w:drawing>
            <wp:anchor distT="0" distB="0" distL="114300" distR="114300" simplePos="0" relativeHeight="251662336" behindDoc="0" locked="0" layoutInCell="1" allowOverlap="1">
              <wp:simplePos x="0" y="0"/>
              <wp:positionH relativeFrom="column">
                <wp:align>center</wp:align>
              </wp:positionH>
              <wp:positionV relativeFrom="page">
                <wp:align>top</wp:align>
              </wp:positionV>
              <wp:extent cx="7700645" cy="399415"/>
              <wp:effectExtent l="0" t="0" r="0" b="635"/>
              <wp:wrapNone/>
              <wp:docPr id="6" name="Text Box 2"/>
              <wp:cNvGraphicFramePr/>
              <a:graphic xmlns:a="http://schemas.openxmlformats.org/drawingml/2006/main">
                <a:graphicData uri="http://schemas.microsoft.com/office/word/2010/wordprocessingShape">
                  <wps:wsp>
                    <wps:cNvSpPr txBox="1">
                      <a:spLocks noChangeArrowheads="1"/>
                    </wps:cNvSpPr>
                    <wps:spPr bwMode="auto">
                      <a:xfrm>
                        <a:off x="0" y="0"/>
                        <a:ext cx="7700400" cy="399600"/>
                      </a:xfrm>
                      <a:prstGeom prst="rect">
                        <a:avLst/>
                      </a:prstGeom>
                      <a:solidFill>
                        <a:schemeClr val="bg1">
                          <a:lumMod val="65000"/>
                        </a:schemeClr>
                      </a:solidFill>
                      <a:ln w="9525">
                        <a:noFill/>
                        <a:miter lim="800000"/>
                      </a:ln>
                    </wps:spPr>
                    <wps:txbx>
                      <w:txbxContent>
                        <w:p>
                          <w:pPr>
                            <w:spacing w:after="0"/>
                            <w:jc w:val="center"/>
                            <w:rPr>
                              <w:color w:val="FFFFFF" w:themeColor="background1"/>
                              <w14:textFill>
                                <w14:solidFill>
                                  <w14:schemeClr w14:val="bg1"/>
                                </w14:solidFill>
                              </w14:textFill>
                            </w:rPr>
                          </w:pPr>
                          <w:r>
                            <w:rPr>
                              <w:color w:val="FFFFFF" w:themeColor="background1"/>
                              <w14:textFill>
                                <w14:solidFill>
                                  <w14:schemeClr w14:val="bg1"/>
                                </w14:solidFill>
                              </w14:textFill>
                            </w:rPr>
                            <w:t>Please do not adjust margins</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height:31.45pt;width:606.35pt;mso-position-horizontal:center;mso-position-vertical:top;mso-position-vertical-relative:page;z-index:251662336;v-text-anchor:middle;mso-width-relative:page;mso-height-relative:page;" fillcolor="#A6A6A6 [2092]" filled="t" stroked="f" coordsize="21600,21600" o:gfxdata="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vSPSB0gAAAAUBAAAPAAAA&#10;AAAAAAEAIAAAACIAAABkcnMvZG93bnJldi54bWxQSwECFAAUAAAACACHTuJAThvZLBsCAAAnBAAA&#10;DgAAAAAAAAABACAAAAAhAQAAZHJzL2Uyb0RvYy54bWxQSwUGAAAAAAYABgBZAQAArgUAAAAA&#10;">
              <v:fill on="t" focussize="0,0"/>
              <v:stroke on="f" miterlimit="8" joinstyle="miter"/>
              <v:imagedata o:title=""/>
              <o:lock v:ext="edit" aspectratio="f"/>
              <v:textbox>
                <w:txbxContent>
                  <w:p>
                    <w:pPr>
                      <w:spacing w:after="0"/>
                      <w:jc w:val="center"/>
                      <w:rPr>
                        <w:color w:val="FFFFFF" w:themeColor="background1"/>
                        <w14:textFill>
                          <w14:solidFill>
                            <w14:schemeClr w14:val="bg1"/>
                          </w14:solidFill>
                        </w14:textFill>
                      </w:rPr>
                    </w:pPr>
                    <w:r>
                      <w:rPr>
                        <w:color w:val="FFFFFF" w:themeColor="background1"/>
                        <w14:textFill>
                          <w14:solidFill>
                            <w14:schemeClr w14:val="bg1"/>
                          </w14:solidFill>
                        </w14:textFill>
                      </w:rPr>
                      <w:t>Please do not adjust margins</w:t>
                    </w:r>
                  </w:p>
                </w:txbxContent>
              </v:textbox>
            </v:shape>
          </w:pict>
        </mc:Fallback>
      </mc:AlternateContent>
    </w:r>
    <w:r>
      <w:rPr>
        <w:b/>
        <w:sz w:val="32"/>
        <w:szCs w:val="32"/>
      </w:rPr>
      <w:tab/>
    </w:r>
  </w:p>
  <w:p>
    <w:pPr>
      <w:pStyle w:val="8"/>
      <w:shd w:val="clear" w:color="auto" w:fill="FFFFFF" w:themeFill="background1"/>
      <w:tabs>
        <w:tab w:val="right" w:pos="10205"/>
        <w:tab w:val="clear" w:pos="4513"/>
        <w:tab w:val="clear" w:pos="9026"/>
      </w:tabs>
      <w:spacing w:after="240"/>
      <w:rPr>
        <w:b/>
        <w:sz w:val="32"/>
        <w:szCs w:val="32"/>
      </w:rPr>
    </w:pPr>
  </w:p>
  <w:p>
    <w:pPr>
      <w:pStyle w:val="8"/>
      <w:pBdr>
        <w:top w:val="single" w:color="9CB8C7" w:sz="4" w:space="9"/>
        <w:left w:val="single" w:color="9CB8C7" w:sz="4" w:space="6"/>
        <w:bottom w:val="single" w:color="9CB8C7" w:sz="4" w:space="9"/>
        <w:right w:val="single" w:color="9CB8C7" w:sz="4" w:space="6"/>
      </w:pBdr>
      <w:shd w:val="clear" w:color="auto" w:fill="9CB8C7"/>
      <w:spacing w:after="240"/>
      <w:ind w:left="170" w:right="170"/>
      <w:rPr>
        <w:rFonts w:cstheme="minorHAnsi"/>
        <w:color w:val="FFFFFF" w:themeColor="background1"/>
        <w:sz w:val="32"/>
        <w:szCs w:val="32"/>
        <w14:textFill>
          <w14:solidFill>
            <w14:schemeClr w14:val="bg1"/>
          </w14:solidFill>
        </w14:textFill>
      </w:rPr>
    </w:pPr>
    <w:r>
      <w:rPr>
        <w:rFonts w:cstheme="minorHAnsi"/>
        <w:color w:val="FFFFFF" w:themeColor="background1"/>
        <w:sz w:val="32"/>
        <w:szCs w:val="32"/>
        <w14:textFill>
          <w14:solidFill>
            <w14:schemeClr w14:val="bg1"/>
          </w14:solidFill>
        </w14:textFill>
      </w:rPr>
      <w:t>ARTICLE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2B0EBB"/>
    <w:multiLevelType w:val="multilevel"/>
    <w:tmpl w:val="3C2B0EBB"/>
    <w:lvl w:ilvl="0" w:tentative="0">
      <w:start w:val="1"/>
      <w:numFmt w:val="lowerLetter"/>
      <w:pStyle w:val="35"/>
      <w:lvlText w:val="%1."/>
      <w:lvlJc w:val="left"/>
      <w:pPr>
        <w:ind w:left="720" w:hanging="360"/>
      </w:pPr>
      <w:rPr>
        <w:rFonts w:hint="default" w:ascii="Calibri" w:hAnsi="Calibri"/>
        <w:b w:val="0"/>
        <w:i/>
        <w:vertAlign w:val="superscrip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3CC4793E"/>
    <w:multiLevelType w:val="multilevel"/>
    <w:tmpl w:val="3CC4793E"/>
    <w:lvl w:ilvl="0" w:tentative="0">
      <w:start w:val="1"/>
      <w:numFmt w:val="decimal"/>
      <w:pStyle w:val="44"/>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7"/>
  <w:embedTrueTypeFonts/>
  <w:bordersDoNotSurroundHeader w:val="1"/>
  <w:bordersDoNotSurroundFooter w:val="1"/>
  <w:documentProtection w:enforcement="0"/>
  <w:defaultTabStop w:val="284"/>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5A0"/>
    <w:rsid w:val="00005B8A"/>
    <w:rsid w:val="00022D8A"/>
    <w:rsid w:val="0003744F"/>
    <w:rsid w:val="000622D1"/>
    <w:rsid w:val="00071E41"/>
    <w:rsid w:val="00073639"/>
    <w:rsid w:val="0008403C"/>
    <w:rsid w:val="000A2670"/>
    <w:rsid w:val="000C0A9D"/>
    <w:rsid w:val="000D2FAC"/>
    <w:rsid w:val="000D5891"/>
    <w:rsid w:val="000D6963"/>
    <w:rsid w:val="000D766E"/>
    <w:rsid w:val="000E7A32"/>
    <w:rsid w:val="000F0959"/>
    <w:rsid w:val="000F3A41"/>
    <w:rsid w:val="00120227"/>
    <w:rsid w:val="00123702"/>
    <w:rsid w:val="00126027"/>
    <w:rsid w:val="00136260"/>
    <w:rsid w:val="001508E9"/>
    <w:rsid w:val="00150B55"/>
    <w:rsid w:val="001633D9"/>
    <w:rsid w:val="00171F41"/>
    <w:rsid w:val="00180ABE"/>
    <w:rsid w:val="001923AB"/>
    <w:rsid w:val="00192D58"/>
    <w:rsid w:val="001C1EB8"/>
    <w:rsid w:val="00206A82"/>
    <w:rsid w:val="00207435"/>
    <w:rsid w:val="00214BEC"/>
    <w:rsid w:val="00237C8A"/>
    <w:rsid w:val="0024022C"/>
    <w:rsid w:val="00241ACD"/>
    <w:rsid w:val="00253551"/>
    <w:rsid w:val="00270DD5"/>
    <w:rsid w:val="00271235"/>
    <w:rsid w:val="00272D6F"/>
    <w:rsid w:val="002A5421"/>
    <w:rsid w:val="002B0057"/>
    <w:rsid w:val="002C0803"/>
    <w:rsid w:val="002C251C"/>
    <w:rsid w:val="002C3D7C"/>
    <w:rsid w:val="002E5B1D"/>
    <w:rsid w:val="002F52C3"/>
    <w:rsid w:val="00352029"/>
    <w:rsid w:val="00352AA4"/>
    <w:rsid w:val="00354579"/>
    <w:rsid w:val="00356F00"/>
    <w:rsid w:val="00377481"/>
    <w:rsid w:val="00385965"/>
    <w:rsid w:val="0039440C"/>
    <w:rsid w:val="003A25C5"/>
    <w:rsid w:val="003A7E95"/>
    <w:rsid w:val="003B739C"/>
    <w:rsid w:val="003C6313"/>
    <w:rsid w:val="003D4ECA"/>
    <w:rsid w:val="003D6715"/>
    <w:rsid w:val="003E55B2"/>
    <w:rsid w:val="004313B7"/>
    <w:rsid w:val="0043180D"/>
    <w:rsid w:val="00437A6D"/>
    <w:rsid w:val="004414A5"/>
    <w:rsid w:val="0044700B"/>
    <w:rsid w:val="00467171"/>
    <w:rsid w:val="00467C80"/>
    <w:rsid w:val="00467EF1"/>
    <w:rsid w:val="00474052"/>
    <w:rsid w:val="004877C8"/>
    <w:rsid w:val="004901D3"/>
    <w:rsid w:val="004A2CEB"/>
    <w:rsid w:val="004A4C89"/>
    <w:rsid w:val="004B5EA4"/>
    <w:rsid w:val="004C531E"/>
    <w:rsid w:val="004C6C90"/>
    <w:rsid w:val="005037CA"/>
    <w:rsid w:val="005037CD"/>
    <w:rsid w:val="00504795"/>
    <w:rsid w:val="005051B8"/>
    <w:rsid w:val="00514CBA"/>
    <w:rsid w:val="0052337F"/>
    <w:rsid w:val="0052630A"/>
    <w:rsid w:val="0053177A"/>
    <w:rsid w:val="00533EA1"/>
    <w:rsid w:val="00554445"/>
    <w:rsid w:val="005771C3"/>
    <w:rsid w:val="00577B54"/>
    <w:rsid w:val="005839E0"/>
    <w:rsid w:val="00590F6D"/>
    <w:rsid w:val="00597DDE"/>
    <w:rsid w:val="005A5A6D"/>
    <w:rsid w:val="005A5ED7"/>
    <w:rsid w:val="005C1A41"/>
    <w:rsid w:val="005C4565"/>
    <w:rsid w:val="005E05CD"/>
    <w:rsid w:val="005F041D"/>
    <w:rsid w:val="0061572F"/>
    <w:rsid w:val="00615D01"/>
    <w:rsid w:val="0061789C"/>
    <w:rsid w:val="00631441"/>
    <w:rsid w:val="00631596"/>
    <w:rsid w:val="00641030"/>
    <w:rsid w:val="00645D52"/>
    <w:rsid w:val="0065133B"/>
    <w:rsid w:val="006556AC"/>
    <w:rsid w:val="006602F1"/>
    <w:rsid w:val="00670ED4"/>
    <w:rsid w:val="00672928"/>
    <w:rsid w:val="00674A86"/>
    <w:rsid w:val="00675AD3"/>
    <w:rsid w:val="006A013C"/>
    <w:rsid w:val="006A3E8E"/>
    <w:rsid w:val="006A69C8"/>
    <w:rsid w:val="006D6163"/>
    <w:rsid w:val="006E58B1"/>
    <w:rsid w:val="006F01C4"/>
    <w:rsid w:val="006F487B"/>
    <w:rsid w:val="006F740B"/>
    <w:rsid w:val="007154B0"/>
    <w:rsid w:val="007355AA"/>
    <w:rsid w:val="00744A41"/>
    <w:rsid w:val="00754447"/>
    <w:rsid w:val="00764C85"/>
    <w:rsid w:val="00776BE3"/>
    <w:rsid w:val="00780A41"/>
    <w:rsid w:val="00794787"/>
    <w:rsid w:val="007A37D8"/>
    <w:rsid w:val="007B75E9"/>
    <w:rsid w:val="007B7F42"/>
    <w:rsid w:val="007C3D03"/>
    <w:rsid w:val="007D1EFA"/>
    <w:rsid w:val="007D5FE4"/>
    <w:rsid w:val="008125A0"/>
    <w:rsid w:val="008560DE"/>
    <w:rsid w:val="0088525A"/>
    <w:rsid w:val="008A0D60"/>
    <w:rsid w:val="008C1387"/>
    <w:rsid w:val="008C682F"/>
    <w:rsid w:val="008E509B"/>
    <w:rsid w:val="008F4811"/>
    <w:rsid w:val="008F525A"/>
    <w:rsid w:val="009026D4"/>
    <w:rsid w:val="00922DE4"/>
    <w:rsid w:val="0092763E"/>
    <w:rsid w:val="009316A6"/>
    <w:rsid w:val="00936114"/>
    <w:rsid w:val="009400E9"/>
    <w:rsid w:val="00946830"/>
    <w:rsid w:val="00962779"/>
    <w:rsid w:val="009654EC"/>
    <w:rsid w:val="009918D9"/>
    <w:rsid w:val="009A262F"/>
    <w:rsid w:val="009A392D"/>
    <w:rsid w:val="009C67EE"/>
    <w:rsid w:val="009D17C3"/>
    <w:rsid w:val="009D47C2"/>
    <w:rsid w:val="009E51F8"/>
    <w:rsid w:val="009F2649"/>
    <w:rsid w:val="00A05364"/>
    <w:rsid w:val="00A074D7"/>
    <w:rsid w:val="00A17D23"/>
    <w:rsid w:val="00A208E1"/>
    <w:rsid w:val="00A504C2"/>
    <w:rsid w:val="00A521AB"/>
    <w:rsid w:val="00A528AF"/>
    <w:rsid w:val="00A56CD0"/>
    <w:rsid w:val="00A61D3E"/>
    <w:rsid w:val="00A7643E"/>
    <w:rsid w:val="00A9649E"/>
    <w:rsid w:val="00AA1341"/>
    <w:rsid w:val="00AB16D0"/>
    <w:rsid w:val="00AB2C1B"/>
    <w:rsid w:val="00AC3010"/>
    <w:rsid w:val="00AC3BF2"/>
    <w:rsid w:val="00AD5483"/>
    <w:rsid w:val="00AF0249"/>
    <w:rsid w:val="00AF150F"/>
    <w:rsid w:val="00AF4737"/>
    <w:rsid w:val="00B0470A"/>
    <w:rsid w:val="00B06AC6"/>
    <w:rsid w:val="00B2364D"/>
    <w:rsid w:val="00B53582"/>
    <w:rsid w:val="00B6239D"/>
    <w:rsid w:val="00B67630"/>
    <w:rsid w:val="00B70B18"/>
    <w:rsid w:val="00B722DE"/>
    <w:rsid w:val="00B80DDB"/>
    <w:rsid w:val="00B81EE1"/>
    <w:rsid w:val="00B853AD"/>
    <w:rsid w:val="00B9392D"/>
    <w:rsid w:val="00BA15C9"/>
    <w:rsid w:val="00BA42DD"/>
    <w:rsid w:val="00BA761E"/>
    <w:rsid w:val="00BB3FBE"/>
    <w:rsid w:val="00BC54A6"/>
    <w:rsid w:val="00BC603D"/>
    <w:rsid w:val="00BC7177"/>
    <w:rsid w:val="00BC71A7"/>
    <w:rsid w:val="00BD0C78"/>
    <w:rsid w:val="00BF6D00"/>
    <w:rsid w:val="00C03CE1"/>
    <w:rsid w:val="00C3016F"/>
    <w:rsid w:val="00C31922"/>
    <w:rsid w:val="00C32EDF"/>
    <w:rsid w:val="00C405FD"/>
    <w:rsid w:val="00C42573"/>
    <w:rsid w:val="00C5024A"/>
    <w:rsid w:val="00C57107"/>
    <w:rsid w:val="00C62C2D"/>
    <w:rsid w:val="00C9227C"/>
    <w:rsid w:val="00C9557D"/>
    <w:rsid w:val="00CA2740"/>
    <w:rsid w:val="00CA5A5B"/>
    <w:rsid w:val="00CC12E6"/>
    <w:rsid w:val="00CC2E25"/>
    <w:rsid w:val="00CC7C64"/>
    <w:rsid w:val="00CD0B47"/>
    <w:rsid w:val="00CF5F1A"/>
    <w:rsid w:val="00D010E8"/>
    <w:rsid w:val="00D02C04"/>
    <w:rsid w:val="00D138E8"/>
    <w:rsid w:val="00D20259"/>
    <w:rsid w:val="00D208BA"/>
    <w:rsid w:val="00D21668"/>
    <w:rsid w:val="00D216BC"/>
    <w:rsid w:val="00D42F8F"/>
    <w:rsid w:val="00D45ADF"/>
    <w:rsid w:val="00D800F8"/>
    <w:rsid w:val="00DA07F1"/>
    <w:rsid w:val="00DD06F4"/>
    <w:rsid w:val="00DD500F"/>
    <w:rsid w:val="00DF53E4"/>
    <w:rsid w:val="00E02BE4"/>
    <w:rsid w:val="00E2136E"/>
    <w:rsid w:val="00E25AF8"/>
    <w:rsid w:val="00E31A6A"/>
    <w:rsid w:val="00E37BFE"/>
    <w:rsid w:val="00E46BDF"/>
    <w:rsid w:val="00E547DB"/>
    <w:rsid w:val="00E555BF"/>
    <w:rsid w:val="00E61949"/>
    <w:rsid w:val="00E70DCE"/>
    <w:rsid w:val="00E9242C"/>
    <w:rsid w:val="00EA446A"/>
    <w:rsid w:val="00EA4F9A"/>
    <w:rsid w:val="00EA7DC1"/>
    <w:rsid w:val="00EB0402"/>
    <w:rsid w:val="00EB5BA2"/>
    <w:rsid w:val="00EB5C28"/>
    <w:rsid w:val="00ED51A4"/>
    <w:rsid w:val="00EE3AFB"/>
    <w:rsid w:val="00EF0D19"/>
    <w:rsid w:val="00EF1577"/>
    <w:rsid w:val="00EF6BD4"/>
    <w:rsid w:val="00F02A47"/>
    <w:rsid w:val="00F05C18"/>
    <w:rsid w:val="00F157DD"/>
    <w:rsid w:val="00F15F90"/>
    <w:rsid w:val="00F21465"/>
    <w:rsid w:val="00F427BD"/>
    <w:rsid w:val="00F6065C"/>
    <w:rsid w:val="00F61EB1"/>
    <w:rsid w:val="00F62C8B"/>
    <w:rsid w:val="00F802D4"/>
    <w:rsid w:val="00F91982"/>
    <w:rsid w:val="00FA2DA2"/>
    <w:rsid w:val="00FA311A"/>
    <w:rsid w:val="00FB16A8"/>
    <w:rsid w:val="00FC1AAD"/>
    <w:rsid w:val="00FD1152"/>
    <w:rsid w:val="00FE0FE8"/>
    <w:rsid w:val="00FF56AA"/>
    <w:rsid w:val="283924B5"/>
    <w:rsid w:val="4B381C8C"/>
    <w:rsid w:val="59F027CB"/>
    <w:rsid w:val="694F3D2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unhideWhenUsed="0" w:uiPriority="0" w:semiHidden="0" w:name="Normal"/>
    <w:lsdException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99" w:name="footnote reference"/>
    <w:lsdException w:qFormat="1" w:unhideWhenUsed="0" w:uiPriority="0" w:semiHidden="0"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after="200" w:line="276" w:lineRule="auto"/>
    </w:pPr>
    <w:rPr>
      <w:rFonts w:asciiTheme="minorHAnsi" w:hAnsiTheme="minorHAnsi" w:eastAsiaTheme="minorEastAsia" w:cstheme="minorBidi"/>
      <w:sz w:val="22"/>
      <w:szCs w:val="22"/>
      <w:lang w:val="en-GB" w:eastAsia="en-US" w:bidi="ar-SA"/>
    </w:rPr>
  </w:style>
  <w:style w:type="paragraph" w:styleId="2">
    <w:name w:val="heading 2"/>
    <w:basedOn w:val="1"/>
    <w:next w:val="1"/>
    <w:link w:val="97"/>
    <w:semiHidden/>
    <w:unhideWhenUsed/>
    <w:qFormat/>
    <w:uiPriority w:val="9"/>
    <w:pPr>
      <w:keepNext/>
      <w:keepLines/>
      <w:widowControl w:val="0"/>
      <w:adjustRightInd w:val="0"/>
      <w:snapToGrid w:val="0"/>
      <w:spacing w:before="260" w:after="260" w:line="416" w:lineRule="atLeast"/>
      <w:jc w:val="both"/>
      <w:textAlignment w:val="baseline"/>
      <w:outlineLvl w:val="1"/>
    </w:pPr>
    <w:rPr>
      <w:rFonts w:ascii="Cambria" w:hAnsi="Cambria" w:eastAsia="宋体" w:cs="Times New Roman"/>
      <w:b/>
      <w:bCs/>
      <w:sz w:val="32"/>
      <w:szCs w:val="32"/>
      <w:lang w:val="en-US" w:eastAsia="zh-CN"/>
    </w:rPr>
  </w:style>
  <w:style w:type="paragraph" w:styleId="3">
    <w:name w:val="heading 3"/>
    <w:basedOn w:val="1"/>
    <w:next w:val="1"/>
    <w:link w:val="98"/>
    <w:semiHidden/>
    <w:unhideWhenUsed/>
    <w:qFormat/>
    <w:uiPriority w:val="9"/>
    <w:pPr>
      <w:widowControl w:val="0"/>
      <w:adjustRightInd w:val="0"/>
      <w:snapToGrid w:val="0"/>
      <w:spacing w:beforeAutospacing="1" w:after="0" w:afterAutospacing="1" w:line="360" w:lineRule="atLeast"/>
      <w:textAlignment w:val="baseline"/>
      <w:outlineLvl w:val="2"/>
    </w:pPr>
    <w:rPr>
      <w:rFonts w:hint="eastAsia" w:ascii="宋体" w:hAnsi="宋体" w:eastAsia="宋体" w:cs="Times New Roman"/>
      <w:b/>
      <w:sz w:val="27"/>
      <w:szCs w:val="27"/>
      <w:lang w:val="en-US" w:eastAsia="zh-CN"/>
    </w:rPr>
  </w:style>
  <w:style w:type="character" w:default="1" w:styleId="15">
    <w:name w:val="Default Paragraph Font"/>
    <w:semiHidden/>
    <w:unhideWhenUsed/>
    <w:uiPriority w:val="1"/>
  </w:style>
  <w:style w:type="table" w:default="1" w:styleId="13">
    <w:name w:val="Normal Table"/>
    <w:semiHidden/>
    <w:unhideWhenUsed/>
    <w:uiPriority w:val="99"/>
    <w:tblPr>
      <w:tblLayout w:type="fixed"/>
      <w:tblCellMar>
        <w:top w:w="0" w:type="dxa"/>
        <w:left w:w="108" w:type="dxa"/>
        <w:bottom w:w="0" w:type="dxa"/>
        <w:right w:w="108" w:type="dxa"/>
      </w:tblCellMar>
    </w:tblPr>
  </w:style>
  <w:style w:type="paragraph" w:styleId="4">
    <w:name w:val="caption"/>
    <w:basedOn w:val="1"/>
    <w:next w:val="1"/>
    <w:unhideWhenUsed/>
    <w:qFormat/>
    <w:uiPriority w:val="35"/>
    <w:pPr>
      <w:spacing w:line="200" w:lineRule="exact"/>
    </w:pPr>
    <w:rPr>
      <w:bCs/>
      <w:sz w:val="14"/>
      <w:szCs w:val="18"/>
    </w:rPr>
  </w:style>
  <w:style w:type="paragraph" w:styleId="5">
    <w:name w:val="annotation text"/>
    <w:basedOn w:val="1"/>
    <w:link w:val="99"/>
    <w:qFormat/>
    <w:uiPriority w:val="0"/>
    <w:pPr>
      <w:widowControl w:val="0"/>
      <w:spacing w:after="0" w:line="360" w:lineRule="atLeast"/>
      <w:jc w:val="both"/>
      <w:textAlignment w:val="baseline"/>
    </w:pPr>
    <w:rPr>
      <w:rFonts w:ascii="Times New Roman" w:hAnsi="Times New Roman" w:eastAsia="宋体" w:cs="Times New Roman"/>
      <w:kern w:val="2"/>
      <w:sz w:val="20"/>
      <w:szCs w:val="20"/>
      <w:lang w:val="en-US" w:eastAsia="zh-CN"/>
    </w:rPr>
  </w:style>
  <w:style w:type="paragraph" w:styleId="6">
    <w:name w:val="Balloon Text"/>
    <w:basedOn w:val="1"/>
    <w:link w:val="25"/>
    <w:semiHidden/>
    <w:unhideWhenUsed/>
    <w:qFormat/>
    <w:uiPriority w:val="99"/>
    <w:pPr>
      <w:spacing w:after="0" w:line="240" w:lineRule="auto"/>
    </w:pPr>
    <w:rPr>
      <w:rFonts w:ascii="Tahoma" w:hAnsi="Tahoma" w:cs="Tahoma"/>
      <w:sz w:val="16"/>
      <w:szCs w:val="16"/>
    </w:rPr>
  </w:style>
  <w:style w:type="paragraph" w:styleId="7">
    <w:name w:val="footer"/>
    <w:basedOn w:val="1"/>
    <w:link w:val="24"/>
    <w:unhideWhenUsed/>
    <w:qFormat/>
    <w:uiPriority w:val="99"/>
    <w:pPr>
      <w:tabs>
        <w:tab w:val="center" w:pos="4513"/>
        <w:tab w:val="right" w:pos="9026"/>
      </w:tabs>
      <w:spacing w:after="0" w:line="240" w:lineRule="auto"/>
    </w:pPr>
  </w:style>
  <w:style w:type="paragraph" w:styleId="8">
    <w:name w:val="header"/>
    <w:basedOn w:val="1"/>
    <w:link w:val="23"/>
    <w:unhideWhenUsed/>
    <w:qFormat/>
    <w:uiPriority w:val="99"/>
    <w:pPr>
      <w:tabs>
        <w:tab w:val="center" w:pos="4513"/>
        <w:tab w:val="right" w:pos="9026"/>
      </w:tabs>
      <w:spacing w:after="0" w:line="240" w:lineRule="auto"/>
    </w:pPr>
  </w:style>
  <w:style w:type="paragraph" w:styleId="9">
    <w:name w:val="footnote text"/>
    <w:basedOn w:val="1"/>
    <w:link w:val="66"/>
    <w:semiHidden/>
    <w:unhideWhenUsed/>
    <w:qFormat/>
    <w:uiPriority w:val="99"/>
    <w:pPr>
      <w:spacing w:after="0" w:line="240" w:lineRule="auto"/>
    </w:pPr>
    <w:rPr>
      <w:sz w:val="20"/>
      <w:szCs w:val="20"/>
    </w:rPr>
  </w:style>
  <w:style w:type="paragraph" w:styleId="10">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en-GB"/>
    </w:rPr>
  </w:style>
  <w:style w:type="paragraph" w:styleId="11">
    <w:name w:val="Title"/>
    <w:basedOn w:val="1"/>
    <w:next w:val="1"/>
    <w:link w:val="100"/>
    <w:qFormat/>
    <w:uiPriority w:val="10"/>
    <w:pPr>
      <w:widowControl w:val="0"/>
      <w:adjustRightInd w:val="0"/>
      <w:snapToGrid w:val="0"/>
      <w:spacing w:before="240" w:after="60" w:line="360" w:lineRule="atLeast"/>
      <w:jc w:val="center"/>
      <w:textAlignment w:val="baseline"/>
      <w:outlineLvl w:val="0"/>
    </w:pPr>
    <w:rPr>
      <w:rFonts w:ascii="Cambria" w:hAnsi="Cambria" w:eastAsia="宋体" w:cs="Times New Roman"/>
      <w:b/>
      <w:bCs/>
      <w:sz w:val="32"/>
      <w:szCs w:val="32"/>
      <w:lang w:val="en-US" w:eastAsia="zh-CN"/>
    </w:rPr>
  </w:style>
  <w:style w:type="paragraph" w:styleId="12">
    <w:name w:val="annotation subject"/>
    <w:basedOn w:val="5"/>
    <w:next w:val="5"/>
    <w:link w:val="101"/>
    <w:semiHidden/>
    <w:unhideWhenUsed/>
    <w:qFormat/>
    <w:uiPriority w:val="99"/>
    <w:pPr>
      <w:adjustRightInd w:val="0"/>
      <w:snapToGrid w:val="0"/>
      <w:spacing w:after="200"/>
      <w:jc w:val="left"/>
    </w:pPr>
    <w:rPr>
      <w:rFonts w:ascii="Tahoma" w:hAnsi="Tahoma" w:eastAsia="Times New Roman"/>
      <w:b/>
      <w:bCs/>
      <w:sz w:val="22"/>
      <w:szCs w:val="22"/>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Strong"/>
    <w:qFormat/>
    <w:uiPriority w:val="0"/>
    <w:rPr>
      <w:b/>
      <w:bCs/>
    </w:rPr>
  </w:style>
  <w:style w:type="character" w:styleId="17">
    <w:name w:val="FollowedHyperlink"/>
    <w:basedOn w:val="15"/>
    <w:semiHidden/>
    <w:unhideWhenUsed/>
    <w:qFormat/>
    <w:uiPriority w:val="99"/>
    <w:rPr>
      <w:color w:val="800080" w:themeColor="followedHyperlink"/>
      <w:u w:val="single"/>
      <w14:textFill>
        <w14:solidFill>
          <w14:schemeClr w14:val="folHlink"/>
        </w14:solidFill>
      </w14:textFill>
    </w:rPr>
  </w:style>
  <w:style w:type="character" w:styleId="18">
    <w:name w:val="Emphasis"/>
    <w:qFormat/>
    <w:uiPriority w:val="20"/>
    <w:rPr>
      <w:i/>
      <w:iCs/>
    </w:rPr>
  </w:style>
  <w:style w:type="character" w:styleId="19">
    <w:name w:val="line number"/>
    <w:basedOn w:val="15"/>
    <w:semiHidden/>
    <w:unhideWhenUsed/>
    <w:qFormat/>
    <w:uiPriority w:val="99"/>
  </w:style>
  <w:style w:type="character" w:styleId="20">
    <w:name w:val="Hyperlink"/>
    <w:basedOn w:val="15"/>
    <w:unhideWhenUsed/>
    <w:qFormat/>
    <w:uiPriority w:val="99"/>
    <w:rPr>
      <w:color w:val="0000FF" w:themeColor="hyperlink"/>
      <w:u w:val="single"/>
      <w14:textFill>
        <w14:solidFill>
          <w14:schemeClr w14:val="hlink"/>
        </w14:solidFill>
      </w14:textFill>
    </w:rPr>
  </w:style>
  <w:style w:type="character" w:styleId="21">
    <w:name w:val="annotation reference"/>
    <w:qFormat/>
    <w:uiPriority w:val="0"/>
    <w:rPr>
      <w:sz w:val="16"/>
      <w:szCs w:val="16"/>
    </w:rPr>
  </w:style>
  <w:style w:type="character" w:styleId="22">
    <w:name w:val="footnote reference"/>
    <w:basedOn w:val="15"/>
    <w:semiHidden/>
    <w:unhideWhenUsed/>
    <w:qFormat/>
    <w:uiPriority w:val="99"/>
    <w:rPr>
      <w:vertAlign w:val="superscript"/>
    </w:rPr>
  </w:style>
  <w:style w:type="character" w:customStyle="1" w:styleId="23">
    <w:name w:val="页眉 Char"/>
    <w:basedOn w:val="15"/>
    <w:link w:val="8"/>
    <w:qFormat/>
    <w:uiPriority w:val="99"/>
  </w:style>
  <w:style w:type="character" w:customStyle="1" w:styleId="24">
    <w:name w:val="页脚 Char"/>
    <w:basedOn w:val="15"/>
    <w:link w:val="7"/>
    <w:qFormat/>
    <w:uiPriority w:val="99"/>
  </w:style>
  <w:style w:type="character" w:customStyle="1" w:styleId="25">
    <w:name w:val="批注框文本 Char"/>
    <w:basedOn w:val="15"/>
    <w:link w:val="6"/>
    <w:semiHidden/>
    <w:qFormat/>
    <w:uiPriority w:val="99"/>
    <w:rPr>
      <w:rFonts w:ascii="Tahoma" w:hAnsi="Tahoma" w:cs="Tahoma"/>
      <w:sz w:val="16"/>
      <w:szCs w:val="16"/>
    </w:rPr>
  </w:style>
  <w:style w:type="paragraph" w:customStyle="1" w:styleId="26">
    <w:name w:val="RSC H01 Paper Title"/>
    <w:basedOn w:val="1"/>
    <w:next w:val="1"/>
    <w:link w:val="48"/>
    <w:qFormat/>
    <w:uiPriority w:val="0"/>
    <w:pPr>
      <w:tabs>
        <w:tab w:val="left" w:pos="284"/>
      </w:tabs>
      <w:spacing w:before="400" w:after="160" w:line="240" w:lineRule="auto"/>
    </w:pPr>
    <w:rPr>
      <w:rFonts w:cs="Times New Roman"/>
      <w:b/>
      <w:sz w:val="29"/>
      <w:szCs w:val="32"/>
    </w:rPr>
  </w:style>
  <w:style w:type="paragraph" w:customStyle="1" w:styleId="27">
    <w:name w:val="RSC H02 Paper Authors and Byline"/>
    <w:basedOn w:val="1"/>
    <w:link w:val="49"/>
    <w:qFormat/>
    <w:uiPriority w:val="0"/>
    <w:pPr>
      <w:spacing w:after="120" w:line="240" w:lineRule="exact"/>
    </w:pPr>
    <w:rPr>
      <w:rFonts w:cs="Times New Roman"/>
      <w:sz w:val="20"/>
    </w:rPr>
  </w:style>
  <w:style w:type="paragraph" w:customStyle="1" w:styleId="28">
    <w:name w:val="RSC B01 ART Abstract"/>
    <w:basedOn w:val="1"/>
    <w:link w:val="50"/>
    <w:qFormat/>
    <w:uiPriority w:val="0"/>
    <w:pPr>
      <w:spacing w:line="240" w:lineRule="exact"/>
      <w:jc w:val="both"/>
    </w:pPr>
    <w:rPr>
      <w:sz w:val="16"/>
      <w:lang w:eastAsia="en-GB"/>
    </w:rPr>
  </w:style>
  <w:style w:type="paragraph" w:customStyle="1" w:styleId="29">
    <w:name w:val="05 B Heading"/>
    <w:basedOn w:val="30"/>
    <w:link w:val="53"/>
    <w:qFormat/>
    <w:uiPriority w:val="0"/>
    <w:pPr>
      <w:spacing w:before="160" w:line="240" w:lineRule="exact"/>
    </w:pPr>
    <w:rPr>
      <w:rFonts w:ascii="Times New Roman" w:hAnsi="Times New Roman" w:cs="Times New Roman"/>
      <w:sz w:val="18"/>
      <w:szCs w:val="18"/>
    </w:rPr>
  </w:style>
  <w:style w:type="paragraph" w:customStyle="1" w:styleId="30">
    <w:name w:val="RSC B04 A Heading (Section)"/>
    <w:basedOn w:val="1"/>
    <w:link w:val="52"/>
    <w:qFormat/>
    <w:uiPriority w:val="0"/>
    <w:pPr>
      <w:spacing w:before="400" w:after="80" w:line="240" w:lineRule="auto"/>
    </w:pPr>
    <w:rPr>
      <w:b/>
      <w:sz w:val="24"/>
    </w:rPr>
  </w:style>
  <w:style w:type="paragraph" w:customStyle="1" w:styleId="31">
    <w:name w:val="RSC B02 Article Text"/>
    <w:basedOn w:val="1"/>
    <w:link w:val="33"/>
    <w:qFormat/>
    <w:uiPriority w:val="0"/>
    <w:pPr>
      <w:spacing w:after="0" w:line="240" w:lineRule="exact"/>
      <w:jc w:val="both"/>
    </w:pPr>
    <w:rPr>
      <w:rFonts w:cs="Times New Roman"/>
      <w:w w:val="108"/>
      <w:sz w:val="18"/>
      <w:szCs w:val="18"/>
    </w:rPr>
  </w:style>
  <w:style w:type="character" w:customStyle="1" w:styleId="32">
    <w:name w:val="06 C Heading"/>
    <w:basedOn w:val="33"/>
    <w:qFormat/>
    <w:uiPriority w:val="1"/>
    <w:rPr>
      <w:rFonts w:ascii="Times New Roman" w:hAnsi="Times New Roman" w:cs="Times New Roman"/>
      <w:b/>
      <w:smallCaps/>
      <w:w w:val="108"/>
      <w:sz w:val="18"/>
      <w:szCs w:val="18"/>
    </w:rPr>
  </w:style>
  <w:style w:type="character" w:customStyle="1" w:styleId="33">
    <w:name w:val="RSC B02 Article Text Char"/>
    <w:basedOn w:val="15"/>
    <w:link w:val="31"/>
    <w:qFormat/>
    <w:uiPriority w:val="0"/>
    <w:rPr>
      <w:rFonts w:cs="Times New Roman"/>
      <w:w w:val="108"/>
      <w:sz w:val="18"/>
      <w:szCs w:val="18"/>
    </w:rPr>
  </w:style>
  <w:style w:type="paragraph" w:customStyle="1" w:styleId="34">
    <w:name w:val="09 List Text"/>
    <w:basedOn w:val="31"/>
    <w:link w:val="51"/>
    <w:qFormat/>
    <w:uiPriority w:val="0"/>
    <w:pPr>
      <w:widowControl w:val="0"/>
      <w:spacing w:line="230" w:lineRule="exact"/>
      <w:ind w:left="284" w:hanging="284"/>
    </w:pPr>
    <w:rPr>
      <w:rFonts w:eastAsia="Times New Roman"/>
      <w:lang w:eastAsia="en-GB"/>
    </w:rPr>
  </w:style>
  <w:style w:type="paragraph" w:customStyle="1" w:styleId="35">
    <w:name w:val="RSC F01 Footnote Author Address"/>
    <w:link w:val="43"/>
    <w:qFormat/>
    <w:uiPriority w:val="0"/>
    <w:pPr>
      <w:numPr>
        <w:ilvl w:val="0"/>
        <w:numId w:val="1"/>
      </w:numPr>
      <w:pBdr>
        <w:top w:val="single" w:color="A5A5A5" w:themeColor="background1" w:themeShade="A6" w:sz="12" w:space="1"/>
      </w:pBdr>
      <w:ind w:left="85" w:hanging="85"/>
    </w:pPr>
    <w:rPr>
      <w:rFonts w:cs="Times New Roman" w:asciiTheme="minorHAnsi" w:hAnsiTheme="minorHAnsi" w:eastAsiaTheme="minorEastAsia"/>
      <w:i/>
      <w:w w:val="105"/>
      <w:sz w:val="14"/>
      <w:szCs w:val="14"/>
      <w:lang w:val="en-GB" w:eastAsia="en-US" w:bidi="ar-SA"/>
    </w:rPr>
  </w:style>
  <w:style w:type="paragraph" w:customStyle="1" w:styleId="36">
    <w:name w:val="RSC I02 Figure/Scheme/Chart with top bar"/>
    <w:basedOn w:val="1"/>
    <w:link w:val="55"/>
    <w:qFormat/>
    <w:uiPriority w:val="0"/>
    <w:pPr>
      <w:pBdr>
        <w:top w:val="single" w:color="999999" w:sz="12" w:space="5"/>
      </w:pBdr>
      <w:spacing w:before="120" w:after="40" w:line="240" w:lineRule="auto"/>
      <w:jc w:val="both"/>
    </w:pPr>
    <w:rPr>
      <w:rFonts w:cs="Times New Roman"/>
      <w:w w:val="108"/>
      <w:sz w:val="14"/>
      <w:szCs w:val="18"/>
    </w:rPr>
  </w:style>
  <w:style w:type="paragraph" w:customStyle="1" w:styleId="37">
    <w:name w:val="RSC I01 Figure/Scheme/Chart with bottom bar"/>
    <w:basedOn w:val="1"/>
    <w:link w:val="56"/>
    <w:qFormat/>
    <w:uiPriority w:val="0"/>
    <w:pPr>
      <w:pBdr>
        <w:bottom w:val="single" w:color="999999" w:sz="12" w:space="5"/>
      </w:pBdr>
      <w:spacing w:before="40" w:after="120" w:line="120" w:lineRule="exact"/>
      <w:jc w:val="both"/>
    </w:pPr>
    <w:rPr>
      <w:rFonts w:cstheme="minorHAnsi"/>
      <w:w w:val="108"/>
      <w:sz w:val="14"/>
      <w:szCs w:val="14"/>
    </w:rPr>
  </w:style>
  <w:style w:type="paragraph" w:customStyle="1" w:styleId="38">
    <w:name w:val="RSC I03 Figure/Scheme/Chart Uncaptioned"/>
    <w:basedOn w:val="1"/>
    <w:link w:val="57"/>
    <w:qFormat/>
    <w:uiPriority w:val="0"/>
    <w:pPr>
      <w:spacing w:before="160" w:after="160" w:line="240" w:lineRule="auto"/>
      <w:jc w:val="center"/>
    </w:pPr>
    <w:rPr>
      <w:rFonts w:cs="Times New Roman"/>
      <w:sz w:val="16"/>
      <w:szCs w:val="16"/>
    </w:rPr>
  </w:style>
  <w:style w:type="paragraph" w:customStyle="1" w:styleId="39">
    <w:name w:val="RSC B03 Mathematics/Greek etc"/>
    <w:basedOn w:val="1"/>
    <w:link w:val="58"/>
    <w:qFormat/>
    <w:uiPriority w:val="0"/>
    <w:pPr>
      <w:tabs>
        <w:tab w:val="center" w:pos="2268"/>
        <w:tab w:val="right" w:pos="4536"/>
      </w:tabs>
      <w:spacing w:before="160" w:after="160" w:line="240" w:lineRule="auto"/>
    </w:pPr>
    <w:rPr>
      <w:rFonts w:ascii="Times New Roman" w:hAnsi="Times New Roman"/>
      <w:sz w:val="18"/>
    </w:rPr>
  </w:style>
  <w:style w:type="paragraph" w:customStyle="1" w:styleId="40">
    <w:name w:val="RSC B09 Biography"/>
    <w:basedOn w:val="31"/>
    <w:link w:val="41"/>
    <w:qFormat/>
    <w:uiPriority w:val="0"/>
    <w:pPr>
      <w:pBdr>
        <w:top w:val="single" w:color="auto" w:sz="6" w:space="1"/>
      </w:pBdr>
    </w:pPr>
    <w:rPr>
      <w:i/>
    </w:rPr>
  </w:style>
  <w:style w:type="character" w:customStyle="1" w:styleId="41">
    <w:name w:val="RSC B09 Biography Char"/>
    <w:basedOn w:val="33"/>
    <w:link w:val="40"/>
    <w:qFormat/>
    <w:uiPriority w:val="0"/>
    <w:rPr>
      <w:rFonts w:cs="Times New Roman"/>
      <w:i/>
      <w:w w:val="108"/>
      <w:sz w:val="18"/>
      <w:szCs w:val="18"/>
    </w:rPr>
  </w:style>
  <w:style w:type="paragraph" w:customStyle="1" w:styleId="42">
    <w:name w:val="RSC F02 Footnotes to Title/Authors"/>
    <w:basedOn w:val="1"/>
    <w:link w:val="45"/>
    <w:qFormat/>
    <w:uiPriority w:val="0"/>
    <w:pPr>
      <w:tabs>
        <w:tab w:val="left" w:pos="284"/>
      </w:tabs>
      <w:spacing w:after="0" w:line="240" w:lineRule="auto"/>
      <w:jc w:val="both"/>
    </w:pPr>
    <w:rPr>
      <w:rFonts w:cs="Times New Roman"/>
      <w:w w:val="105"/>
      <w:sz w:val="14"/>
      <w:szCs w:val="14"/>
    </w:rPr>
  </w:style>
  <w:style w:type="character" w:customStyle="1" w:styleId="43">
    <w:name w:val="RSC F01 Footnote Author Address Char"/>
    <w:basedOn w:val="15"/>
    <w:link w:val="35"/>
    <w:qFormat/>
    <w:uiPriority w:val="0"/>
    <w:rPr>
      <w:rFonts w:cs="Times New Roman"/>
      <w:i/>
      <w:w w:val="105"/>
      <w:sz w:val="14"/>
      <w:szCs w:val="14"/>
    </w:rPr>
  </w:style>
  <w:style w:type="paragraph" w:customStyle="1" w:styleId="44">
    <w:name w:val="RSC R02 References"/>
    <w:basedOn w:val="31"/>
    <w:link w:val="47"/>
    <w:qFormat/>
    <w:uiPriority w:val="0"/>
    <w:pPr>
      <w:numPr>
        <w:ilvl w:val="0"/>
        <w:numId w:val="2"/>
      </w:numPr>
      <w:spacing w:line="200" w:lineRule="exact"/>
      <w:ind w:left="284" w:hanging="284"/>
    </w:pPr>
    <w:rPr>
      <w:w w:val="105"/>
    </w:rPr>
  </w:style>
  <w:style w:type="character" w:customStyle="1" w:styleId="45">
    <w:name w:val="RSC F02 Footnotes to Title/Authors Char"/>
    <w:basedOn w:val="15"/>
    <w:link w:val="42"/>
    <w:qFormat/>
    <w:uiPriority w:val="0"/>
    <w:rPr>
      <w:rFonts w:cs="Times New Roman"/>
      <w:w w:val="105"/>
      <w:sz w:val="14"/>
      <w:szCs w:val="14"/>
    </w:rPr>
  </w:style>
  <w:style w:type="paragraph" w:styleId="46">
    <w:name w:val="No Spacing"/>
    <w:qFormat/>
    <w:uiPriority w:val="1"/>
    <w:rPr>
      <w:rFonts w:asciiTheme="minorHAnsi" w:hAnsiTheme="minorHAnsi" w:eastAsiaTheme="minorEastAsia" w:cstheme="minorBidi"/>
      <w:sz w:val="22"/>
      <w:szCs w:val="22"/>
      <w:lang w:val="en-GB" w:eastAsia="en-US" w:bidi="ar-SA"/>
    </w:rPr>
  </w:style>
  <w:style w:type="character" w:customStyle="1" w:styleId="47">
    <w:name w:val="RSC R02 References Char"/>
    <w:basedOn w:val="15"/>
    <w:link w:val="44"/>
    <w:qFormat/>
    <w:uiPriority w:val="0"/>
    <w:rPr>
      <w:rFonts w:cs="Times New Roman"/>
      <w:w w:val="105"/>
      <w:sz w:val="18"/>
      <w:szCs w:val="18"/>
    </w:rPr>
  </w:style>
  <w:style w:type="character" w:customStyle="1" w:styleId="48">
    <w:name w:val="RSC H01 Paper Title Char"/>
    <w:basedOn w:val="15"/>
    <w:link w:val="26"/>
    <w:qFormat/>
    <w:uiPriority w:val="0"/>
    <w:rPr>
      <w:rFonts w:cs="Times New Roman"/>
      <w:b/>
      <w:sz w:val="29"/>
      <w:szCs w:val="32"/>
    </w:rPr>
  </w:style>
  <w:style w:type="character" w:customStyle="1" w:styleId="49">
    <w:name w:val="RSC H02 Paper Authors and Byline Char"/>
    <w:basedOn w:val="15"/>
    <w:link w:val="27"/>
    <w:qFormat/>
    <w:uiPriority w:val="0"/>
    <w:rPr>
      <w:rFonts w:cs="Times New Roman"/>
      <w:sz w:val="20"/>
    </w:rPr>
  </w:style>
  <w:style w:type="character" w:customStyle="1" w:styleId="50">
    <w:name w:val="RSC B01 ART Abstract Char"/>
    <w:basedOn w:val="15"/>
    <w:link w:val="28"/>
    <w:qFormat/>
    <w:uiPriority w:val="0"/>
    <w:rPr>
      <w:sz w:val="16"/>
      <w:lang w:eastAsia="en-GB"/>
    </w:rPr>
  </w:style>
  <w:style w:type="character" w:customStyle="1" w:styleId="51">
    <w:name w:val="09 List Text Char"/>
    <w:basedOn w:val="33"/>
    <w:link w:val="34"/>
    <w:qFormat/>
    <w:uiPriority w:val="0"/>
    <w:rPr>
      <w:rFonts w:ascii="Times New Roman" w:hAnsi="Times New Roman" w:eastAsia="Times New Roman" w:cs="Times New Roman"/>
      <w:w w:val="108"/>
      <w:sz w:val="18"/>
      <w:szCs w:val="18"/>
      <w:lang w:eastAsia="en-GB"/>
    </w:rPr>
  </w:style>
  <w:style w:type="character" w:customStyle="1" w:styleId="52">
    <w:name w:val="RSC B04 A Heading (Section) Char"/>
    <w:basedOn w:val="15"/>
    <w:link w:val="30"/>
    <w:qFormat/>
    <w:uiPriority w:val="0"/>
    <w:rPr>
      <w:b/>
      <w:sz w:val="24"/>
    </w:rPr>
  </w:style>
  <w:style w:type="character" w:customStyle="1" w:styleId="53">
    <w:name w:val="05 B Heading Char"/>
    <w:basedOn w:val="52"/>
    <w:link w:val="29"/>
    <w:qFormat/>
    <w:uiPriority w:val="0"/>
    <w:rPr>
      <w:rFonts w:ascii="Times New Roman" w:hAnsi="Times New Roman" w:cs="Times New Roman"/>
      <w:sz w:val="18"/>
      <w:szCs w:val="18"/>
    </w:rPr>
  </w:style>
  <w:style w:type="paragraph" w:customStyle="1" w:styleId="54">
    <w:name w:val="RSC T01 Table Title with top bar"/>
    <w:basedOn w:val="1"/>
    <w:link w:val="60"/>
    <w:qFormat/>
    <w:uiPriority w:val="0"/>
    <w:pPr>
      <w:keepNext/>
      <w:keepLines/>
      <w:pBdr>
        <w:top w:val="single" w:color="999999" w:sz="12" w:space="1"/>
        <w:bottom w:val="single" w:color="auto" w:sz="6" w:space="1"/>
      </w:pBdr>
      <w:spacing w:before="120" w:after="120" w:line="200" w:lineRule="exact"/>
      <w:jc w:val="both"/>
    </w:pPr>
    <w:rPr>
      <w:rFonts w:eastAsia="Times New Roman" w:cs="Times New Roman"/>
      <w:sz w:val="14"/>
      <w:szCs w:val="20"/>
      <w:lang w:eastAsia="en-GB"/>
    </w:rPr>
  </w:style>
  <w:style w:type="character" w:customStyle="1" w:styleId="55">
    <w:name w:val="RSC I02 Figure/Scheme/Chart with top bar Char"/>
    <w:basedOn w:val="15"/>
    <w:link w:val="36"/>
    <w:qFormat/>
    <w:uiPriority w:val="0"/>
    <w:rPr>
      <w:rFonts w:cs="Times New Roman"/>
      <w:w w:val="108"/>
      <w:sz w:val="14"/>
      <w:szCs w:val="18"/>
    </w:rPr>
  </w:style>
  <w:style w:type="character" w:customStyle="1" w:styleId="56">
    <w:name w:val="RSC I01 Figure/Scheme/Chart with bottom bar Char"/>
    <w:basedOn w:val="15"/>
    <w:link w:val="37"/>
    <w:qFormat/>
    <w:uiPriority w:val="0"/>
    <w:rPr>
      <w:rFonts w:cstheme="minorHAnsi"/>
      <w:w w:val="108"/>
      <w:sz w:val="14"/>
      <w:szCs w:val="14"/>
    </w:rPr>
  </w:style>
  <w:style w:type="character" w:customStyle="1" w:styleId="57">
    <w:name w:val="RSC I03 Figure/Scheme/Chart Uncaptioned Char"/>
    <w:basedOn w:val="15"/>
    <w:link w:val="38"/>
    <w:qFormat/>
    <w:uiPriority w:val="0"/>
    <w:rPr>
      <w:rFonts w:cs="Times New Roman"/>
      <w:sz w:val="16"/>
      <w:szCs w:val="16"/>
    </w:rPr>
  </w:style>
  <w:style w:type="character" w:customStyle="1" w:styleId="58">
    <w:name w:val="RSC B03 Mathematics/Greek etc Char"/>
    <w:basedOn w:val="15"/>
    <w:link w:val="39"/>
    <w:qFormat/>
    <w:uiPriority w:val="0"/>
    <w:rPr>
      <w:rFonts w:ascii="Times New Roman" w:hAnsi="Times New Roman"/>
      <w:sz w:val="18"/>
    </w:rPr>
  </w:style>
  <w:style w:type="paragraph" w:customStyle="1" w:styleId="59">
    <w:name w:val="RSC T03 Table Body"/>
    <w:basedOn w:val="1"/>
    <w:link w:val="62"/>
    <w:qFormat/>
    <w:uiPriority w:val="0"/>
    <w:pPr>
      <w:keepNext/>
      <w:keepLines/>
      <w:spacing w:after="0" w:line="220" w:lineRule="exact"/>
      <w:jc w:val="center"/>
    </w:pPr>
    <w:rPr>
      <w:rFonts w:eastAsia="Times New Roman" w:cs="Times New Roman"/>
      <w:sz w:val="16"/>
      <w:szCs w:val="16"/>
      <w:lang w:eastAsia="en-GB"/>
    </w:rPr>
  </w:style>
  <w:style w:type="character" w:customStyle="1" w:styleId="60">
    <w:name w:val="RSC T01 Table Title with top bar Char"/>
    <w:basedOn w:val="15"/>
    <w:link w:val="54"/>
    <w:qFormat/>
    <w:uiPriority w:val="0"/>
    <w:rPr>
      <w:rFonts w:eastAsia="Times New Roman" w:cs="Times New Roman"/>
      <w:sz w:val="14"/>
      <w:szCs w:val="20"/>
      <w:lang w:eastAsia="en-GB"/>
    </w:rPr>
  </w:style>
  <w:style w:type="paragraph" w:customStyle="1" w:styleId="61">
    <w:name w:val="RSC T04 Table Footnote with bottom bar"/>
    <w:basedOn w:val="1"/>
    <w:link w:val="63"/>
    <w:qFormat/>
    <w:uiPriority w:val="0"/>
    <w:pPr>
      <w:keepLines/>
      <w:pBdr>
        <w:bottom w:val="single" w:color="999999" w:sz="12" w:space="1"/>
      </w:pBdr>
      <w:spacing w:before="120" w:after="160" w:line="200" w:lineRule="exact"/>
      <w:jc w:val="both"/>
    </w:pPr>
    <w:rPr>
      <w:rFonts w:eastAsia="Times New Roman" w:cs="Times New Roman"/>
      <w:sz w:val="15"/>
      <w:szCs w:val="20"/>
      <w:lang w:eastAsia="en-GB"/>
    </w:rPr>
  </w:style>
  <w:style w:type="character" w:customStyle="1" w:styleId="62">
    <w:name w:val="RSC T03 Table Body Char"/>
    <w:basedOn w:val="15"/>
    <w:link w:val="59"/>
    <w:qFormat/>
    <w:uiPriority w:val="0"/>
    <w:rPr>
      <w:rFonts w:eastAsia="Times New Roman" w:cs="Times New Roman"/>
      <w:sz w:val="16"/>
      <w:szCs w:val="16"/>
      <w:lang w:eastAsia="en-GB"/>
    </w:rPr>
  </w:style>
  <w:style w:type="character" w:customStyle="1" w:styleId="63">
    <w:name w:val="RSC T04 Table Footnote with bottom bar Char"/>
    <w:basedOn w:val="15"/>
    <w:link w:val="61"/>
    <w:qFormat/>
    <w:uiPriority w:val="0"/>
    <w:rPr>
      <w:rFonts w:eastAsia="Times New Roman" w:cs="Times New Roman"/>
      <w:sz w:val="15"/>
      <w:szCs w:val="20"/>
      <w:lang w:eastAsia="en-GB"/>
    </w:rPr>
  </w:style>
  <w:style w:type="paragraph" w:styleId="64">
    <w:name w:val="List Paragraph"/>
    <w:basedOn w:val="1"/>
    <w:qFormat/>
    <w:uiPriority w:val="99"/>
    <w:pPr>
      <w:ind w:left="720"/>
      <w:contextualSpacing/>
    </w:pPr>
  </w:style>
  <w:style w:type="paragraph" w:customStyle="1" w:styleId="65">
    <w:name w:val="修订1"/>
    <w:hidden/>
    <w:semiHidden/>
    <w:qFormat/>
    <w:uiPriority w:val="99"/>
    <w:rPr>
      <w:rFonts w:asciiTheme="minorHAnsi" w:hAnsiTheme="minorHAnsi" w:eastAsiaTheme="minorEastAsia" w:cstheme="minorBidi"/>
      <w:sz w:val="22"/>
      <w:szCs w:val="22"/>
      <w:lang w:val="en-GB" w:eastAsia="en-US" w:bidi="ar-SA"/>
    </w:rPr>
  </w:style>
  <w:style w:type="character" w:customStyle="1" w:styleId="66">
    <w:name w:val="脚注文本 Char"/>
    <w:basedOn w:val="15"/>
    <w:link w:val="9"/>
    <w:semiHidden/>
    <w:qFormat/>
    <w:uiPriority w:val="99"/>
    <w:rPr>
      <w:sz w:val="20"/>
      <w:szCs w:val="20"/>
    </w:rPr>
  </w:style>
  <w:style w:type="paragraph" w:customStyle="1" w:styleId="67">
    <w:name w:val="Style1"/>
    <w:basedOn w:val="31"/>
    <w:link w:val="69"/>
    <w:qFormat/>
    <w:uiPriority w:val="0"/>
  </w:style>
  <w:style w:type="paragraph" w:customStyle="1" w:styleId="68">
    <w:name w:val="RSC T05 Table Footnote without bottom bar"/>
    <w:basedOn w:val="61"/>
    <w:link w:val="71"/>
    <w:qFormat/>
    <w:uiPriority w:val="0"/>
    <w:pPr>
      <w:pBdr>
        <w:bottom w:val="none" w:color="auto" w:sz="0" w:space="0"/>
      </w:pBdr>
    </w:pPr>
  </w:style>
  <w:style w:type="character" w:customStyle="1" w:styleId="69">
    <w:name w:val="Style1 Char"/>
    <w:basedOn w:val="33"/>
    <w:link w:val="67"/>
    <w:qFormat/>
    <w:uiPriority w:val="0"/>
    <w:rPr>
      <w:rFonts w:cs="Times New Roman"/>
      <w:w w:val="108"/>
      <w:sz w:val="18"/>
      <w:szCs w:val="18"/>
    </w:rPr>
  </w:style>
  <w:style w:type="paragraph" w:customStyle="1" w:styleId="70">
    <w:name w:val="RSC T02 Table title without top bar"/>
    <w:basedOn w:val="54"/>
    <w:link w:val="73"/>
    <w:qFormat/>
    <w:uiPriority w:val="0"/>
    <w:pPr>
      <w:pBdr>
        <w:top w:val="none" w:color="auto" w:sz="0" w:space="0"/>
      </w:pBdr>
    </w:pPr>
  </w:style>
  <w:style w:type="character" w:customStyle="1" w:styleId="71">
    <w:name w:val="RSC T05 Table Footnote without bottom bar Char"/>
    <w:basedOn w:val="63"/>
    <w:link w:val="68"/>
    <w:qFormat/>
    <w:uiPriority w:val="0"/>
    <w:rPr>
      <w:rFonts w:eastAsia="Times New Roman" w:cs="Times New Roman"/>
      <w:sz w:val="15"/>
      <w:szCs w:val="20"/>
      <w:lang w:eastAsia="en-GB"/>
    </w:rPr>
  </w:style>
  <w:style w:type="paragraph" w:customStyle="1" w:styleId="72">
    <w:name w:val="RSC I04 Caption to Figure/Scheme/Chart"/>
    <w:link w:val="75"/>
    <w:qFormat/>
    <w:uiPriority w:val="0"/>
    <w:pPr>
      <w:spacing w:after="200" w:line="200" w:lineRule="exact"/>
      <w:jc w:val="both"/>
    </w:pPr>
    <w:rPr>
      <w:rFonts w:asciiTheme="minorHAnsi" w:hAnsiTheme="minorHAnsi" w:eastAsiaTheme="minorEastAsia" w:cstheme="minorBidi"/>
      <w:bCs/>
      <w:sz w:val="14"/>
      <w:szCs w:val="18"/>
      <w:lang w:val="en-GB" w:eastAsia="en-US" w:bidi="ar-SA"/>
    </w:rPr>
  </w:style>
  <w:style w:type="character" w:customStyle="1" w:styleId="73">
    <w:name w:val="RSC T02 Table title without top bar Char"/>
    <w:basedOn w:val="60"/>
    <w:link w:val="70"/>
    <w:qFormat/>
    <w:uiPriority w:val="0"/>
    <w:rPr>
      <w:rFonts w:eastAsia="Times New Roman" w:cs="Times New Roman"/>
      <w:sz w:val="14"/>
      <w:szCs w:val="20"/>
      <w:lang w:eastAsia="en-GB"/>
    </w:rPr>
  </w:style>
  <w:style w:type="paragraph" w:customStyle="1" w:styleId="74">
    <w:name w:val="RSC R01 Footnotes to main text"/>
    <w:link w:val="77"/>
    <w:qFormat/>
    <w:uiPriority w:val="0"/>
    <w:pPr>
      <w:spacing w:after="200" w:line="200" w:lineRule="exact"/>
      <w:jc w:val="both"/>
    </w:pPr>
    <w:rPr>
      <w:rFonts w:asciiTheme="minorHAnsi" w:hAnsiTheme="minorHAnsi" w:eastAsiaTheme="minorEastAsia" w:cstheme="minorBidi"/>
      <w:bCs/>
      <w:sz w:val="18"/>
      <w:szCs w:val="18"/>
      <w:lang w:val="en-GB" w:eastAsia="en-US" w:bidi="ar-SA"/>
    </w:rPr>
  </w:style>
  <w:style w:type="character" w:customStyle="1" w:styleId="75">
    <w:name w:val="RSC I04 Caption to Figure/Scheme/Chart Char"/>
    <w:basedOn w:val="15"/>
    <w:link w:val="72"/>
    <w:qFormat/>
    <w:uiPriority w:val="0"/>
    <w:rPr>
      <w:bCs/>
      <w:sz w:val="14"/>
      <w:szCs w:val="18"/>
    </w:rPr>
  </w:style>
  <w:style w:type="paragraph" w:customStyle="1" w:styleId="76">
    <w:name w:val="RSC M01 Received/Accepted"/>
    <w:basedOn w:val="1"/>
    <w:link w:val="79"/>
    <w:qFormat/>
    <w:uiPriority w:val="0"/>
    <w:pPr>
      <w:spacing w:before="960" w:after="0" w:line="180" w:lineRule="exact"/>
      <w:contextualSpacing/>
    </w:pPr>
    <w:rPr>
      <w:sz w:val="14"/>
      <w:szCs w:val="14"/>
      <w:lang w:eastAsia="en-GB"/>
    </w:rPr>
  </w:style>
  <w:style w:type="character" w:customStyle="1" w:styleId="77">
    <w:name w:val="RSC R01 Footnotes to main text Char"/>
    <w:basedOn w:val="75"/>
    <w:link w:val="74"/>
    <w:qFormat/>
    <w:uiPriority w:val="0"/>
    <w:rPr>
      <w:sz w:val="18"/>
      <w:szCs w:val="18"/>
    </w:rPr>
  </w:style>
  <w:style w:type="paragraph" w:customStyle="1" w:styleId="78">
    <w:name w:val="RSC M02 DOI"/>
    <w:basedOn w:val="1"/>
    <w:link w:val="81"/>
    <w:qFormat/>
    <w:uiPriority w:val="0"/>
    <w:pPr>
      <w:spacing w:before="180" w:after="0" w:line="180" w:lineRule="exact"/>
    </w:pPr>
    <w:rPr>
      <w:sz w:val="14"/>
      <w:szCs w:val="14"/>
    </w:rPr>
  </w:style>
  <w:style w:type="character" w:customStyle="1" w:styleId="79">
    <w:name w:val="RSC M01 Received/Accepted Char"/>
    <w:basedOn w:val="15"/>
    <w:link w:val="76"/>
    <w:qFormat/>
    <w:uiPriority w:val="0"/>
    <w:rPr>
      <w:rFonts w:eastAsiaTheme="minorEastAsia"/>
      <w:sz w:val="14"/>
      <w:szCs w:val="14"/>
      <w:lang w:eastAsia="en-GB"/>
    </w:rPr>
  </w:style>
  <w:style w:type="paragraph" w:customStyle="1" w:styleId="80">
    <w:name w:val="RSC M03 Website"/>
    <w:basedOn w:val="1"/>
    <w:link w:val="83"/>
    <w:qFormat/>
    <w:uiPriority w:val="0"/>
    <w:pPr>
      <w:spacing w:line="400" w:lineRule="exact"/>
    </w:pPr>
    <w:rPr>
      <w:b/>
      <w:sz w:val="14"/>
      <w:szCs w:val="14"/>
    </w:rPr>
  </w:style>
  <w:style w:type="character" w:customStyle="1" w:styleId="81">
    <w:name w:val="RSC M02 DOI Char"/>
    <w:basedOn w:val="15"/>
    <w:link w:val="78"/>
    <w:qFormat/>
    <w:uiPriority w:val="0"/>
    <w:rPr>
      <w:sz w:val="14"/>
      <w:szCs w:val="14"/>
    </w:rPr>
  </w:style>
  <w:style w:type="paragraph" w:customStyle="1" w:styleId="82">
    <w:name w:val="RSC B05 A Heading (Section - stand alone)"/>
    <w:link w:val="85"/>
    <w:qFormat/>
    <w:uiPriority w:val="0"/>
    <w:pPr>
      <w:spacing w:before="400" w:after="160"/>
    </w:pPr>
    <w:rPr>
      <w:rFonts w:cs="Times New Roman" w:asciiTheme="minorHAnsi" w:hAnsiTheme="minorHAnsi" w:eastAsiaTheme="minorEastAsia"/>
      <w:sz w:val="24"/>
      <w:szCs w:val="22"/>
      <w:lang w:val="en-GB" w:eastAsia="en-US" w:bidi="ar-SA"/>
    </w:rPr>
  </w:style>
  <w:style w:type="character" w:customStyle="1" w:styleId="83">
    <w:name w:val="RSC M03 Website Char"/>
    <w:basedOn w:val="15"/>
    <w:link w:val="80"/>
    <w:qFormat/>
    <w:uiPriority w:val="0"/>
    <w:rPr>
      <w:b/>
      <w:sz w:val="14"/>
      <w:szCs w:val="14"/>
    </w:rPr>
  </w:style>
  <w:style w:type="paragraph" w:customStyle="1" w:styleId="84">
    <w:name w:val="RSC B06 B Heading (Sub-Section)"/>
    <w:link w:val="87"/>
    <w:qFormat/>
    <w:uiPriority w:val="0"/>
    <w:pPr>
      <w:spacing w:after="80" w:line="240" w:lineRule="exact"/>
    </w:pPr>
    <w:rPr>
      <w:rFonts w:asciiTheme="minorHAnsi" w:hAnsiTheme="minorHAnsi" w:eastAsiaTheme="minorEastAsia" w:cstheme="minorBidi"/>
      <w:b/>
      <w:sz w:val="18"/>
      <w:szCs w:val="22"/>
      <w:lang w:val="en-GB" w:eastAsia="en-US" w:bidi="ar-SA"/>
    </w:rPr>
  </w:style>
  <w:style w:type="character" w:customStyle="1" w:styleId="85">
    <w:name w:val="RSC B05 A Heading (Section - stand alone) Char"/>
    <w:basedOn w:val="49"/>
    <w:link w:val="82"/>
    <w:qFormat/>
    <w:uiPriority w:val="0"/>
    <w:rPr>
      <w:rFonts w:cs="Times New Roman"/>
      <w:sz w:val="24"/>
    </w:rPr>
  </w:style>
  <w:style w:type="paragraph" w:customStyle="1" w:styleId="86">
    <w:name w:val="RSC B07 B Heading (Sub-Section - stand alone)"/>
    <w:link w:val="89"/>
    <w:qFormat/>
    <w:uiPriority w:val="0"/>
    <w:pPr>
      <w:spacing w:before="160" w:after="80" w:line="240" w:lineRule="exact"/>
    </w:pPr>
    <w:rPr>
      <w:rFonts w:asciiTheme="minorHAnsi" w:hAnsiTheme="minorHAnsi" w:eastAsiaTheme="minorEastAsia" w:cstheme="minorBidi"/>
      <w:b/>
      <w:sz w:val="18"/>
      <w:szCs w:val="22"/>
      <w:lang w:val="en-GB" w:eastAsia="en-US" w:bidi="ar-SA"/>
    </w:rPr>
  </w:style>
  <w:style w:type="character" w:customStyle="1" w:styleId="87">
    <w:name w:val="RSC B06 B Heading (Sub-Section) Char"/>
    <w:basedOn w:val="15"/>
    <w:link w:val="84"/>
    <w:qFormat/>
    <w:uiPriority w:val="0"/>
    <w:rPr>
      <w:b/>
      <w:sz w:val="18"/>
    </w:rPr>
  </w:style>
  <w:style w:type="paragraph" w:customStyle="1" w:styleId="88">
    <w:name w:val="RSC B08 C Heading (In-line)"/>
    <w:link w:val="90"/>
    <w:qFormat/>
    <w:uiPriority w:val="0"/>
    <w:pPr>
      <w:spacing w:line="276" w:lineRule="auto"/>
    </w:pPr>
    <w:rPr>
      <w:rFonts w:asciiTheme="minorHAnsi" w:hAnsiTheme="minorHAnsi" w:eastAsiaTheme="minorEastAsia" w:cstheme="minorBidi"/>
      <w:b/>
      <w:sz w:val="18"/>
      <w:szCs w:val="22"/>
      <w:lang w:val="en-GB" w:eastAsia="en-US" w:bidi="ar-SA"/>
    </w:rPr>
  </w:style>
  <w:style w:type="character" w:customStyle="1" w:styleId="89">
    <w:name w:val="RSC B07 B Heading (Sub-Section - stand alone) Char"/>
    <w:basedOn w:val="15"/>
    <w:link w:val="86"/>
    <w:qFormat/>
    <w:uiPriority w:val="0"/>
    <w:rPr>
      <w:b/>
      <w:sz w:val="18"/>
    </w:rPr>
  </w:style>
  <w:style w:type="character" w:customStyle="1" w:styleId="90">
    <w:name w:val="RSC B08 C Heading (In-line) Char"/>
    <w:basedOn w:val="15"/>
    <w:link w:val="88"/>
    <w:qFormat/>
    <w:uiPriority w:val="0"/>
    <w:rPr>
      <w:b/>
      <w:sz w:val="18"/>
    </w:rPr>
  </w:style>
  <w:style w:type="paragraph" w:customStyle="1" w:styleId="91">
    <w:name w:val="RSC I05 Caption to Figure/Scheme/Chart with bottom bar"/>
    <w:link w:val="92"/>
    <w:qFormat/>
    <w:uiPriority w:val="0"/>
    <w:pPr>
      <w:pBdr>
        <w:bottom w:val="single" w:color="A5A5A5" w:themeColor="background1" w:themeShade="A6" w:sz="12" w:space="1"/>
      </w:pBdr>
      <w:spacing w:after="200" w:line="276" w:lineRule="auto"/>
      <w:jc w:val="both"/>
    </w:pPr>
    <w:rPr>
      <w:rFonts w:asciiTheme="minorHAnsi" w:hAnsiTheme="minorHAnsi" w:eastAsiaTheme="minorEastAsia" w:cstheme="minorBidi"/>
      <w:bCs/>
      <w:sz w:val="14"/>
      <w:szCs w:val="18"/>
      <w:lang w:val="en-GB" w:eastAsia="en-US" w:bidi="ar-SA"/>
    </w:rPr>
  </w:style>
  <w:style w:type="character" w:customStyle="1" w:styleId="92">
    <w:name w:val="RSC I05 Caption to Figure/Scheme/Chart with bottom bar Char"/>
    <w:basedOn w:val="75"/>
    <w:link w:val="91"/>
    <w:qFormat/>
    <w:uiPriority w:val="0"/>
    <w:rPr>
      <w:sz w:val="14"/>
      <w:szCs w:val="18"/>
    </w:rPr>
  </w:style>
  <w:style w:type="paragraph" w:customStyle="1" w:styleId="93">
    <w:name w:val="04 A Heading"/>
    <w:basedOn w:val="1"/>
    <w:next w:val="1"/>
    <w:link w:val="94"/>
    <w:qFormat/>
    <w:uiPriority w:val="0"/>
    <w:pPr>
      <w:spacing w:before="240" w:after="120" w:line="240" w:lineRule="auto"/>
    </w:pPr>
    <w:rPr>
      <w:rFonts w:ascii="Calibri" w:hAnsi="Calibri" w:eastAsia="Calibri" w:cs="Times New Roman"/>
      <w:b/>
    </w:rPr>
  </w:style>
  <w:style w:type="character" w:customStyle="1" w:styleId="94">
    <w:name w:val="04 A Heading Char"/>
    <w:link w:val="93"/>
    <w:qFormat/>
    <w:uiPriority w:val="0"/>
    <w:rPr>
      <w:rFonts w:ascii="Calibri" w:hAnsi="Calibri" w:eastAsia="Calibri" w:cs="Times New Roman"/>
      <w:b/>
    </w:rPr>
  </w:style>
  <w:style w:type="paragraph" w:customStyle="1" w:styleId="95">
    <w:name w:val="08 Article Text"/>
    <w:basedOn w:val="1"/>
    <w:link w:val="96"/>
    <w:qFormat/>
    <w:uiPriority w:val="0"/>
    <w:pPr>
      <w:tabs>
        <w:tab w:val="left" w:pos="284"/>
      </w:tabs>
      <w:spacing w:after="0" w:line="240" w:lineRule="exact"/>
      <w:jc w:val="both"/>
    </w:pPr>
    <w:rPr>
      <w:rFonts w:ascii="Times New Roman" w:hAnsi="Times New Roman" w:eastAsia="Calibri" w:cs="Times New Roman"/>
      <w:w w:val="108"/>
      <w:sz w:val="18"/>
      <w:szCs w:val="18"/>
    </w:rPr>
  </w:style>
  <w:style w:type="character" w:customStyle="1" w:styleId="96">
    <w:name w:val="08 Article Text Char"/>
    <w:link w:val="95"/>
    <w:qFormat/>
    <w:uiPriority w:val="0"/>
    <w:rPr>
      <w:rFonts w:ascii="Times New Roman" w:hAnsi="Times New Roman" w:eastAsia="Calibri" w:cs="Times New Roman"/>
      <w:w w:val="108"/>
      <w:sz w:val="18"/>
      <w:szCs w:val="18"/>
    </w:rPr>
  </w:style>
  <w:style w:type="character" w:customStyle="1" w:styleId="97">
    <w:name w:val="标题 2 Char"/>
    <w:basedOn w:val="15"/>
    <w:link w:val="2"/>
    <w:semiHidden/>
    <w:qFormat/>
    <w:uiPriority w:val="9"/>
    <w:rPr>
      <w:rFonts w:ascii="Cambria" w:hAnsi="Cambria" w:eastAsia="宋体" w:cs="Times New Roman"/>
      <w:b/>
      <w:bCs/>
      <w:sz w:val="32"/>
      <w:szCs w:val="32"/>
      <w:lang w:val="en-US" w:eastAsia="zh-CN"/>
    </w:rPr>
  </w:style>
  <w:style w:type="character" w:customStyle="1" w:styleId="98">
    <w:name w:val="标题 3 Char"/>
    <w:basedOn w:val="15"/>
    <w:link w:val="3"/>
    <w:semiHidden/>
    <w:qFormat/>
    <w:uiPriority w:val="9"/>
    <w:rPr>
      <w:rFonts w:ascii="宋体" w:hAnsi="宋体" w:eastAsia="宋体" w:cs="Times New Roman"/>
      <w:b/>
      <w:sz w:val="27"/>
      <w:szCs w:val="27"/>
      <w:lang w:val="en-US" w:eastAsia="zh-CN"/>
    </w:rPr>
  </w:style>
  <w:style w:type="character" w:customStyle="1" w:styleId="99">
    <w:name w:val="批注文字 Char"/>
    <w:basedOn w:val="15"/>
    <w:link w:val="5"/>
    <w:qFormat/>
    <w:uiPriority w:val="0"/>
    <w:rPr>
      <w:rFonts w:ascii="Times New Roman" w:hAnsi="Times New Roman" w:eastAsia="宋体" w:cs="Times New Roman"/>
      <w:kern w:val="2"/>
      <w:sz w:val="20"/>
      <w:szCs w:val="20"/>
      <w:lang w:val="en-US" w:eastAsia="zh-CN"/>
    </w:rPr>
  </w:style>
  <w:style w:type="character" w:customStyle="1" w:styleId="100">
    <w:name w:val="标题 Char"/>
    <w:basedOn w:val="15"/>
    <w:link w:val="11"/>
    <w:qFormat/>
    <w:uiPriority w:val="10"/>
    <w:rPr>
      <w:rFonts w:ascii="Cambria" w:hAnsi="Cambria" w:eastAsia="宋体" w:cs="Times New Roman"/>
      <w:b/>
      <w:bCs/>
      <w:sz w:val="32"/>
      <w:szCs w:val="32"/>
      <w:lang w:val="en-US" w:eastAsia="zh-CN"/>
    </w:rPr>
  </w:style>
  <w:style w:type="character" w:customStyle="1" w:styleId="101">
    <w:name w:val="批注主题 Char"/>
    <w:basedOn w:val="99"/>
    <w:link w:val="12"/>
    <w:semiHidden/>
    <w:qFormat/>
    <w:uiPriority w:val="99"/>
    <w:rPr>
      <w:rFonts w:ascii="Tahoma" w:hAnsi="Tahoma" w:eastAsia="Times New Roman" w:cs="Times New Roman"/>
      <w:b/>
      <w:bCs/>
      <w:kern w:val="2"/>
      <w:sz w:val="20"/>
      <w:szCs w:val="20"/>
      <w:lang w:val="en-US" w:eastAsia="zh-CN"/>
    </w:rPr>
  </w:style>
  <w:style w:type="character" w:customStyle="1" w:styleId="102">
    <w:name w:val="apple-converted-space"/>
    <w:basedOn w:val="15"/>
    <w:qFormat/>
    <w:uiPriority w:val="0"/>
  </w:style>
  <w:style w:type="character" w:customStyle="1" w:styleId="103">
    <w:name w:val="highlight"/>
    <w:basedOn w:val="15"/>
    <w:qFormat/>
    <w:uiPriority w:val="0"/>
  </w:style>
  <w:style w:type="paragraph" w:customStyle="1" w:styleId="104">
    <w:name w:val="EndNote Bibliography Title"/>
    <w:basedOn w:val="1"/>
    <w:link w:val="105"/>
    <w:qFormat/>
    <w:uiPriority w:val="0"/>
    <w:pPr>
      <w:widowControl w:val="0"/>
      <w:adjustRightInd w:val="0"/>
      <w:snapToGrid w:val="0"/>
      <w:spacing w:after="0" w:line="360" w:lineRule="atLeast"/>
      <w:jc w:val="center"/>
      <w:textAlignment w:val="baseline"/>
    </w:pPr>
    <w:rPr>
      <w:rFonts w:ascii="Calibri" w:hAnsi="Calibri" w:eastAsia="Times New Roman" w:cs="Calibri"/>
      <w:sz w:val="18"/>
      <w:lang w:val="en-US" w:eastAsia="zh-CN"/>
    </w:rPr>
  </w:style>
  <w:style w:type="character" w:customStyle="1" w:styleId="105">
    <w:name w:val="EndNote Bibliography Title Char"/>
    <w:link w:val="104"/>
    <w:qFormat/>
    <w:uiPriority w:val="0"/>
    <w:rPr>
      <w:rFonts w:ascii="Calibri" w:hAnsi="Calibri" w:eastAsia="Times New Roman" w:cs="Calibri"/>
      <w:sz w:val="18"/>
      <w:lang w:val="en-US" w:eastAsia="zh-CN"/>
    </w:rPr>
  </w:style>
  <w:style w:type="paragraph" w:customStyle="1" w:styleId="106">
    <w:name w:val="EndNote Bibliography"/>
    <w:basedOn w:val="1"/>
    <w:link w:val="107"/>
    <w:qFormat/>
    <w:uiPriority w:val="0"/>
    <w:pPr>
      <w:widowControl w:val="0"/>
      <w:adjustRightInd w:val="0"/>
      <w:snapToGrid w:val="0"/>
      <w:spacing w:line="240" w:lineRule="atLeast"/>
      <w:jc w:val="both"/>
      <w:textAlignment w:val="baseline"/>
    </w:pPr>
    <w:rPr>
      <w:rFonts w:ascii="Calibri" w:hAnsi="Calibri" w:eastAsia="Times New Roman" w:cs="Calibri"/>
      <w:sz w:val="18"/>
      <w:lang w:val="en-US" w:eastAsia="zh-CN"/>
    </w:rPr>
  </w:style>
  <w:style w:type="character" w:customStyle="1" w:styleId="107">
    <w:name w:val="EndNote Bibliography Char"/>
    <w:link w:val="106"/>
    <w:qFormat/>
    <w:uiPriority w:val="0"/>
    <w:rPr>
      <w:rFonts w:ascii="Calibri" w:hAnsi="Calibri" w:eastAsia="Times New Roman" w:cs="Calibri"/>
      <w:sz w:val="18"/>
      <w:lang w:val="en-US" w:eastAsia="zh-CN"/>
    </w:rPr>
  </w:style>
  <w:style w:type="paragraph" w:customStyle="1" w:styleId="108">
    <w:name w:val="修订11"/>
    <w:hidden/>
    <w:semiHidden/>
    <w:qFormat/>
    <w:uiPriority w:val="99"/>
    <w:rPr>
      <w:rFonts w:ascii="Tahoma" w:hAnsi="Tahoma" w:eastAsia="Times New Roman" w:cs="Times New Roman"/>
      <w:sz w:val="22"/>
      <w:szCs w:val="22"/>
      <w:lang w:val="en-US" w:eastAsia="zh-CN" w:bidi="ar-SA"/>
    </w:rPr>
  </w:style>
  <w:style w:type="character" w:customStyle="1" w:styleId="109">
    <w:name w:val="tran"/>
    <w:qFormat/>
    <w:uiPriority w:val="0"/>
  </w:style>
  <w:style w:type="paragraph" w:customStyle="1" w:styleId="110">
    <w:name w:val="修订2"/>
    <w:hidden/>
    <w:semiHidden/>
    <w:qFormat/>
    <w:uiPriority w:val="99"/>
    <w:rPr>
      <w:rFonts w:ascii="Tahoma" w:hAnsi="Tahoma" w:eastAsia="Times New Roman" w:cs="Times New Roman"/>
      <w:sz w:val="22"/>
      <w:szCs w:val="22"/>
      <w:lang w:val="en-US" w:eastAsia="zh-CN" w:bidi="ar-SA"/>
    </w:rPr>
  </w:style>
  <w:style w:type="paragraph" w:customStyle="1" w:styleId="111">
    <w:name w:val="修订3"/>
    <w:hidden/>
    <w:qFormat/>
    <w:uiPriority w:val="99"/>
    <w:rPr>
      <w:rFonts w:ascii="Tahoma" w:hAnsi="Tahoma" w:eastAsia="Times New Roman" w:cs="Times New Roman"/>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1" Type="http://schemas.openxmlformats.org/officeDocument/2006/relationships/fontTable" Target="fontTable.xml"/><Relationship Id="rId40" Type="http://schemas.openxmlformats.org/officeDocument/2006/relationships/customXml" Target="../customXml/item2.xml"/><Relationship Id="rId4" Type="http://schemas.openxmlformats.org/officeDocument/2006/relationships/header" Target="header2.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image" Target="media/image2.tiff"/><Relationship Id="rId36" Type="http://schemas.openxmlformats.org/officeDocument/2006/relationships/image" Target="media/image1.tiff"/><Relationship Id="rId35" Type="http://schemas.openxmlformats.org/officeDocument/2006/relationships/image" Target="media/image17.wmf"/><Relationship Id="rId34" Type="http://schemas.openxmlformats.org/officeDocument/2006/relationships/oleObject" Target="embeddings/oleObject9.bin"/><Relationship Id="rId33" Type="http://schemas.openxmlformats.org/officeDocument/2006/relationships/image" Target="media/image16.wmf"/><Relationship Id="rId32" Type="http://schemas.openxmlformats.org/officeDocument/2006/relationships/oleObject" Target="embeddings/oleObject8.bin"/><Relationship Id="rId31" Type="http://schemas.openxmlformats.org/officeDocument/2006/relationships/image" Target="media/image15.wmf"/><Relationship Id="rId30" Type="http://schemas.openxmlformats.org/officeDocument/2006/relationships/oleObject" Target="embeddings/oleObject7.bin"/><Relationship Id="rId3" Type="http://schemas.openxmlformats.org/officeDocument/2006/relationships/header" Target="header1.xml"/><Relationship Id="rId29" Type="http://schemas.openxmlformats.org/officeDocument/2006/relationships/image" Target="media/image14.jpeg"/><Relationship Id="rId28" Type="http://schemas.openxmlformats.org/officeDocument/2006/relationships/image" Target="media/image13.jpeg"/><Relationship Id="rId27" Type="http://schemas.openxmlformats.org/officeDocument/2006/relationships/image" Target="media/image12.jpeg"/><Relationship Id="rId26" Type="http://schemas.openxmlformats.org/officeDocument/2006/relationships/image" Target="media/image11.jpeg"/><Relationship Id="rId25" Type="http://schemas.openxmlformats.org/officeDocument/2006/relationships/image" Target="media/image10.jpeg"/><Relationship Id="rId24" Type="http://schemas.openxmlformats.org/officeDocument/2006/relationships/image" Target="media/image9.jpeg"/><Relationship Id="rId23" Type="http://schemas.openxmlformats.org/officeDocument/2006/relationships/image" Target="media/image8.png"/><Relationship Id="rId22" Type="http://schemas.openxmlformats.org/officeDocument/2006/relationships/image" Target="media/image7.wmf"/><Relationship Id="rId21" Type="http://schemas.openxmlformats.org/officeDocument/2006/relationships/oleObject" Target="embeddings/oleObject6.bin"/><Relationship Id="rId20" Type="http://schemas.openxmlformats.org/officeDocument/2006/relationships/image" Target="media/image6.w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5.wmf"/><Relationship Id="rId17" Type="http://schemas.openxmlformats.org/officeDocument/2006/relationships/oleObject" Target="embeddings/oleObject4.bin"/><Relationship Id="rId16" Type="http://schemas.openxmlformats.org/officeDocument/2006/relationships/image" Target="media/image4.wmf"/><Relationship Id="rId15" Type="http://schemas.openxmlformats.org/officeDocument/2006/relationships/oleObject" Target="embeddings/oleObject3.bin"/><Relationship Id="rId14" Type="http://schemas.openxmlformats.org/officeDocument/2006/relationships/image" Target="media/image3.wmf"/><Relationship Id="rId13" Type="http://schemas.openxmlformats.org/officeDocument/2006/relationships/oleObject" Target="embeddings/oleObject2.bin"/><Relationship Id="rId12" Type="http://schemas.openxmlformats.org/officeDocument/2006/relationships/image" Target="media/image2.wmf"/><Relationship Id="rId11" Type="http://schemas.openxmlformats.org/officeDocument/2006/relationships/oleObject" Target="embeddings/oleObject1.bin"/><Relationship Id="rId10" Type="http://schemas.openxmlformats.org/officeDocument/2006/relationships/image" Target="media/image1.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5504FA-93DF-420E-8EFE-ABEBEB0C748D}">
  <ds:schemaRefs/>
</ds:datastoreItem>
</file>

<file path=docProps/app.xml><?xml version="1.0" encoding="utf-8"?>
<Properties xmlns="http://schemas.openxmlformats.org/officeDocument/2006/extended-properties" xmlns:vt="http://schemas.openxmlformats.org/officeDocument/2006/docPropsVTypes">
  <Template>Normal</Template>
  <Company>The Royal Society of Chemistry</Company>
  <Pages>9</Pages>
  <Words>8858</Words>
  <Characters>50496</Characters>
  <Lines>420</Lines>
  <Paragraphs>118</Paragraphs>
  <TotalTime>0</TotalTime>
  <ScaleCrop>false</ScaleCrop>
  <LinksUpToDate>false</LinksUpToDate>
  <CharactersWithSpaces>59236</CharactersWithSpaces>
  <Application>WPS Office_11.1.0.8907_F1E327BC-269C-435d-A152-05C5408002CA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2019-09-26T07:14:00Z</dcterms:created>
  <dc:creator>Kate McCallum</dc:creator>
  <cp:lastModifiedBy>金立锋</cp:lastModifiedBy>
  <cp:lastPrinted>2014-10-09T15:34:00Z</cp:lastPrinted>
  <dcterms:modified xsi:type="dcterms:W3CDTF">2019-09-26T07:45:33Z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