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756CED" w14:textId="77A5CA1D" w:rsidR="0064015B" w:rsidRPr="00933911" w:rsidRDefault="0064015B" w:rsidP="00B1508D">
      <w:pPr>
        <w:spacing w:after="0" w:line="480" w:lineRule="auto"/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  <w:bookmarkStart w:id="0" w:name="_GoBack"/>
      <w:bookmarkEnd w:id="0"/>
      <w:r w:rsidRPr="00933911">
        <w:rPr>
          <w:rFonts w:ascii="Times New Roman" w:hAnsi="Times New Roman" w:cs="Times New Roman"/>
          <w:b/>
          <w:bCs/>
          <w:sz w:val="21"/>
          <w:szCs w:val="21"/>
          <w:lang w:val="en-US"/>
        </w:rPr>
        <w:t>Table 5</w:t>
      </w:r>
      <w:r w:rsidR="00AA6085" w:rsidRPr="00933911">
        <w:rPr>
          <w:rFonts w:ascii="Times New Roman" w:hAnsi="Times New Roman" w:cs="Times New Roman"/>
          <w:b/>
          <w:bCs/>
          <w:sz w:val="21"/>
          <w:szCs w:val="21"/>
          <w:lang w:val="en-US"/>
        </w:rPr>
        <w:t xml:space="preserve">. </w:t>
      </w:r>
      <w:r w:rsidR="00AA6085" w:rsidRPr="00933911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Analysis of the health effects of toner exposure without </w:t>
      </w:r>
      <w:r w:rsidR="00376087" w:rsidRPr="00933911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adjustment for </w:t>
      </w:r>
      <w:r w:rsidR="00AA6085" w:rsidRPr="00933911">
        <w:rPr>
          <w:rFonts w:ascii="Times New Roman" w:hAnsi="Times New Roman" w:cs="Times New Roman"/>
          <w:bCs/>
          <w:sz w:val="21"/>
          <w:szCs w:val="21"/>
          <w:lang w:val="en-US"/>
        </w:rPr>
        <w:t>confounders (model</w:t>
      </w:r>
      <w:r w:rsidR="00376087" w:rsidRPr="00933911">
        <w:rPr>
          <w:rFonts w:ascii="Times New Roman" w:hAnsi="Times New Roman" w:cs="Times New Roman"/>
          <w:bCs/>
          <w:sz w:val="21"/>
          <w:szCs w:val="21"/>
          <w:lang w:val="en-US"/>
        </w:rPr>
        <w:t>s</w:t>
      </w:r>
      <w:r w:rsidR="00AA6085" w:rsidRPr="00933911">
        <w:rPr>
          <w:rFonts w:ascii="Times New Roman" w:hAnsi="Times New Roman" w:cs="Times New Roman"/>
          <w:bCs/>
          <w:sz w:val="21"/>
          <w:szCs w:val="21"/>
          <w:lang w:val="en-US"/>
        </w:rPr>
        <w:t xml:space="preserve"> 1 and 2)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02"/>
        <w:gridCol w:w="951"/>
        <w:gridCol w:w="881"/>
        <w:gridCol w:w="794"/>
        <w:gridCol w:w="1049"/>
        <w:gridCol w:w="1056"/>
        <w:gridCol w:w="222"/>
        <w:gridCol w:w="951"/>
        <w:gridCol w:w="990"/>
        <w:gridCol w:w="933"/>
        <w:gridCol w:w="1048"/>
        <w:gridCol w:w="1058"/>
      </w:tblGrid>
      <w:tr w:rsidR="00933911" w:rsidRPr="00933911" w14:paraId="3E5E530F" w14:textId="77777777" w:rsidTr="00FC7B68">
        <w:trPr>
          <w:trHeight w:val="20"/>
        </w:trPr>
        <w:tc>
          <w:tcPr>
            <w:tcW w:w="280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675E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Parameters (unit)</w:t>
            </w:r>
          </w:p>
        </w:tc>
        <w:tc>
          <w:tcPr>
            <w:tcW w:w="473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50FCE" w14:textId="2755938D" w:rsidR="00457B99" w:rsidRPr="00933911" w:rsidRDefault="006D664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D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ifference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in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 yearly change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in 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each parameter between the toner-handling group and non-toner-handling group (model 1)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98C2E3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  <w:p w14:paraId="41D6191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  <w:p w14:paraId="4D8EA0F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  <w:p w14:paraId="73C2E4D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49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32C7C" w14:textId="06CA2AA8" w:rsidR="00457B99" w:rsidRPr="00933911" w:rsidRDefault="006D664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D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ifference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in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 yearly change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in </w:t>
            </w:r>
            <w:r w:rsidR="00AB7AD0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each parameter between the toner-handling group and non-toner-handling group (model 2)</w:t>
            </w:r>
          </w:p>
        </w:tc>
      </w:tr>
      <w:tr w:rsidR="00933911" w:rsidRPr="00933911" w14:paraId="408228EE" w14:textId="77777777" w:rsidTr="00FC7B68">
        <w:trPr>
          <w:trHeight w:val="20"/>
        </w:trPr>
        <w:tc>
          <w:tcPr>
            <w:tcW w:w="2802" w:type="dxa"/>
            <w:vMerge/>
            <w:tcBorders>
              <w:top w:val="nil"/>
              <w:bottom w:val="single" w:sz="4" w:space="0" w:color="auto"/>
            </w:tcBorders>
          </w:tcPr>
          <w:p w14:paraId="43A54143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C586E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Estimate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D4098D" w14:textId="62BA476B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95%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CI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7F5FA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P-value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680F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AIC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020F172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89B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Estimate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D61AF" w14:textId="5D28FA95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95%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 xml:space="preserve"> 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CI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493CB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P-value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AC63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AIC</w:t>
            </w:r>
          </w:p>
        </w:tc>
      </w:tr>
      <w:tr w:rsidR="00933911" w:rsidRPr="00933911" w14:paraId="1E252580" w14:textId="77777777" w:rsidTr="00FC7B68">
        <w:trPr>
          <w:trHeight w:val="20"/>
        </w:trPr>
        <w:tc>
          <w:tcPr>
            <w:tcW w:w="2802" w:type="dxa"/>
            <w:tcBorders>
              <w:top w:val="single" w:sz="4" w:space="0" w:color="auto"/>
              <w:bottom w:val="nil"/>
            </w:tcBorders>
            <w:vAlign w:val="center"/>
          </w:tcPr>
          <w:p w14:paraId="5C691836" w14:textId="3DD37371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Respiratory function tests</w:t>
            </w:r>
          </w:p>
        </w:tc>
        <w:tc>
          <w:tcPr>
            <w:tcW w:w="951" w:type="dxa"/>
            <w:tcBorders>
              <w:top w:val="single" w:sz="4" w:space="0" w:color="auto"/>
              <w:bottom w:val="nil"/>
            </w:tcBorders>
          </w:tcPr>
          <w:p w14:paraId="46D2C315" w14:textId="77777777" w:rsidR="00457B99" w:rsidRPr="00933911" w:rsidRDefault="00457B99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nil"/>
            </w:tcBorders>
          </w:tcPr>
          <w:p w14:paraId="1E92D2F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01B37159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5C10183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</w:tcPr>
          <w:p w14:paraId="707E726A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22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DF83B54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nil"/>
            </w:tcBorders>
          </w:tcPr>
          <w:p w14:paraId="7708D1DD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28680F03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33" w:type="dxa"/>
            <w:tcBorders>
              <w:top w:val="single" w:sz="4" w:space="0" w:color="auto"/>
              <w:bottom w:val="nil"/>
            </w:tcBorders>
          </w:tcPr>
          <w:p w14:paraId="3B14A627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nil"/>
            </w:tcBorders>
          </w:tcPr>
          <w:p w14:paraId="22370B9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34C5AA5B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</w:tr>
      <w:tr w:rsidR="00933911" w:rsidRPr="00933911" w14:paraId="3AF4297A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121C5B12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VC (l)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64DE84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0.0009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478EF15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51CE00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0.003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66F17EA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0.459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5994985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-3786.6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34A55358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457B159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1DF8D5D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-0.005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6E2F8C1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0.0002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311E2E0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0.067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6DD90DD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-4375.4</w:t>
            </w:r>
          </w:p>
        </w:tc>
      </w:tr>
      <w:tr w:rsidR="00933911" w:rsidRPr="00933911" w14:paraId="03D79AA7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43E7EE49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%VC (%)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33AD2C8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0.004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15911D5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-0.05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7B20641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0.06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24AC57A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0.892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02ABED1A" w14:textId="122A1855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74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963.3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18B3B7D8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41A0923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-0.07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48153F8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2334D8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-0.004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3531F6F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0.037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58DBD06C" w14:textId="4A9ABBDC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74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441.0</w:t>
            </w:r>
          </w:p>
        </w:tc>
      </w:tr>
      <w:tr w:rsidR="00933911" w:rsidRPr="00933911" w14:paraId="35DFD7D4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01549CDD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FEV1 (l)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261273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0.0001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2CE5A53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100A27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0.002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106558C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0.925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1B0BAC9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-7999.7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29E7EAFA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412E4A6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-0.001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27E9BD4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-0.004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D0FB89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0.001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6F296A9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0.272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22EB3F1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-8462.7</w:t>
            </w:r>
          </w:p>
        </w:tc>
      </w:tr>
      <w:tr w:rsidR="00933911" w:rsidRPr="00933911" w14:paraId="365CC993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6767B9A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%FEV1 (%)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1149389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410DEB2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-0.05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4E03044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0.08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64C7A1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0.608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59871008" w14:textId="0EFE0635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76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776.5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2D7EDE2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771DFA9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5423BDC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-0.09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A33B72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0.05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2D075BA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0.568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0E538D34" w14:textId="1C8C8323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76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306.5</w:t>
            </w:r>
          </w:p>
        </w:tc>
      </w:tr>
      <w:tr w:rsidR="00933911" w:rsidRPr="00933911" w14:paraId="35C909D4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20ADE36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FEV1/FVC (%)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49F96F1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012861B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-0.04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539431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00D0414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0.866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5065C174" w14:textId="63D527CF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893.8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6ABB6C96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3341AA7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7936116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-0.04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2A46FC7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0.04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004FCC2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0.903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1058B29E" w14:textId="35F13E00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721.0</w:t>
            </w:r>
          </w:p>
        </w:tc>
      </w:tr>
      <w:tr w:rsidR="00933911" w:rsidRPr="00933911" w14:paraId="68738B8B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7C8AD539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%FEV1/FVC (%)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7522DB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0.006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554B97A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-0.04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500535D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0.05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72EF229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0.808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5B0FD300" w14:textId="56E0C4B8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65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957.3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091E8B7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73D9B76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025E2D2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-0.04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1F734A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0.06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33AC557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0.727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7558BDBA" w14:textId="048BCA7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65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790.5</w:t>
            </w:r>
          </w:p>
        </w:tc>
      </w:tr>
      <w:tr w:rsidR="00933911" w:rsidRPr="00933911" w14:paraId="3E9C7860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33BD40D1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PEFR (l/s)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7E6C6C4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20832EF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0.008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63ADC31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1C2187B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4D607330" w14:textId="48989F82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29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150.6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082FCE02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2CFEE6D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0.01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49EA7DD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0.003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3EAF36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0.02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278997A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0.011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648ADF11" w14:textId="7009D0AF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28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445.3</w:t>
            </w:r>
          </w:p>
        </w:tc>
      </w:tr>
      <w:tr w:rsidR="00933911" w:rsidRPr="00933911" w14:paraId="5AB925CD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13C2D59E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V25 (l/s)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3489C09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0.0005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23AEA23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7D931D9B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0.004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0FE3B18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0.747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2D1E696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4573.4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02BD5FD8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bottom"/>
          </w:tcPr>
          <w:p w14:paraId="36129E6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0.0002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0353094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-0.004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23985E1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0.004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275F262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0.921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08485A3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4303.0</w:t>
            </w:r>
          </w:p>
        </w:tc>
      </w:tr>
      <w:tr w:rsidR="00933911" w:rsidRPr="00933911" w14:paraId="0D5F17FA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single" w:sz="4" w:space="0" w:color="auto"/>
            </w:tcBorders>
            <w:vAlign w:val="center"/>
          </w:tcPr>
          <w:p w14:paraId="0BEC0A0F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%V25 (%)</w:t>
            </w:r>
          </w:p>
        </w:tc>
        <w:tc>
          <w:tcPr>
            <w:tcW w:w="951" w:type="dxa"/>
            <w:tcBorders>
              <w:top w:val="nil"/>
              <w:bottom w:val="single" w:sz="4" w:space="0" w:color="auto"/>
            </w:tcBorders>
            <w:vAlign w:val="center"/>
          </w:tcPr>
          <w:p w14:paraId="794A9A1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-0.06</w:t>
            </w:r>
          </w:p>
        </w:tc>
        <w:tc>
          <w:tcPr>
            <w:tcW w:w="881" w:type="dxa"/>
            <w:tcBorders>
              <w:top w:val="nil"/>
              <w:bottom w:val="single" w:sz="4" w:space="0" w:color="auto"/>
            </w:tcBorders>
            <w:vAlign w:val="center"/>
          </w:tcPr>
          <w:p w14:paraId="3E0670D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-0.2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1823FE7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0.10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vAlign w:val="center"/>
          </w:tcPr>
          <w:p w14:paraId="37E6CA1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0.457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  <w:vAlign w:val="center"/>
          </w:tcPr>
          <w:p w14:paraId="2BE3B58A" w14:textId="7173709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102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127.6</w:t>
            </w:r>
          </w:p>
        </w:tc>
        <w:tc>
          <w:tcPr>
            <w:tcW w:w="222" w:type="dxa"/>
            <w:vMerge/>
            <w:tcBorders>
              <w:top w:val="nil"/>
              <w:bottom w:val="single" w:sz="4" w:space="0" w:color="auto"/>
            </w:tcBorders>
          </w:tcPr>
          <w:p w14:paraId="59B83929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single" w:sz="4" w:space="0" w:color="auto"/>
            </w:tcBorders>
            <w:vAlign w:val="center"/>
          </w:tcPr>
          <w:p w14:paraId="0B75C56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14:paraId="4023667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-0.20</w:t>
            </w:r>
          </w:p>
        </w:tc>
        <w:tc>
          <w:tcPr>
            <w:tcW w:w="933" w:type="dxa"/>
            <w:tcBorders>
              <w:top w:val="nil"/>
              <w:bottom w:val="single" w:sz="4" w:space="0" w:color="auto"/>
            </w:tcBorders>
            <w:vAlign w:val="center"/>
          </w:tcPr>
          <w:p w14:paraId="291E15A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0.15</w:t>
            </w:r>
          </w:p>
        </w:tc>
        <w:tc>
          <w:tcPr>
            <w:tcW w:w="1048" w:type="dxa"/>
            <w:tcBorders>
              <w:top w:val="nil"/>
              <w:bottom w:val="single" w:sz="4" w:space="0" w:color="auto"/>
            </w:tcBorders>
            <w:vAlign w:val="center"/>
          </w:tcPr>
          <w:p w14:paraId="02328E2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0.784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vAlign w:val="center"/>
          </w:tcPr>
          <w:p w14:paraId="68833A43" w14:textId="1E3A7778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101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834.2</w:t>
            </w:r>
          </w:p>
        </w:tc>
      </w:tr>
      <w:tr w:rsidR="00933911" w:rsidRPr="00933911" w14:paraId="6ABBA7B1" w14:textId="77777777" w:rsidTr="00FC7B68">
        <w:trPr>
          <w:trHeight w:val="20"/>
        </w:trPr>
        <w:tc>
          <w:tcPr>
            <w:tcW w:w="2802" w:type="dxa"/>
            <w:tcBorders>
              <w:top w:val="single" w:sz="4" w:space="0" w:color="auto"/>
              <w:bottom w:val="nil"/>
            </w:tcBorders>
            <w:vAlign w:val="center"/>
          </w:tcPr>
          <w:p w14:paraId="14279110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Biomarkers</w:t>
            </w:r>
          </w:p>
        </w:tc>
        <w:tc>
          <w:tcPr>
            <w:tcW w:w="951" w:type="dxa"/>
            <w:tcBorders>
              <w:top w:val="single" w:sz="4" w:space="0" w:color="auto"/>
              <w:bottom w:val="nil"/>
            </w:tcBorders>
          </w:tcPr>
          <w:p w14:paraId="4CF4D1FA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881" w:type="dxa"/>
            <w:tcBorders>
              <w:top w:val="single" w:sz="4" w:space="0" w:color="auto"/>
              <w:bottom w:val="nil"/>
            </w:tcBorders>
          </w:tcPr>
          <w:p w14:paraId="6728426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0E8765E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1049" w:type="dxa"/>
            <w:tcBorders>
              <w:top w:val="single" w:sz="4" w:space="0" w:color="auto"/>
              <w:bottom w:val="nil"/>
            </w:tcBorders>
          </w:tcPr>
          <w:p w14:paraId="7B5DCAAC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</w:tcPr>
          <w:p w14:paraId="583534AD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222" w:type="dxa"/>
            <w:vMerge w:val="restart"/>
            <w:tcBorders>
              <w:top w:val="single" w:sz="4" w:space="0" w:color="auto"/>
              <w:bottom w:val="nil"/>
            </w:tcBorders>
          </w:tcPr>
          <w:p w14:paraId="0C32A4F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single" w:sz="4" w:space="0" w:color="auto"/>
              <w:bottom w:val="nil"/>
            </w:tcBorders>
          </w:tcPr>
          <w:p w14:paraId="0DF07D7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</w:tcPr>
          <w:p w14:paraId="5E09115F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933" w:type="dxa"/>
            <w:tcBorders>
              <w:top w:val="single" w:sz="4" w:space="0" w:color="auto"/>
              <w:bottom w:val="nil"/>
            </w:tcBorders>
          </w:tcPr>
          <w:p w14:paraId="1CEC41A1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1048" w:type="dxa"/>
            <w:tcBorders>
              <w:top w:val="single" w:sz="4" w:space="0" w:color="auto"/>
              <w:bottom w:val="nil"/>
            </w:tcBorders>
          </w:tcPr>
          <w:p w14:paraId="2E9E8858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  <w:tc>
          <w:tcPr>
            <w:tcW w:w="1058" w:type="dxa"/>
            <w:tcBorders>
              <w:top w:val="single" w:sz="4" w:space="0" w:color="auto"/>
              <w:bottom w:val="nil"/>
            </w:tcBorders>
          </w:tcPr>
          <w:p w14:paraId="12E15D0E" w14:textId="77777777" w:rsidR="00457B99" w:rsidRPr="00933911" w:rsidRDefault="00AB7AD0" w:rsidP="00B1508D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ＭＳ 明朝" w:eastAsia="ＭＳ 明朝" w:hAnsi="ＭＳ 明朝" w:cs="ＭＳ 明朝"/>
                <w:sz w:val="21"/>
                <w:lang w:val="en-US"/>
              </w:rPr>
              <w:t xml:space="preserve">　</w:t>
            </w:r>
          </w:p>
        </w:tc>
      </w:tr>
      <w:tr w:rsidR="00933911" w:rsidRPr="00933911" w14:paraId="0E4D3397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3C1D27B0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CRP (mg/dl)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4588647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0.0007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1C83787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7AB1F08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0.003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17666AA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0.635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4F1748B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3626.3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</w:tcPr>
          <w:p w14:paraId="4B4C599C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4B168F1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3B7B270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-0.002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7E95766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0.003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46EB7FF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0.658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5398219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3620.2</w:t>
            </w:r>
          </w:p>
        </w:tc>
      </w:tr>
      <w:tr w:rsidR="00933911" w:rsidRPr="00933911" w14:paraId="6756EDEA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42C0CEE5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IgE (IU/ml)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79CDF30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3.2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6CF0D9C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-1.6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6EDEEAA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7.9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78DDCAC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0.190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6FB95610" w14:textId="595D9201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177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623.3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</w:tcPr>
          <w:p w14:paraId="342783F2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6AFDB68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4.6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22511EA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-1.00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1D12E2F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10.1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7898CFF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0.108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196F8BE7" w14:textId="54765CFB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175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403.0</w:t>
            </w:r>
          </w:p>
        </w:tc>
      </w:tr>
      <w:tr w:rsidR="00933911" w:rsidRPr="00933911" w14:paraId="41D892CC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0CF2116A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lastRenderedPageBreak/>
              <w:t>IL-4 (pg/ml)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3D92B61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-0.6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4060A57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-1.4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56B88B8A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00CE07A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0.103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7B082EF6" w14:textId="13531459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74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836.4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</w:tcPr>
          <w:p w14:paraId="03FE9466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588FC3D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1E586D6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-1.9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416952D8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009C072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0.090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7CCC39F6" w14:textId="6F97218F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74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144.7</w:t>
            </w:r>
          </w:p>
        </w:tc>
      </w:tr>
      <w:tr w:rsidR="00933911" w:rsidRPr="00933911" w14:paraId="7371D591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2C8467DD" w14:textId="106EB563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IL-6 (pg/ml)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6E91554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5880CC3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-0.08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60277B4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65B2159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0.386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7BF2E272" w14:textId="29F0B670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36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698.8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</w:tcPr>
          <w:p w14:paraId="2FE63024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2CD1B15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-0.02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038C3AE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-0.08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35BC9EE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0.04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202844A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0.459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43DF955C" w14:textId="1C95545B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36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310.2</w:t>
            </w:r>
          </w:p>
        </w:tc>
      </w:tr>
      <w:tr w:rsidR="00933911" w:rsidRPr="00933911" w14:paraId="10090339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nil"/>
            </w:tcBorders>
            <w:vAlign w:val="center"/>
          </w:tcPr>
          <w:p w14:paraId="711B1222" w14:textId="70B19F66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IL-8 (pg/ml)</w:t>
            </w: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3693A94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-0.06</w:t>
            </w:r>
          </w:p>
        </w:tc>
        <w:tc>
          <w:tcPr>
            <w:tcW w:w="881" w:type="dxa"/>
            <w:tcBorders>
              <w:top w:val="nil"/>
              <w:bottom w:val="nil"/>
            </w:tcBorders>
            <w:vAlign w:val="center"/>
          </w:tcPr>
          <w:p w14:paraId="59D2A7B1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-0.1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01781E6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0.03</w:t>
            </w:r>
          </w:p>
        </w:tc>
        <w:tc>
          <w:tcPr>
            <w:tcW w:w="1049" w:type="dxa"/>
            <w:tcBorders>
              <w:top w:val="nil"/>
              <w:bottom w:val="nil"/>
            </w:tcBorders>
            <w:vAlign w:val="center"/>
          </w:tcPr>
          <w:p w14:paraId="7832F48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0.227</w:t>
            </w:r>
          </w:p>
        </w:tc>
        <w:tc>
          <w:tcPr>
            <w:tcW w:w="1056" w:type="dxa"/>
            <w:tcBorders>
              <w:top w:val="nil"/>
              <w:bottom w:val="nil"/>
            </w:tcBorders>
            <w:vAlign w:val="center"/>
          </w:tcPr>
          <w:p w14:paraId="55DB2E0A" w14:textId="6F3E54B8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804.9</w:t>
            </w:r>
          </w:p>
        </w:tc>
        <w:tc>
          <w:tcPr>
            <w:tcW w:w="222" w:type="dxa"/>
            <w:vMerge/>
            <w:tcBorders>
              <w:top w:val="nil"/>
              <w:bottom w:val="nil"/>
            </w:tcBorders>
          </w:tcPr>
          <w:p w14:paraId="548222F4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nil"/>
            </w:tcBorders>
            <w:vAlign w:val="center"/>
          </w:tcPr>
          <w:p w14:paraId="1F83C50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14:paraId="1D29937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-0.1</w:t>
            </w:r>
          </w:p>
        </w:tc>
        <w:tc>
          <w:tcPr>
            <w:tcW w:w="933" w:type="dxa"/>
            <w:tcBorders>
              <w:top w:val="nil"/>
              <w:bottom w:val="nil"/>
            </w:tcBorders>
            <w:vAlign w:val="center"/>
          </w:tcPr>
          <w:p w14:paraId="5F0A85AE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0.08</w:t>
            </w:r>
          </w:p>
        </w:tc>
        <w:tc>
          <w:tcPr>
            <w:tcW w:w="1048" w:type="dxa"/>
            <w:tcBorders>
              <w:top w:val="nil"/>
              <w:bottom w:val="nil"/>
            </w:tcBorders>
            <w:vAlign w:val="center"/>
          </w:tcPr>
          <w:p w14:paraId="31B75B6C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0.583</w:t>
            </w:r>
          </w:p>
        </w:tc>
        <w:tc>
          <w:tcPr>
            <w:tcW w:w="1058" w:type="dxa"/>
            <w:tcBorders>
              <w:top w:val="nil"/>
              <w:bottom w:val="nil"/>
            </w:tcBorders>
            <w:vAlign w:val="center"/>
          </w:tcPr>
          <w:p w14:paraId="623B17B2" w14:textId="1F157B0B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42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749.8</w:t>
            </w:r>
          </w:p>
        </w:tc>
      </w:tr>
      <w:tr w:rsidR="00933911" w:rsidRPr="00933911" w14:paraId="4A7A34B8" w14:textId="77777777" w:rsidTr="00FC7B68">
        <w:trPr>
          <w:trHeight w:val="20"/>
        </w:trPr>
        <w:tc>
          <w:tcPr>
            <w:tcW w:w="2802" w:type="dxa"/>
            <w:tcBorders>
              <w:top w:val="nil"/>
            </w:tcBorders>
            <w:vAlign w:val="center"/>
          </w:tcPr>
          <w:p w14:paraId="44CD6957" w14:textId="77777777" w:rsidR="00457B99" w:rsidRPr="00933911" w:rsidRDefault="00AB7AD0" w:rsidP="00B1508D">
            <w:pPr>
              <w:spacing w:after="0" w:line="480" w:lineRule="auto"/>
              <w:ind w:left="210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IFN-γ (IU/ml)</w:t>
            </w:r>
          </w:p>
        </w:tc>
        <w:tc>
          <w:tcPr>
            <w:tcW w:w="951" w:type="dxa"/>
            <w:tcBorders>
              <w:top w:val="nil"/>
            </w:tcBorders>
            <w:vAlign w:val="center"/>
          </w:tcPr>
          <w:p w14:paraId="174EFAF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-0.005</w:t>
            </w:r>
          </w:p>
        </w:tc>
        <w:tc>
          <w:tcPr>
            <w:tcW w:w="881" w:type="dxa"/>
            <w:tcBorders>
              <w:top w:val="nil"/>
            </w:tcBorders>
            <w:vAlign w:val="center"/>
          </w:tcPr>
          <w:p w14:paraId="4BFE665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-0.007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79A9E40F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1049" w:type="dxa"/>
            <w:tcBorders>
              <w:top w:val="nil"/>
            </w:tcBorders>
            <w:vAlign w:val="center"/>
          </w:tcPr>
          <w:p w14:paraId="059F1155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6" w:type="dxa"/>
            <w:tcBorders>
              <w:top w:val="nil"/>
            </w:tcBorders>
            <w:vAlign w:val="center"/>
          </w:tcPr>
          <w:p w14:paraId="4268A359" w14:textId="250F313B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-20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939.5</w:t>
            </w:r>
          </w:p>
        </w:tc>
        <w:tc>
          <w:tcPr>
            <w:tcW w:w="222" w:type="dxa"/>
            <w:vMerge/>
            <w:tcBorders>
              <w:top w:val="nil"/>
            </w:tcBorders>
          </w:tcPr>
          <w:p w14:paraId="434F7362" w14:textId="77777777" w:rsidR="00457B99" w:rsidRPr="00933911" w:rsidRDefault="00457B99" w:rsidP="00B1508D">
            <w:pPr>
              <w:spacing w:after="0" w:line="480" w:lineRule="auto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</w:tcBorders>
            <w:vAlign w:val="center"/>
          </w:tcPr>
          <w:p w14:paraId="5A0A5F93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-0.007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14:paraId="5B01769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-0.003</w:t>
            </w:r>
          </w:p>
        </w:tc>
        <w:tc>
          <w:tcPr>
            <w:tcW w:w="933" w:type="dxa"/>
            <w:tcBorders>
              <w:top w:val="nil"/>
            </w:tcBorders>
            <w:vAlign w:val="center"/>
          </w:tcPr>
          <w:p w14:paraId="622FB082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-0.0048</w:t>
            </w:r>
          </w:p>
        </w:tc>
        <w:tc>
          <w:tcPr>
            <w:tcW w:w="1048" w:type="dxa"/>
            <w:tcBorders>
              <w:top w:val="nil"/>
            </w:tcBorders>
            <w:vAlign w:val="center"/>
          </w:tcPr>
          <w:p w14:paraId="5A935EC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&lt;0.001</w:t>
            </w:r>
          </w:p>
        </w:tc>
        <w:tc>
          <w:tcPr>
            <w:tcW w:w="1058" w:type="dxa"/>
            <w:tcBorders>
              <w:top w:val="nil"/>
            </w:tcBorders>
            <w:vAlign w:val="center"/>
          </w:tcPr>
          <w:p w14:paraId="62A7627D" w14:textId="5BCCDEC3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-20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942.6</w:t>
            </w:r>
          </w:p>
        </w:tc>
      </w:tr>
      <w:tr w:rsidR="00933911" w:rsidRPr="00933911" w14:paraId="6A2AE168" w14:textId="77777777" w:rsidTr="00FC7B68">
        <w:trPr>
          <w:trHeight w:val="20"/>
        </w:trPr>
        <w:tc>
          <w:tcPr>
            <w:tcW w:w="2802" w:type="dxa"/>
            <w:tcBorders>
              <w:top w:val="nil"/>
              <w:bottom w:val="single" w:sz="4" w:space="0" w:color="auto"/>
            </w:tcBorders>
            <w:vAlign w:val="center"/>
          </w:tcPr>
          <w:p w14:paraId="4D45527B" w14:textId="62741AA5" w:rsidR="00457B99" w:rsidRPr="00933911" w:rsidRDefault="00FC7B68" w:rsidP="00FC7B68">
            <w:pPr>
              <w:spacing w:after="0" w:line="480" w:lineRule="auto"/>
              <w:ind w:left="210" w:rightChars="-48" w:right="-106"/>
              <w:jc w:val="left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8-OHdG/Creatinine (ng/mg)</w:t>
            </w:r>
          </w:p>
        </w:tc>
        <w:tc>
          <w:tcPr>
            <w:tcW w:w="951" w:type="dxa"/>
            <w:tcBorders>
              <w:top w:val="nil"/>
              <w:bottom w:val="single" w:sz="4" w:space="0" w:color="auto"/>
            </w:tcBorders>
            <w:vAlign w:val="center"/>
          </w:tcPr>
          <w:p w14:paraId="777A1824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-0.01</w:t>
            </w:r>
          </w:p>
        </w:tc>
        <w:tc>
          <w:tcPr>
            <w:tcW w:w="881" w:type="dxa"/>
            <w:tcBorders>
              <w:top w:val="nil"/>
              <w:bottom w:val="single" w:sz="4" w:space="0" w:color="auto"/>
            </w:tcBorders>
            <w:vAlign w:val="center"/>
          </w:tcPr>
          <w:p w14:paraId="21FD06A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  <w:vAlign w:val="center"/>
          </w:tcPr>
          <w:p w14:paraId="02F50BF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0.0009</w:t>
            </w:r>
          </w:p>
        </w:tc>
        <w:tc>
          <w:tcPr>
            <w:tcW w:w="1049" w:type="dxa"/>
            <w:tcBorders>
              <w:top w:val="nil"/>
              <w:bottom w:val="single" w:sz="4" w:space="0" w:color="auto"/>
            </w:tcBorders>
            <w:vAlign w:val="center"/>
          </w:tcPr>
          <w:p w14:paraId="0DD8A74D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0.065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  <w:vAlign w:val="center"/>
          </w:tcPr>
          <w:p w14:paraId="4B96DAAA" w14:textId="302F7D8B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45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402.9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</w:tcPr>
          <w:p w14:paraId="754F843F" w14:textId="77777777" w:rsidR="00457B99" w:rsidRPr="00933911" w:rsidRDefault="00457B99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</w:p>
        </w:tc>
        <w:tc>
          <w:tcPr>
            <w:tcW w:w="951" w:type="dxa"/>
            <w:tcBorders>
              <w:top w:val="nil"/>
              <w:bottom w:val="single" w:sz="4" w:space="0" w:color="auto"/>
            </w:tcBorders>
            <w:vAlign w:val="center"/>
          </w:tcPr>
          <w:p w14:paraId="06915296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-0.01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14:paraId="1019F4F9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-0.03</w:t>
            </w:r>
          </w:p>
        </w:tc>
        <w:tc>
          <w:tcPr>
            <w:tcW w:w="933" w:type="dxa"/>
            <w:tcBorders>
              <w:top w:val="nil"/>
              <w:bottom w:val="single" w:sz="4" w:space="0" w:color="auto"/>
            </w:tcBorders>
            <w:vAlign w:val="center"/>
          </w:tcPr>
          <w:p w14:paraId="4ED7BBF0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0.003</w:t>
            </w:r>
          </w:p>
        </w:tc>
        <w:tc>
          <w:tcPr>
            <w:tcW w:w="1048" w:type="dxa"/>
            <w:tcBorders>
              <w:top w:val="nil"/>
              <w:bottom w:val="single" w:sz="4" w:space="0" w:color="auto"/>
            </w:tcBorders>
            <w:vAlign w:val="center"/>
          </w:tcPr>
          <w:p w14:paraId="4551CAF7" w14:textId="77777777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0.115</w:t>
            </w:r>
          </w:p>
        </w:tc>
        <w:tc>
          <w:tcPr>
            <w:tcW w:w="1058" w:type="dxa"/>
            <w:tcBorders>
              <w:top w:val="nil"/>
              <w:bottom w:val="single" w:sz="4" w:space="0" w:color="auto"/>
            </w:tcBorders>
            <w:vAlign w:val="center"/>
          </w:tcPr>
          <w:p w14:paraId="6DE44B55" w14:textId="1646675E" w:rsidR="00457B99" w:rsidRPr="00933911" w:rsidRDefault="00AB7AD0" w:rsidP="00B1508D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1"/>
                <w:lang w:val="en-US"/>
              </w:rPr>
            </w:pP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45</w:t>
            </w:r>
            <w:r w:rsidR="006D6649"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,</w:t>
            </w:r>
            <w:r w:rsidRPr="00933911">
              <w:rPr>
                <w:rFonts w:ascii="Times New Roman" w:eastAsia="Times New Roman" w:hAnsi="Times New Roman" w:cs="Times New Roman"/>
                <w:sz w:val="21"/>
                <w:lang w:val="en-US"/>
              </w:rPr>
              <w:t>352.5</w:t>
            </w:r>
          </w:p>
        </w:tc>
      </w:tr>
    </w:tbl>
    <w:p w14:paraId="00C54BD0" w14:textId="3DF8A878" w:rsidR="006F1717" w:rsidRPr="00933911" w:rsidRDefault="006F1717" w:rsidP="006F1717">
      <w:pPr>
        <w:spacing w:after="0" w:line="480" w:lineRule="auto"/>
        <w:jc w:val="left"/>
        <w:rPr>
          <w:rFonts w:ascii="Times New Roman" w:eastAsia="Times New Roman" w:hAnsi="Times New Roman" w:cs="Times New Roman"/>
          <w:sz w:val="21"/>
          <w:lang w:val="en-US"/>
        </w:rPr>
      </w:pP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Dependent variables </w:t>
      </w:r>
      <w:r w:rsidR="00EA338E" w:rsidRPr="00933911">
        <w:rPr>
          <w:rFonts w:ascii="Times New Roman" w:eastAsia="Times New Roman" w:hAnsi="Times New Roman" w:cs="Times New Roman"/>
          <w:sz w:val="21"/>
          <w:lang w:val="en-US"/>
        </w:rPr>
        <w:t>comprised the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parameter</w:t>
      </w:r>
      <w:r w:rsidR="00EA338E" w:rsidRPr="00933911">
        <w:rPr>
          <w:rFonts w:ascii="Times New Roman" w:eastAsia="Times New Roman" w:hAnsi="Times New Roman" w:cs="Times New Roman"/>
          <w:sz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of respiratory function tests and the values of biomarker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in both models 1 and 2. In model 1, we treated toner</w:t>
      </w:r>
      <w:r w:rsidR="007055EA" w:rsidRPr="00933911">
        <w:rPr>
          <w:rFonts w:ascii="Times New Roman" w:eastAsia="Times New Roman" w:hAnsi="Times New Roman" w:cs="Times New Roman"/>
          <w:sz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handling work, the survey year, and the interaction between toner</w:t>
      </w:r>
      <w:r w:rsidR="007055EA" w:rsidRPr="00933911">
        <w:rPr>
          <w:rFonts w:ascii="Times New Roman" w:eastAsia="Times New Roman" w:hAnsi="Times New Roman" w:cs="Times New Roman"/>
          <w:sz w:val="21"/>
          <w:lang w:val="en-US"/>
        </w:rPr>
        <w:t>-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handling work and survey year as fixed effects and treated only the individual differences at baseline as the random effect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(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random intercept model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)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. In model 2, we treated certain individual difference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s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during the observation period 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and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the individual differences at baseline as random effects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(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random intercept and slope models</w:t>
      </w:r>
      <w:r w:rsidR="00097E91" w:rsidRPr="00933911">
        <w:rPr>
          <w:rFonts w:ascii="Times New Roman" w:eastAsia="Times New Roman" w:hAnsi="Times New Roman" w:cs="Times New Roman"/>
          <w:sz w:val="21"/>
          <w:lang w:val="en-US"/>
        </w:rPr>
        <w:t>)</w:t>
      </w:r>
    </w:p>
    <w:p w14:paraId="69995FAE" w14:textId="36B1D81D" w:rsidR="00457B99" w:rsidRPr="00933911" w:rsidRDefault="006F1717" w:rsidP="006F1717">
      <w:pPr>
        <w:spacing w:after="0" w:line="480" w:lineRule="auto"/>
        <w:jc w:val="left"/>
        <w:rPr>
          <w:rFonts w:ascii="Times New Roman" w:eastAsia="Times New Roman" w:hAnsi="Times New Roman" w:cs="Times New Roman"/>
          <w:sz w:val="21"/>
          <w:lang w:val="en-US"/>
        </w:rPr>
      </w:pPr>
      <w:r w:rsidRPr="00933911">
        <w:rPr>
          <w:rFonts w:ascii="Times New Roman" w:eastAsia="Times New Roman" w:hAnsi="Times New Roman" w:cs="Times New Roman"/>
          <w:sz w:val="21"/>
          <w:lang w:val="en-US"/>
        </w:rPr>
        <w:t>CI: confidence interval, AIC: Akaike</w:t>
      </w:r>
      <w:r w:rsidR="00EA338E" w:rsidRPr="00933911">
        <w:rPr>
          <w:rFonts w:ascii="Times New Roman" w:eastAsia="Times New Roman" w:hAnsi="Times New Roman" w:cs="Times New Roman"/>
          <w:sz w:val="21"/>
          <w:lang w:val="en-US"/>
        </w:rPr>
        <w:t>’</w:t>
      </w:r>
      <w:r w:rsidRPr="00933911">
        <w:rPr>
          <w:rFonts w:ascii="Times New Roman" w:eastAsia="Times New Roman" w:hAnsi="Times New Roman" w:cs="Times New Roman"/>
          <w:sz w:val="21"/>
          <w:lang w:val="en-US"/>
        </w:rPr>
        <w:t>s Information Criterion,</w:t>
      </w:r>
      <w:r w:rsidR="00EA338E" w:rsidRPr="00933911">
        <w:rPr>
          <w:rFonts w:ascii="Times New Roman" w:eastAsia="Times New Roman" w:hAnsi="Times New Roman" w:cs="Times New Roman"/>
          <w:sz w:val="21"/>
          <w:lang w:val="en-US"/>
        </w:rPr>
        <w:t xml:space="preserve"> </w:t>
      </w:r>
      <w:r w:rsidR="00EA338E" w:rsidRPr="00933911">
        <w:rPr>
          <w:rFonts w:ascii="Times New Roman" w:eastAsia="Times New Roman" w:hAnsi="Times New Roman" w:cs="Times New Roman"/>
          <w:sz w:val="21"/>
          <w:szCs w:val="21"/>
          <w:lang w:val="en-US"/>
        </w:rPr>
        <w:t>VC: vital capacity, %VC: percentage of VC to predicted VC value, FEV1: forced expiratory volume in 1 s, %FEV1: percentage of FEV1 to predicted FEV1 value, FEV1/FVC: percentage of forced expiratory volume in 1 s, %FEV1/FVC: percentage of FEV1/FVC to predicted FEV1/FVC value, PEFR: peak expiratory flow rate, V25: maximal expiratory flow at 25% forced VC, CRP: C-reactive protein, IgE: immunoglobulin E, IL: interleukin, IFN-γ: interferon-gamma, 8-OHdG: 8-hydroxy-2′-deoxyguanosine</w:t>
      </w:r>
    </w:p>
    <w:p w14:paraId="1BC5DD6D" w14:textId="77777777" w:rsidR="006F1717" w:rsidRPr="00933911" w:rsidRDefault="006F1717" w:rsidP="006F1717">
      <w:pPr>
        <w:spacing w:after="0" w:line="480" w:lineRule="auto"/>
        <w:jc w:val="left"/>
        <w:rPr>
          <w:rFonts w:ascii="Times New Roman" w:eastAsia="Times New Roman" w:hAnsi="Times New Roman" w:cs="Times New Roman"/>
          <w:sz w:val="21"/>
          <w:szCs w:val="21"/>
          <w:lang w:val="en-US"/>
        </w:rPr>
      </w:pPr>
    </w:p>
    <w:p w14:paraId="0A673CF6" w14:textId="02490F69" w:rsidR="00E64553" w:rsidRPr="00933911" w:rsidRDefault="00E64553">
      <w:pPr>
        <w:spacing w:after="0" w:line="240" w:lineRule="auto"/>
        <w:jc w:val="left"/>
        <w:rPr>
          <w:rFonts w:ascii="Times New Roman" w:hAnsi="Times New Roman" w:cs="Times New Roman"/>
          <w:b/>
          <w:bCs/>
          <w:sz w:val="21"/>
          <w:szCs w:val="21"/>
          <w:lang w:val="en-US"/>
        </w:rPr>
      </w:pPr>
    </w:p>
    <w:sectPr w:rsidR="00E64553" w:rsidRPr="00933911" w:rsidSect="00E64553">
      <w:footerReference w:type="default" r:id="rId8"/>
      <w:pgSz w:w="16838" w:h="11906" w:orient="landscape" w:code="9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70C1E" w14:textId="77777777" w:rsidR="00852B50" w:rsidRDefault="00852B50" w:rsidP="00B1508D">
      <w:pPr>
        <w:spacing w:after="0" w:line="240" w:lineRule="auto"/>
      </w:pPr>
      <w:r>
        <w:separator/>
      </w:r>
    </w:p>
  </w:endnote>
  <w:endnote w:type="continuationSeparator" w:id="0">
    <w:p w14:paraId="663A26E8" w14:textId="77777777" w:rsidR="00852B50" w:rsidRDefault="00852B50" w:rsidP="00B1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lang w:val="en-US"/>
      </w:rPr>
      <w:id w:val="526990980"/>
      <w:docPartObj>
        <w:docPartGallery w:val="Page Numbers (Bottom of Page)"/>
        <w:docPartUnique/>
      </w:docPartObj>
    </w:sdtPr>
    <w:sdtEndPr/>
    <w:sdtContent>
      <w:p w14:paraId="0558C935" w14:textId="255881F4" w:rsidR="006A56E4" w:rsidRPr="006D0F95" w:rsidRDefault="006A56E4">
        <w:pPr>
          <w:pStyle w:val="af4"/>
          <w:jc w:val="center"/>
          <w:rPr>
            <w:lang w:val="en-US"/>
          </w:rPr>
        </w:pPr>
        <w:r w:rsidRPr="006D0F95">
          <w:rPr>
            <w:lang w:val="en-US"/>
          </w:rPr>
          <w:fldChar w:fldCharType="begin"/>
        </w:r>
        <w:r w:rsidRPr="006D0F95">
          <w:rPr>
            <w:lang w:val="en-US"/>
          </w:rPr>
          <w:instrText xml:space="preserve"> PAGE   \* MERGEFORMAT </w:instrText>
        </w:r>
        <w:r w:rsidRPr="006D0F95">
          <w:rPr>
            <w:lang w:val="en-US"/>
          </w:rPr>
          <w:fldChar w:fldCharType="separate"/>
        </w:r>
        <w:r w:rsidR="001E610C">
          <w:rPr>
            <w:noProof/>
            <w:lang w:val="en-US"/>
          </w:rPr>
          <w:t>1</w:t>
        </w:r>
        <w:r w:rsidRPr="006D0F95">
          <w:rPr>
            <w:lang w:val="en-US"/>
          </w:rPr>
          <w:fldChar w:fldCharType="end"/>
        </w:r>
      </w:p>
    </w:sdtContent>
  </w:sdt>
  <w:p w14:paraId="4B00D84B" w14:textId="77777777" w:rsidR="006A56E4" w:rsidRPr="006D0F95" w:rsidRDefault="006A56E4">
    <w:pPr>
      <w:pStyle w:val="af4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79618F" w14:textId="77777777" w:rsidR="00852B50" w:rsidRDefault="00852B50" w:rsidP="00B1508D">
      <w:pPr>
        <w:spacing w:after="0" w:line="240" w:lineRule="auto"/>
      </w:pPr>
      <w:r>
        <w:separator/>
      </w:r>
    </w:p>
  </w:footnote>
  <w:footnote w:type="continuationSeparator" w:id="0">
    <w:p w14:paraId="4C3506F9" w14:textId="77777777" w:rsidR="00852B50" w:rsidRDefault="00852B50" w:rsidP="00B150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s_review_method" w:val="Incompatible"/>
  </w:docVars>
  <w:rsids>
    <w:rsidRoot w:val="00457B99"/>
    <w:rsid w:val="00015D35"/>
    <w:rsid w:val="00044814"/>
    <w:rsid w:val="000575F4"/>
    <w:rsid w:val="00064E1F"/>
    <w:rsid w:val="00080F06"/>
    <w:rsid w:val="00081209"/>
    <w:rsid w:val="000964C0"/>
    <w:rsid w:val="00097E91"/>
    <w:rsid w:val="000B24D3"/>
    <w:rsid w:val="000D30BB"/>
    <w:rsid w:val="00102099"/>
    <w:rsid w:val="00112C92"/>
    <w:rsid w:val="00140F71"/>
    <w:rsid w:val="00144688"/>
    <w:rsid w:val="00152E12"/>
    <w:rsid w:val="00164C94"/>
    <w:rsid w:val="00166C37"/>
    <w:rsid w:val="00173429"/>
    <w:rsid w:val="0017672E"/>
    <w:rsid w:val="00177FC9"/>
    <w:rsid w:val="00186900"/>
    <w:rsid w:val="001922C0"/>
    <w:rsid w:val="001B4D65"/>
    <w:rsid w:val="001B7AFE"/>
    <w:rsid w:val="001C5A20"/>
    <w:rsid w:val="001C798D"/>
    <w:rsid w:val="001C7A12"/>
    <w:rsid w:val="001D284E"/>
    <w:rsid w:val="001E1587"/>
    <w:rsid w:val="001E4247"/>
    <w:rsid w:val="001E610C"/>
    <w:rsid w:val="001F4570"/>
    <w:rsid w:val="002107CD"/>
    <w:rsid w:val="00215DB5"/>
    <w:rsid w:val="00216080"/>
    <w:rsid w:val="0022571E"/>
    <w:rsid w:val="0023669B"/>
    <w:rsid w:val="00242835"/>
    <w:rsid w:val="00244F27"/>
    <w:rsid w:val="00284138"/>
    <w:rsid w:val="00284F08"/>
    <w:rsid w:val="00287364"/>
    <w:rsid w:val="002A343D"/>
    <w:rsid w:val="002A4B86"/>
    <w:rsid w:val="002A7814"/>
    <w:rsid w:val="002A79D7"/>
    <w:rsid w:val="002B3407"/>
    <w:rsid w:val="002C5B69"/>
    <w:rsid w:val="002D1E65"/>
    <w:rsid w:val="002D4B2A"/>
    <w:rsid w:val="00320832"/>
    <w:rsid w:val="003346AC"/>
    <w:rsid w:val="0035218A"/>
    <w:rsid w:val="00365A48"/>
    <w:rsid w:val="00366654"/>
    <w:rsid w:val="00370217"/>
    <w:rsid w:val="00376087"/>
    <w:rsid w:val="00377C0C"/>
    <w:rsid w:val="00393BC0"/>
    <w:rsid w:val="003B1D2B"/>
    <w:rsid w:val="003B717D"/>
    <w:rsid w:val="003C0685"/>
    <w:rsid w:val="003D4AD1"/>
    <w:rsid w:val="003E2C4F"/>
    <w:rsid w:val="004370E1"/>
    <w:rsid w:val="004413DC"/>
    <w:rsid w:val="00457B99"/>
    <w:rsid w:val="00485342"/>
    <w:rsid w:val="004A5C70"/>
    <w:rsid w:val="004C78CB"/>
    <w:rsid w:val="004E0C1D"/>
    <w:rsid w:val="004E5FF8"/>
    <w:rsid w:val="00501398"/>
    <w:rsid w:val="005138A8"/>
    <w:rsid w:val="00524F0C"/>
    <w:rsid w:val="005258D1"/>
    <w:rsid w:val="00526C65"/>
    <w:rsid w:val="00543062"/>
    <w:rsid w:val="005439F8"/>
    <w:rsid w:val="005623C6"/>
    <w:rsid w:val="00563628"/>
    <w:rsid w:val="005655DB"/>
    <w:rsid w:val="00591C5A"/>
    <w:rsid w:val="0059467C"/>
    <w:rsid w:val="005A04B7"/>
    <w:rsid w:val="005A1124"/>
    <w:rsid w:val="005A41B1"/>
    <w:rsid w:val="005A7C97"/>
    <w:rsid w:val="005A7DB3"/>
    <w:rsid w:val="005B3694"/>
    <w:rsid w:val="005F031E"/>
    <w:rsid w:val="005F3F95"/>
    <w:rsid w:val="005F688D"/>
    <w:rsid w:val="0062000E"/>
    <w:rsid w:val="006238B4"/>
    <w:rsid w:val="00633F92"/>
    <w:rsid w:val="0064015B"/>
    <w:rsid w:val="00653159"/>
    <w:rsid w:val="0065684D"/>
    <w:rsid w:val="00665C62"/>
    <w:rsid w:val="00667671"/>
    <w:rsid w:val="00693A18"/>
    <w:rsid w:val="00697BDD"/>
    <w:rsid w:val="006A365E"/>
    <w:rsid w:val="006A56E4"/>
    <w:rsid w:val="006C41BF"/>
    <w:rsid w:val="006D0F95"/>
    <w:rsid w:val="006D2AB9"/>
    <w:rsid w:val="006D6649"/>
    <w:rsid w:val="006E5ABD"/>
    <w:rsid w:val="006F1717"/>
    <w:rsid w:val="006F2EBC"/>
    <w:rsid w:val="006F43EC"/>
    <w:rsid w:val="007055EA"/>
    <w:rsid w:val="0072293E"/>
    <w:rsid w:val="00722A16"/>
    <w:rsid w:val="007262E1"/>
    <w:rsid w:val="007605D6"/>
    <w:rsid w:val="00791AEA"/>
    <w:rsid w:val="007E0018"/>
    <w:rsid w:val="007E378E"/>
    <w:rsid w:val="007E73D2"/>
    <w:rsid w:val="007F38F6"/>
    <w:rsid w:val="00807D3E"/>
    <w:rsid w:val="00807D9C"/>
    <w:rsid w:val="00815882"/>
    <w:rsid w:val="00821950"/>
    <w:rsid w:val="008409AB"/>
    <w:rsid w:val="00852B50"/>
    <w:rsid w:val="00874AB2"/>
    <w:rsid w:val="00876257"/>
    <w:rsid w:val="00890852"/>
    <w:rsid w:val="008A0CCD"/>
    <w:rsid w:val="008B14F4"/>
    <w:rsid w:val="008C0B47"/>
    <w:rsid w:val="008C360D"/>
    <w:rsid w:val="008E0B84"/>
    <w:rsid w:val="008E168D"/>
    <w:rsid w:val="0090086B"/>
    <w:rsid w:val="00902D33"/>
    <w:rsid w:val="00933911"/>
    <w:rsid w:val="00936568"/>
    <w:rsid w:val="00954000"/>
    <w:rsid w:val="00961A80"/>
    <w:rsid w:val="00962067"/>
    <w:rsid w:val="009723C3"/>
    <w:rsid w:val="00985882"/>
    <w:rsid w:val="00990CE7"/>
    <w:rsid w:val="00993CFE"/>
    <w:rsid w:val="009A7B42"/>
    <w:rsid w:val="009B1D48"/>
    <w:rsid w:val="009B5495"/>
    <w:rsid w:val="009C4927"/>
    <w:rsid w:val="009D4EEE"/>
    <w:rsid w:val="009E0BDF"/>
    <w:rsid w:val="009E4149"/>
    <w:rsid w:val="00A15A7F"/>
    <w:rsid w:val="00A17D22"/>
    <w:rsid w:val="00A211B3"/>
    <w:rsid w:val="00A23FC8"/>
    <w:rsid w:val="00A30A6A"/>
    <w:rsid w:val="00A346AA"/>
    <w:rsid w:val="00A35817"/>
    <w:rsid w:val="00A72E89"/>
    <w:rsid w:val="00A8218F"/>
    <w:rsid w:val="00A83D74"/>
    <w:rsid w:val="00A9030E"/>
    <w:rsid w:val="00A96424"/>
    <w:rsid w:val="00AA6085"/>
    <w:rsid w:val="00AB69A5"/>
    <w:rsid w:val="00AB7AD0"/>
    <w:rsid w:val="00AC3E4C"/>
    <w:rsid w:val="00AC4FCC"/>
    <w:rsid w:val="00AD5FC8"/>
    <w:rsid w:val="00AE2DB4"/>
    <w:rsid w:val="00AE52E5"/>
    <w:rsid w:val="00AE7965"/>
    <w:rsid w:val="00AF7918"/>
    <w:rsid w:val="00B014FA"/>
    <w:rsid w:val="00B1508D"/>
    <w:rsid w:val="00B245C7"/>
    <w:rsid w:val="00B26964"/>
    <w:rsid w:val="00B37B9A"/>
    <w:rsid w:val="00B51249"/>
    <w:rsid w:val="00B603B0"/>
    <w:rsid w:val="00B73BAD"/>
    <w:rsid w:val="00B82D00"/>
    <w:rsid w:val="00B87510"/>
    <w:rsid w:val="00B90F08"/>
    <w:rsid w:val="00B919CF"/>
    <w:rsid w:val="00BA0D76"/>
    <w:rsid w:val="00BC048A"/>
    <w:rsid w:val="00BD532A"/>
    <w:rsid w:val="00BD669D"/>
    <w:rsid w:val="00BD7DFB"/>
    <w:rsid w:val="00BE25FD"/>
    <w:rsid w:val="00BE323C"/>
    <w:rsid w:val="00BF45DE"/>
    <w:rsid w:val="00BF589E"/>
    <w:rsid w:val="00BF5FEC"/>
    <w:rsid w:val="00BF6BD4"/>
    <w:rsid w:val="00C17135"/>
    <w:rsid w:val="00C22F1C"/>
    <w:rsid w:val="00C260CE"/>
    <w:rsid w:val="00C31DF5"/>
    <w:rsid w:val="00C34B2F"/>
    <w:rsid w:val="00C35A13"/>
    <w:rsid w:val="00C47803"/>
    <w:rsid w:val="00C54A69"/>
    <w:rsid w:val="00C62D57"/>
    <w:rsid w:val="00C64449"/>
    <w:rsid w:val="00C665E9"/>
    <w:rsid w:val="00C948B4"/>
    <w:rsid w:val="00CA309F"/>
    <w:rsid w:val="00CD002D"/>
    <w:rsid w:val="00CE4E5A"/>
    <w:rsid w:val="00D15814"/>
    <w:rsid w:val="00D22C29"/>
    <w:rsid w:val="00D279B9"/>
    <w:rsid w:val="00D350AB"/>
    <w:rsid w:val="00D3662F"/>
    <w:rsid w:val="00D46664"/>
    <w:rsid w:val="00D5266C"/>
    <w:rsid w:val="00D54A7D"/>
    <w:rsid w:val="00D62AF9"/>
    <w:rsid w:val="00D845DF"/>
    <w:rsid w:val="00DA05B2"/>
    <w:rsid w:val="00DA721E"/>
    <w:rsid w:val="00DB4B68"/>
    <w:rsid w:val="00DB4F31"/>
    <w:rsid w:val="00DD4145"/>
    <w:rsid w:val="00E22D1E"/>
    <w:rsid w:val="00E3169F"/>
    <w:rsid w:val="00E338CC"/>
    <w:rsid w:val="00E3588D"/>
    <w:rsid w:val="00E3735C"/>
    <w:rsid w:val="00E51253"/>
    <w:rsid w:val="00E52845"/>
    <w:rsid w:val="00E64553"/>
    <w:rsid w:val="00E735FA"/>
    <w:rsid w:val="00E76542"/>
    <w:rsid w:val="00E76BA1"/>
    <w:rsid w:val="00E877EC"/>
    <w:rsid w:val="00E973BC"/>
    <w:rsid w:val="00EA0E44"/>
    <w:rsid w:val="00EA100E"/>
    <w:rsid w:val="00EA338E"/>
    <w:rsid w:val="00F0700A"/>
    <w:rsid w:val="00F16E0E"/>
    <w:rsid w:val="00F25DB0"/>
    <w:rsid w:val="00F369ED"/>
    <w:rsid w:val="00F563DD"/>
    <w:rsid w:val="00F64472"/>
    <w:rsid w:val="00F737A2"/>
    <w:rsid w:val="00F74205"/>
    <w:rsid w:val="00F75AB0"/>
    <w:rsid w:val="00F875CB"/>
    <w:rsid w:val="00F95DEC"/>
    <w:rsid w:val="00FA0764"/>
    <w:rsid w:val="00FA0AA0"/>
    <w:rsid w:val="00FB59F5"/>
    <w:rsid w:val="00FB7589"/>
    <w:rsid w:val="00FC7B68"/>
    <w:rsid w:val="00FD0EB7"/>
    <w:rsid w:val="00FF6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0F237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pPr>
      <w:spacing w:after="160" w:line="360" w:lineRule="auto"/>
      <w:jc w:val="both"/>
    </w:pPr>
    <w:rPr>
      <w:rFonts w:ascii="Calibri" w:eastAsia="Calibri" w:hAnsi="Calibri" w:cs="Calibri"/>
      <w:sz w:val="22"/>
      <w:lang w:val=""/>
    </w:rPr>
  </w:style>
  <w:style w:type="paragraph" w:styleId="1">
    <w:name w:val="heading 1"/>
    <w:basedOn w:val="a"/>
    <w:qFormat/>
    <w:pPr>
      <w:spacing w:before="480" w:after="240" w:line="320" w:lineRule="auto"/>
      <w:jc w:val="left"/>
      <w:outlineLvl w:val="0"/>
    </w:pPr>
    <w:rPr>
      <w:rFonts w:ascii="Calibri Light" w:eastAsia="Calibri Light" w:hAnsi="Calibri Light" w:cs="Calibri Light"/>
      <w:b/>
      <w:color w:val="235683"/>
      <w:sz w:val="36"/>
    </w:rPr>
  </w:style>
  <w:style w:type="paragraph" w:styleId="2">
    <w:name w:val="heading 2"/>
    <w:basedOn w:val="a"/>
    <w:qFormat/>
    <w:pPr>
      <w:numPr>
        <w:ilvl w:val="1"/>
      </w:numPr>
      <w:spacing w:before="360" w:after="120" w:line="339" w:lineRule="auto"/>
      <w:jc w:val="left"/>
      <w:outlineLvl w:val="1"/>
    </w:pPr>
    <w:rPr>
      <w:rFonts w:ascii="Calibri Light" w:eastAsia="Calibri Light" w:hAnsi="Calibri Light" w:cs="Calibri Light"/>
      <w:color w:val="3F6FA2"/>
      <w:sz w:val="34"/>
    </w:rPr>
  </w:style>
  <w:style w:type="paragraph" w:styleId="3">
    <w:name w:val="heading 3"/>
    <w:basedOn w:val="a"/>
    <w:qFormat/>
    <w:pPr>
      <w:numPr>
        <w:ilvl w:val="2"/>
      </w:numPr>
      <w:spacing w:before="240" w:after="0" w:line="309" w:lineRule="auto"/>
      <w:jc w:val="left"/>
      <w:outlineLvl w:val="2"/>
    </w:pPr>
    <w:rPr>
      <w:rFonts w:ascii="Calibri Light" w:eastAsia="Calibri Light" w:hAnsi="Calibri Light" w:cs="Calibri Light"/>
      <w:b/>
      <w:color w:val="5B89C1"/>
      <w:sz w:val="28"/>
    </w:rPr>
  </w:style>
  <w:style w:type="paragraph" w:styleId="4">
    <w:name w:val="heading 4"/>
    <w:basedOn w:val="a"/>
    <w:pPr>
      <w:numPr>
        <w:ilvl w:val="3"/>
      </w:numPr>
      <w:spacing w:before="240" w:after="0" w:line="332" w:lineRule="auto"/>
      <w:jc w:val="left"/>
      <w:outlineLvl w:val="3"/>
    </w:pPr>
    <w:rPr>
      <w:rFonts w:ascii="Calibri Light" w:eastAsia="Calibri Light" w:hAnsi="Calibri Light" w:cs="Calibri Light"/>
      <w:color w:val="235683"/>
      <w:sz w:val="26"/>
    </w:rPr>
  </w:style>
  <w:style w:type="paragraph" w:styleId="5">
    <w:name w:val="heading 5"/>
    <w:basedOn w:val="a"/>
    <w:pPr>
      <w:numPr>
        <w:ilvl w:val="4"/>
      </w:numPr>
      <w:spacing w:before="240" w:after="0"/>
      <w:jc w:val="left"/>
      <w:outlineLvl w:val="4"/>
    </w:pPr>
    <w:rPr>
      <w:rFonts w:ascii="Calibri Light" w:eastAsia="Calibri Light" w:hAnsi="Calibri Light" w:cs="Calibri Light"/>
      <w:b/>
      <w:color w:val="3F6FA2"/>
      <w:sz w:val="24"/>
    </w:rPr>
  </w:style>
  <w:style w:type="paragraph" w:styleId="6">
    <w:name w:val="heading 6"/>
    <w:basedOn w:val="a"/>
    <w:pPr>
      <w:numPr>
        <w:ilvl w:val="5"/>
      </w:numPr>
      <w:spacing w:before="240" w:after="0"/>
      <w:jc w:val="left"/>
      <w:outlineLvl w:val="5"/>
    </w:pPr>
    <w:rPr>
      <w:rFonts w:ascii="Calibri Light" w:eastAsia="Calibri Light" w:hAnsi="Calibri Light" w:cs="Calibri Light"/>
      <w:color w:val="5B89C1"/>
      <w:sz w:val="24"/>
    </w:rPr>
  </w:style>
  <w:style w:type="paragraph" w:styleId="7">
    <w:name w:val="heading 7"/>
    <w:basedOn w:val="a"/>
    <w:pPr>
      <w:numPr>
        <w:ilvl w:val="6"/>
      </w:numPr>
      <w:spacing w:before="240" w:after="0"/>
      <w:jc w:val="left"/>
      <w:outlineLvl w:val="6"/>
    </w:pPr>
    <w:rPr>
      <w:rFonts w:ascii="Calibri Light" w:eastAsia="Calibri Light" w:hAnsi="Calibri Light" w:cs="Calibri Light"/>
      <w:b/>
      <w:color w:val="235683"/>
    </w:rPr>
  </w:style>
  <w:style w:type="paragraph" w:styleId="8">
    <w:name w:val="heading 8"/>
    <w:basedOn w:val="a"/>
    <w:pPr>
      <w:numPr>
        <w:ilvl w:val="7"/>
      </w:numPr>
      <w:spacing w:before="240" w:after="0"/>
      <w:jc w:val="left"/>
      <w:outlineLvl w:val="7"/>
    </w:pPr>
    <w:rPr>
      <w:rFonts w:ascii="Calibri Light" w:eastAsia="Calibri Light" w:hAnsi="Calibri Light" w:cs="Calibri Light"/>
      <w:color w:val="3F6FA2"/>
    </w:rPr>
  </w:style>
  <w:style w:type="paragraph" w:styleId="9">
    <w:name w:val="heading 9"/>
    <w:basedOn w:val="a"/>
    <w:pPr>
      <w:numPr>
        <w:ilvl w:val="8"/>
      </w:numPr>
      <w:spacing w:before="240" w:after="0"/>
      <w:jc w:val="left"/>
      <w:outlineLvl w:val="8"/>
    </w:pPr>
    <w:rPr>
      <w:rFonts w:ascii="Calibri Light" w:eastAsia="Calibri Light" w:hAnsi="Calibri Light" w:cs="Calibri Light"/>
      <w:color w:val="5B89C1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pPr>
      <w:spacing w:line="305" w:lineRule="auto"/>
    </w:pPr>
    <w:rPr>
      <w:sz w:val="26"/>
    </w:rPr>
  </w:style>
  <w:style w:type="paragraph" w:styleId="20">
    <w:name w:val="toc 2"/>
    <w:basedOn w:val="a"/>
    <w:pPr>
      <w:spacing w:line="330" w:lineRule="auto"/>
    </w:pPr>
    <w:rPr>
      <w:sz w:val="24"/>
    </w:rPr>
  </w:style>
  <w:style w:type="paragraph" w:styleId="30">
    <w:name w:val="toc 3"/>
    <w:basedOn w:val="a"/>
  </w:style>
  <w:style w:type="paragraph" w:styleId="40">
    <w:name w:val="toc 4"/>
    <w:basedOn w:val="a"/>
    <w:pPr>
      <w:spacing w:line="0" w:lineRule="atLeast"/>
    </w:pPr>
  </w:style>
  <w:style w:type="paragraph" w:styleId="50">
    <w:name w:val="toc 5"/>
    <w:basedOn w:val="a"/>
    <w:pPr>
      <w:spacing w:line="0" w:lineRule="atLeast"/>
    </w:pPr>
  </w:style>
  <w:style w:type="paragraph" w:styleId="60">
    <w:name w:val="toc 6"/>
    <w:basedOn w:val="a"/>
    <w:pPr>
      <w:spacing w:line="0" w:lineRule="atLeast"/>
    </w:pPr>
  </w:style>
  <w:style w:type="paragraph" w:styleId="70">
    <w:name w:val="toc 7"/>
    <w:basedOn w:val="a"/>
    <w:pPr>
      <w:spacing w:line="0" w:lineRule="atLeast"/>
    </w:pPr>
  </w:style>
  <w:style w:type="paragraph" w:styleId="80">
    <w:name w:val="toc 8"/>
    <w:basedOn w:val="a"/>
    <w:pPr>
      <w:spacing w:line="0" w:lineRule="atLeast"/>
    </w:pPr>
  </w:style>
  <w:style w:type="paragraph" w:styleId="90">
    <w:name w:val="toc 9"/>
    <w:basedOn w:val="a"/>
    <w:pPr>
      <w:spacing w:line="0" w:lineRule="atLeast"/>
    </w:pPr>
  </w:style>
  <w:style w:type="table" w:styleId="a3">
    <w:name w:val="Table Gri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character" w:customStyle="1" w:styleId="None">
    <w:name w:val="None"/>
    <w:basedOn w:val="a0"/>
    <w:hidden/>
    <w:rPr>
      <w:vertAlign w:val="baseline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ind w:left="1980" w:hanging="400"/>
    </w:pPr>
  </w:style>
  <w:style w:type="character" w:customStyle="1" w:styleId="Cross-reference">
    <w:name w:val="Cross-reference"/>
    <w:basedOn w:val="a0"/>
    <w:rPr>
      <w:shd w:val="clear" w:color="auto" w:fill="FFE3C9"/>
      <w:vertAlign w:val="baseline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ind w:left="400"/>
      <w:jc w:val="left"/>
    </w:p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sz w:val="18"/>
      <w:shd w:val="clear" w:color="auto" w:fill="E9F9FF"/>
    </w:rPr>
  </w:style>
  <w:style w:type="character" w:customStyle="1" w:styleId="FootnoteText1">
    <w:name w:val="Footnote Text1"/>
    <w:basedOn w:val="a0"/>
    <w:rPr>
      <w:rFonts w:ascii="Calibri" w:eastAsia="Calibri" w:hAnsi="Calibri" w:cs="Calibri"/>
      <w:vertAlign w:val="baseline"/>
    </w:rPr>
  </w:style>
  <w:style w:type="paragraph" w:customStyle="1" w:styleId="Formula">
    <w:name w:val="Formula"/>
    <w:basedOn w:val="a"/>
    <w:pPr>
      <w:shd w:val="clear" w:color="auto" w:fill="FFF5ED"/>
      <w:spacing w:before="120" w:after="120"/>
      <w:jc w:val="left"/>
    </w:pPr>
    <w:rPr>
      <w:shd w:val="clear" w:color="auto" w:fill="FFF5ED"/>
    </w:rPr>
  </w:style>
  <w:style w:type="paragraph" w:customStyle="1" w:styleId="Abstract">
    <w:name w:val="Abstract"/>
    <w:basedOn w:val="a"/>
    <w:pPr>
      <w:ind w:left="1440" w:right="1440"/>
    </w:pPr>
  </w:style>
  <w:style w:type="paragraph" w:customStyle="1" w:styleId="Reference">
    <w:name w:val="Reference"/>
    <w:basedOn w:val="a"/>
    <w:pPr>
      <w:spacing w:before="320"/>
      <w:ind w:left="400" w:hanging="400"/>
    </w:p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21">
    <w:name w:val="List 2"/>
    <w:basedOn w:val="a"/>
    <w:pPr>
      <w:ind w:left="800" w:hanging="400"/>
    </w:pPr>
  </w:style>
  <w:style w:type="character" w:customStyle="1" w:styleId="GlossaryTerm">
    <w:name w:val="Glossary Term"/>
    <w:basedOn w:val="a0"/>
    <w:rPr>
      <w:shd w:val="clear" w:color="auto" w:fill="FFCFD7"/>
    </w:rPr>
  </w:style>
  <w:style w:type="character" w:customStyle="1" w:styleId="EndnoteText1">
    <w:name w:val="Endnote Text1"/>
    <w:basedOn w:val="a0"/>
    <w:rPr>
      <w:rFonts w:ascii="Calibri" w:eastAsia="Calibri" w:hAnsi="Calibri" w:cs="Calibri"/>
    </w:rPr>
  </w:style>
  <w:style w:type="paragraph" w:styleId="a7">
    <w:name w:val="Block Text"/>
    <w:basedOn w:val="a"/>
    <w:pPr>
      <w:ind w:left="1200"/>
    </w:p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8">
    <w:name w:val="Hyperlink"/>
    <w:basedOn w:val="a0"/>
    <w:rPr>
      <w:color w:val="0563C1"/>
    </w:rPr>
  </w:style>
  <w:style w:type="paragraph" w:styleId="a9">
    <w:name w:val="Title"/>
    <w:basedOn w:val="a"/>
    <w:qFormat/>
    <w:pPr>
      <w:spacing w:after="0" w:line="309" w:lineRule="auto"/>
      <w:jc w:val="left"/>
    </w:pPr>
    <w:rPr>
      <w:rFonts w:ascii="Calibri Light" w:eastAsia="Calibri Light" w:hAnsi="Calibri Light" w:cs="Calibri Light"/>
      <w:sz w:val="56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sz w:val="20"/>
      <w:shd w:val="clear" w:color="auto" w:fill="EEFEF4"/>
    </w:rPr>
  </w:style>
  <w:style w:type="paragraph" w:styleId="41">
    <w:name w:val="List 4"/>
    <w:basedOn w:val="a"/>
    <w:pPr>
      <w:ind w:left="1600" w:hanging="400"/>
    </w:pPr>
  </w:style>
  <w:style w:type="paragraph" w:customStyle="1" w:styleId="AbstractSubheading">
    <w:name w:val="Abstract Subheading"/>
    <w:basedOn w:val="a"/>
    <w:pPr>
      <w:numPr>
        <w:ilvl w:val="8"/>
      </w:numPr>
      <w:ind w:left="1440"/>
    </w:p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sz w:val="20"/>
      <w:shd w:val="clear" w:color="auto" w:fill="FFEDF0"/>
    </w:rPr>
  </w:style>
  <w:style w:type="paragraph" w:customStyle="1" w:styleId="List7">
    <w:name w:val="List 7"/>
    <w:basedOn w:val="a"/>
    <w:pPr>
      <w:ind w:left="1920" w:hanging="400"/>
    </w:p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a">
    <w:name w:val="Normal Indent"/>
    <w:basedOn w:val="a"/>
    <w:qFormat/>
    <w:pPr>
      <w:ind w:firstLine="480"/>
    </w:p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b">
    <w:name w:val="Balloon Text"/>
    <w:basedOn w:val="a"/>
    <w:rPr>
      <w:color w:val="000000"/>
      <w:sz w:val="16"/>
    </w:rPr>
  </w:style>
  <w:style w:type="paragraph" w:customStyle="1" w:styleId="List6">
    <w:name w:val="List 6"/>
    <w:basedOn w:val="a"/>
    <w:pPr>
      <w:ind w:left="1860" w:hanging="400"/>
    </w:p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c">
    <w:name w:val="List"/>
    <w:basedOn w:val="a"/>
    <w:pPr>
      <w:ind w:left="400" w:hanging="400"/>
    </w:p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shd w:val="clear" w:color="auto" w:fill="FFEDFA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d">
    <w:name w:val="Subtitle"/>
    <w:basedOn w:val="a"/>
    <w:qFormat/>
    <w:pPr>
      <w:spacing w:line="208" w:lineRule="auto"/>
      <w:jc w:val="left"/>
    </w:pPr>
    <w:rPr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sz w:val="20"/>
      <w:shd w:val="clear" w:color="auto" w:fill="FFEDFA"/>
    </w:rPr>
  </w:style>
  <w:style w:type="paragraph" w:customStyle="1" w:styleId="Quotation">
    <w:name w:val="Quotation"/>
    <w:basedOn w:val="a"/>
    <w:pPr>
      <w:ind w:left="1200" w:right="1200"/>
    </w:pPr>
  </w:style>
  <w:style w:type="paragraph" w:customStyle="1" w:styleId="TableBody">
    <w:name w:val="Table Body"/>
    <w:basedOn w:val="a"/>
    <w:pPr>
      <w:spacing w:line="396" w:lineRule="auto"/>
      <w:jc w:val="left"/>
    </w:pPr>
    <w:rPr>
      <w:sz w:val="20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QuotationSource">
    <w:name w:val="Quotation Source"/>
    <w:basedOn w:val="a"/>
    <w:pPr>
      <w:spacing w:after="170"/>
      <w:ind w:left="1200"/>
      <w:jc w:val="right"/>
    </w:pPr>
  </w:style>
  <w:style w:type="paragraph" w:styleId="31">
    <w:name w:val="List 3"/>
    <w:basedOn w:val="a"/>
    <w:pPr>
      <w:ind w:left="1200" w:hanging="400"/>
    </w:p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</w:style>
  <w:style w:type="paragraph" w:styleId="51">
    <w:name w:val="List 5"/>
    <w:basedOn w:val="a"/>
    <w:pPr>
      <w:ind w:left="1800" w:hanging="400"/>
    </w:p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sz w:val="38"/>
    </w:rPr>
  </w:style>
  <w:style w:type="paragraph" w:styleId="ae">
    <w:name w:val="annotation text"/>
    <w:basedOn w:val="a"/>
    <w:link w:val="af"/>
    <w:pPr>
      <w:spacing w:after="0"/>
      <w:jc w:val="left"/>
    </w:pPr>
    <w:rPr>
      <w:sz w:val="20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0">
    <w:name w:val="caption"/>
    <w:basedOn w:val="a"/>
    <w:pPr>
      <w:shd w:val="clear" w:color="auto" w:fill="FFF5ED"/>
      <w:spacing w:before="240" w:line="349" w:lineRule="auto"/>
    </w:pPr>
    <w:rPr>
      <w:shd w:val="clear" w:color="auto" w:fill="FFF5ED"/>
    </w:rPr>
  </w:style>
  <w:style w:type="character" w:styleId="af1">
    <w:name w:val="line number"/>
    <w:basedOn w:val="a0"/>
    <w:uiPriority w:val="99"/>
    <w:rsid w:val="00B1508D"/>
  </w:style>
  <w:style w:type="paragraph" w:styleId="af2">
    <w:name w:val="header"/>
    <w:basedOn w:val="a"/>
    <w:link w:val="af3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3">
    <w:name w:val="ヘッダー (文字)"/>
    <w:basedOn w:val="a0"/>
    <w:link w:val="af2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4">
    <w:name w:val="footer"/>
    <w:basedOn w:val="a"/>
    <w:link w:val="af5"/>
    <w:uiPriority w:val="99"/>
    <w:rsid w:val="00B150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5">
    <w:name w:val="フッター (文字)"/>
    <w:basedOn w:val="a0"/>
    <w:link w:val="af4"/>
    <w:uiPriority w:val="99"/>
    <w:rsid w:val="00B1508D"/>
    <w:rPr>
      <w:rFonts w:ascii="Calibri" w:eastAsia="Calibri" w:hAnsi="Calibri" w:cs="Calibri"/>
      <w:sz w:val="22"/>
      <w:lang w:val=""/>
    </w:rPr>
  </w:style>
  <w:style w:type="paragraph" w:styleId="af6">
    <w:name w:val="annotation subject"/>
    <w:basedOn w:val="ae"/>
    <w:next w:val="ae"/>
    <w:link w:val="af7"/>
    <w:uiPriority w:val="99"/>
    <w:rsid w:val="00E52845"/>
    <w:pPr>
      <w:spacing w:after="160" w:line="240" w:lineRule="auto"/>
      <w:jc w:val="both"/>
    </w:pPr>
    <w:rPr>
      <w:b/>
      <w:bCs/>
    </w:rPr>
  </w:style>
  <w:style w:type="character" w:customStyle="1" w:styleId="af">
    <w:name w:val="コメント文字列 (文字)"/>
    <w:basedOn w:val="a0"/>
    <w:link w:val="ae"/>
    <w:rsid w:val="00E52845"/>
    <w:rPr>
      <w:rFonts w:ascii="Calibri" w:eastAsia="Calibri" w:hAnsi="Calibri" w:cs="Calibri"/>
      <w:lang w:val=""/>
    </w:rPr>
  </w:style>
  <w:style w:type="character" w:customStyle="1" w:styleId="af7">
    <w:name w:val="コメント内容 (文字)"/>
    <w:basedOn w:val="af"/>
    <w:link w:val="af6"/>
    <w:uiPriority w:val="99"/>
    <w:rsid w:val="00E52845"/>
    <w:rPr>
      <w:rFonts w:ascii="Calibri" w:eastAsia="Calibri" w:hAnsi="Calibri" w:cs="Calibri"/>
      <w:b/>
      <w:bCs/>
      <w:lang w:val=""/>
    </w:rPr>
  </w:style>
  <w:style w:type="paragraph" w:styleId="af8">
    <w:name w:val="Revision"/>
    <w:hidden/>
    <w:uiPriority w:val="99"/>
    <w:rsid w:val="00E22D1E"/>
    <w:rPr>
      <w:rFonts w:ascii="Calibri" w:eastAsia="Calibri" w:hAnsi="Calibri" w:cs="Calibri"/>
      <w:sz w:val="22"/>
      <w:lang w:val=""/>
    </w:rPr>
  </w:style>
  <w:style w:type="character" w:styleId="af9">
    <w:name w:val="FollowedHyperlink"/>
    <w:basedOn w:val="a0"/>
    <w:uiPriority w:val="99"/>
    <w:rsid w:val="004413DC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B34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488BD-DDCE-48C6-A5A3-AC2598939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JFEエンジニアリング（株）</Company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K.Ikegami</dc:creator>
  <cp:lastModifiedBy>照沼 にい菜</cp:lastModifiedBy>
  <cp:revision>2</cp:revision>
  <dcterms:created xsi:type="dcterms:W3CDTF">2020-02-05T02:54:00Z</dcterms:created>
  <dcterms:modified xsi:type="dcterms:W3CDTF">2020-02-05T02:54:00Z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urnalID">
    <vt:lpwstr/>
  </property>
  <property fmtid="{D5CDD505-2E9C-101B-9397-08002B2CF9AE}" pid="3" name="Source">
    <vt:lpwstr/>
  </property>
  <property fmtid="{D5CDD505-2E9C-101B-9397-08002B2CF9AE}" pid="4" name="Source-short">
    <vt:lpwstr/>
  </property>
  <property fmtid="{D5CDD505-2E9C-101B-9397-08002B2CF9AE}" pid="5" name="Source-abbreviated">
    <vt:lpwstr/>
  </property>
  <property fmtid="{D5CDD505-2E9C-101B-9397-08002B2CF9AE}" pid="6" name="epub">
    <vt:lpwstr/>
  </property>
  <property fmtid="{D5CDD505-2E9C-101B-9397-08002B2CF9AE}" pid="7" name="ppub">
    <vt:lpwstr/>
  </property>
  <property fmtid="{D5CDD505-2E9C-101B-9397-08002B2CF9AE}" pid="8" name="Publisher">
    <vt:lpwstr/>
  </property>
  <property fmtid="{D5CDD505-2E9C-101B-9397-08002B2CF9AE}" pid="9" name="Publisher-location">
    <vt:lpwstr/>
  </property>
  <property fmtid="{D5CDD505-2E9C-101B-9397-08002B2CF9AE}" pid="10" name="Reference citation style">
    <vt:lpwstr>numerical</vt:lpwstr>
  </property>
  <property fmtid="{D5CDD505-2E9C-101B-9397-08002B2CF9AE}" pid="11" name="Subject">
    <vt:lpwstr/>
  </property>
  <property fmtid="{D5CDD505-2E9C-101B-9397-08002B2CF9AE}" pid="12" name="Merops word count">
    <vt:lpwstr>9959</vt:lpwstr>
  </property>
  <property fmtid="{D5CDD505-2E9C-101B-9397-08002B2CF9AE}" pid="13" name="Merops references count">
    <vt:lpwstr>39</vt:lpwstr>
  </property>
  <property fmtid="{D5CDD505-2E9C-101B-9397-08002B2CF9AE}" pid="14" name="Merops tables count">
    <vt:lpwstr>7</vt:lpwstr>
  </property>
  <property fmtid="{D5CDD505-2E9C-101B-9397-08002B2CF9AE}" pid="15" name="Merops figures count">
    <vt:lpwstr>0</vt:lpwstr>
  </property>
  <property fmtid="{D5CDD505-2E9C-101B-9397-08002B2CF9AE}" pid="16" name="Merops graphics count">
    <vt:lpwstr>0</vt:lpwstr>
  </property>
  <property fmtid="{D5CDD505-2E9C-101B-9397-08002B2CF9AE}" pid="17" name="Merops footnotes_x002f_endnotes count">
    <vt:lpwstr>0</vt:lpwstr>
  </property>
  <property fmtid="{D5CDD505-2E9C-101B-9397-08002B2CF9AE}" pid="18" name="Merops email addresses count">
    <vt:lpwstr>1</vt:lpwstr>
  </property>
  <property fmtid="{D5CDD505-2E9C-101B-9397-08002B2CF9AE}" pid="19" name="Merops Standard Set">
    <vt:lpwstr>*</vt:lpwstr>
  </property>
  <property fmtid="{D5CDD505-2E9C-101B-9397-08002B2CF9AE}" pid="20" name="Merops Standard Set modified">
    <vt:lpwstr>*</vt:lpwstr>
  </property>
  <property fmtid="{D5CDD505-2E9C-101B-9397-08002B2CF9AE}" pid="21" name="Merops input file path">
    <vt:lpwstr>*</vt:lpwstr>
  </property>
  <property fmtid="{D5CDD505-2E9C-101B-9397-08002B2CF9AE}" pid="22" name="Merops -Original extension">
    <vt:lpwstr>docx</vt:lpwstr>
  </property>
  <property fmtid="{D5CDD505-2E9C-101B-9397-08002B2CF9AE}" pid="23" name="Merops server path">
    <vt:lpwstr>*</vt:lpwstr>
  </property>
  <property fmtid="{D5CDD505-2E9C-101B-9397-08002B2CF9AE}" pid="24" name="Merops processed date">
    <vt:lpwstr>2019/08/16 05:45:32 AM</vt:lpwstr>
  </property>
  <property fmtid="{D5CDD505-2E9C-101B-9397-08002B2CF9AE}" pid="25" name="Merops comment count">
    <vt:lpwstr>0</vt:lpwstr>
  </property>
  <property fmtid="{D5CDD505-2E9C-101B-9397-08002B2CF9AE}" pid="26" name="Merops change count">
    <vt:lpwstr>396</vt:lpwstr>
  </property>
</Properties>
</file>