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44B" w:rsidRPr="00B5085B" w:rsidRDefault="00AF444B" w:rsidP="00AF444B">
      <w:pPr>
        <w:widowControl/>
        <w:wordWrap/>
        <w:autoSpaceDE/>
        <w:autoSpaceDN/>
        <w:spacing w:after="0" w:line="480" w:lineRule="auto"/>
        <w:rPr>
          <w:rFonts w:ascii="Calibri" w:eastAsia="Malgun Gothic" w:hAnsi="Calibri" w:cs="Calibri"/>
          <w:b/>
          <w:bCs/>
          <w:color w:val="000000" w:themeColor="text1"/>
          <w:kern w:val="0"/>
          <w:sz w:val="24"/>
        </w:rPr>
      </w:pPr>
      <w:r w:rsidRPr="00B5085B">
        <w:rPr>
          <w:rFonts w:ascii="Calibri" w:eastAsia="Malgun Gothic" w:hAnsi="Calibri" w:cs="Calibri"/>
          <w:b/>
          <w:bCs/>
          <w:color w:val="000000" w:themeColor="text1"/>
          <w:kern w:val="0"/>
          <w:sz w:val="24"/>
        </w:rPr>
        <w:t xml:space="preserve">Supplementary Figure 1. </w:t>
      </w:r>
      <w:r w:rsidRPr="00B5085B">
        <w:rPr>
          <w:rFonts w:ascii="Calibri" w:eastAsia="Malgun Gothic" w:hAnsi="Calibri" w:cs="Calibri"/>
          <w:b/>
          <w:color w:val="000000" w:themeColor="text1"/>
          <w:sz w:val="24"/>
          <w:szCs w:val="24"/>
        </w:rPr>
        <w:t>Frequency of chief complaining symptom or electrocardiographic changes according to the cardiac troponin I (TnI) level</w:t>
      </w:r>
    </w:p>
    <w:p w:rsidR="00AF444B" w:rsidRPr="00B5085B" w:rsidRDefault="00AF444B" w:rsidP="00AF444B">
      <w:pPr>
        <w:tabs>
          <w:tab w:val="left" w:pos="0"/>
        </w:tabs>
        <w:wordWrap/>
        <w:spacing w:after="0" w:line="480" w:lineRule="auto"/>
        <w:rPr>
          <w:rFonts w:ascii="Calibri" w:eastAsia="Malgun Gothic" w:hAnsi="Calibri" w:cs="Calibri"/>
          <w:color w:val="000000" w:themeColor="text1"/>
          <w:sz w:val="24"/>
          <w:szCs w:val="24"/>
        </w:rPr>
      </w:pPr>
      <w:r>
        <w:rPr>
          <w:rFonts w:ascii="Calibri" w:eastAsia="Malgun Gothic" w:hAnsi="Calibri" w:cs="Calibri"/>
          <w:noProof/>
          <w:color w:val="000000" w:themeColor="text1"/>
          <w:kern w:val="0"/>
          <w:sz w:val="24"/>
          <w:szCs w:val="24"/>
          <w:lang w:eastAsia="en-US"/>
        </w:rPr>
        <w:drawing>
          <wp:inline distT="0" distB="0" distL="0" distR="0" wp14:anchorId="22116EB6" wp14:editId="11D0F0B8">
            <wp:extent cx="5040173" cy="2973629"/>
            <wp:effectExtent l="0" t="0" r="825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 Figure 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173" cy="2973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5085B">
        <w:rPr>
          <w:rFonts w:ascii="Calibri" w:eastAsia="Malgun Gothic" w:hAnsi="Calibri" w:cs="Calibri"/>
          <w:color w:val="000000" w:themeColor="text1"/>
          <w:kern w:val="0"/>
          <w:sz w:val="24"/>
          <w:szCs w:val="24"/>
        </w:rPr>
        <w:br/>
      </w:r>
      <w:r w:rsidRPr="00B5085B">
        <w:rPr>
          <w:rFonts w:ascii="Calibri" w:eastAsia="Malgun Gothic" w:hAnsi="Calibri" w:cs="Calibri"/>
          <w:color w:val="000000" w:themeColor="text1"/>
          <w:sz w:val="24"/>
          <w:szCs w:val="24"/>
        </w:rPr>
        <w:t>Panel A: Frequency of chief complaining symptom according to the level of TnI. The frequency of dyspneic symptom increased across strata of higher TnI.</w:t>
      </w:r>
      <w:r w:rsidRPr="00B5085B">
        <w:rPr>
          <w:rFonts w:ascii="Calibri" w:eastAsia="Malgun Gothic" w:hAnsi="Calibri" w:cs="Calibri"/>
          <w:color w:val="000000" w:themeColor="text1"/>
          <w:sz w:val="24"/>
          <w:szCs w:val="24"/>
        </w:rPr>
        <w:br/>
        <w:t>Panel A: Frequency of ECG ST-T change according to the level of TnI, which increased across strata of higher TnI.</w:t>
      </w:r>
    </w:p>
    <w:p w:rsidR="00AF444B" w:rsidRPr="00B5085B" w:rsidRDefault="00AF444B" w:rsidP="00AF444B">
      <w:pPr>
        <w:widowControl/>
        <w:wordWrap/>
        <w:autoSpaceDE/>
        <w:autoSpaceDN/>
        <w:rPr>
          <w:rFonts w:ascii="Calibri" w:eastAsia="Malgun Gothic" w:hAnsi="Calibri" w:cs="Calibri"/>
          <w:color w:val="000000" w:themeColor="text1"/>
          <w:kern w:val="0"/>
          <w:sz w:val="24"/>
          <w:szCs w:val="24"/>
        </w:rPr>
      </w:pPr>
      <w:r w:rsidRPr="00B5085B">
        <w:rPr>
          <w:rFonts w:ascii="Calibri" w:eastAsia="Malgun Gothic" w:hAnsi="Calibri" w:cs="Calibri"/>
          <w:color w:val="000000" w:themeColor="text1"/>
          <w:kern w:val="0"/>
          <w:sz w:val="24"/>
          <w:szCs w:val="24"/>
        </w:rPr>
        <w:br w:type="page"/>
      </w:r>
    </w:p>
    <w:p w:rsidR="00AF444B" w:rsidRPr="00B5085B" w:rsidRDefault="00AF444B" w:rsidP="00AF444B">
      <w:pPr>
        <w:widowControl/>
        <w:tabs>
          <w:tab w:val="left" w:pos="0"/>
        </w:tabs>
        <w:wordWrap/>
        <w:autoSpaceDE/>
        <w:autoSpaceDN/>
        <w:spacing w:after="0" w:line="480" w:lineRule="auto"/>
        <w:jc w:val="left"/>
        <w:rPr>
          <w:rFonts w:ascii="Calibri" w:eastAsia="Malgun Gothic" w:hAnsi="Calibri" w:cs="Calibri"/>
          <w:b/>
          <w:color w:val="000000" w:themeColor="text1"/>
          <w:kern w:val="0"/>
          <w:sz w:val="24"/>
          <w:szCs w:val="24"/>
        </w:rPr>
      </w:pPr>
      <w:r w:rsidRPr="00B5085B">
        <w:rPr>
          <w:rFonts w:ascii="Calibri" w:eastAsia="Malgun Gothic" w:hAnsi="Calibri" w:cs="Calibri"/>
          <w:b/>
          <w:color w:val="000000" w:themeColor="text1"/>
          <w:kern w:val="0"/>
          <w:sz w:val="24"/>
          <w:szCs w:val="24"/>
        </w:rPr>
        <w:lastRenderedPageBreak/>
        <w:t>Supplementary Table 1. Clinical outcome according to the cardiac troponin I (TnI) level</w:t>
      </w:r>
    </w:p>
    <w:tbl>
      <w:tblPr>
        <w:tblW w:w="892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10"/>
        <w:gridCol w:w="2000"/>
        <w:gridCol w:w="2374"/>
        <w:gridCol w:w="1544"/>
      </w:tblGrid>
      <w:tr w:rsidR="00AF444B" w:rsidRPr="001C079E" w:rsidTr="00AC07B7">
        <w:trPr>
          <w:trHeight w:val="374"/>
        </w:trPr>
        <w:tc>
          <w:tcPr>
            <w:tcW w:w="3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TnI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HR (95% CI)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p-value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All-cause death</w:t>
            </w:r>
          </w:p>
        </w:tc>
        <w:tc>
          <w:tcPr>
            <w:tcW w:w="2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0.006 ng/ml </w:t>
            </w:r>
          </w:p>
        </w:tc>
        <w:tc>
          <w:tcPr>
            <w:tcW w:w="23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Reference</w:t>
            </w:r>
          </w:p>
        </w:tc>
        <w:tc>
          <w:tcPr>
            <w:tcW w:w="15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-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0.007 - 0.039 ng/ml 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1.339 (1.238 - 1.449)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0.040 - 0.129 ng/ml 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1.962 (1.755 - 2.193)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≥ 0.130 ng/ml 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1.992 (1.758 - 2.256)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Cardiovascular death</w:t>
            </w:r>
          </w:p>
        </w:tc>
        <w:tc>
          <w:tcPr>
            <w:tcW w:w="2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0.006 ng/ml </w:t>
            </w:r>
          </w:p>
        </w:tc>
        <w:tc>
          <w:tcPr>
            <w:tcW w:w="23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Reference</w:t>
            </w:r>
          </w:p>
        </w:tc>
        <w:tc>
          <w:tcPr>
            <w:tcW w:w="15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-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0.007 - 0.039 ng/ml 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2.076 (1.305 - 3.303)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0.040 - 0.129 ng/ml 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5.633 (3.362 - 9.439)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≥ 0.130 ng/ml 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9.301 (5.696 - 15.189)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Non-cardiovascular death</w:t>
            </w:r>
          </w:p>
        </w:tc>
        <w:tc>
          <w:tcPr>
            <w:tcW w:w="2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0.006 ng/ml </w:t>
            </w:r>
          </w:p>
        </w:tc>
        <w:tc>
          <w:tcPr>
            <w:tcW w:w="23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Reference</w:t>
            </w:r>
          </w:p>
        </w:tc>
        <w:tc>
          <w:tcPr>
            <w:tcW w:w="15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-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0.007 - 0.039 ng/ml 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1.318 (1.216 - 1.428)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0.040 - 0.129 ng/ml 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1.872 (1.669 - 2.100)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AF444B" w:rsidRPr="001C079E" w:rsidTr="00AC07B7">
        <w:trPr>
          <w:trHeight w:val="374"/>
        </w:trPr>
        <w:tc>
          <w:tcPr>
            <w:tcW w:w="3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0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 xml:space="preserve">≥ 0.130 ng/ml 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1.820 (1.596 - 2.075)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444B" w:rsidRPr="0018428D" w:rsidRDefault="00AF444B" w:rsidP="00AC07B7">
            <w:pPr>
              <w:widowControl/>
              <w:wordWrap/>
              <w:autoSpaceDE/>
              <w:autoSpaceDN/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</w:pPr>
            <w:r w:rsidRPr="0018428D">
              <w:rPr>
                <w:rFonts w:ascii="Calibri" w:eastAsia="Malgun Gothic" w:hAnsi="Calibri" w:cs="Calibri"/>
                <w:color w:val="000000" w:themeColor="text1"/>
                <w:kern w:val="0"/>
                <w:szCs w:val="20"/>
              </w:rPr>
              <w:t>&lt;0.001</w:t>
            </w:r>
          </w:p>
        </w:tc>
      </w:tr>
    </w:tbl>
    <w:p w:rsidR="000B5173" w:rsidRDefault="000B5173">
      <w:bookmarkStart w:id="0" w:name="_GoBack"/>
      <w:bookmarkEnd w:id="0"/>
    </w:p>
    <w:sectPr w:rsidR="000B51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44B"/>
    <w:rsid w:val="000B5173"/>
    <w:rsid w:val="003D07A3"/>
    <w:rsid w:val="00AF4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9302C3-5D37-4DFB-B425-B19203C67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444B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2020-02-26T19:41:00Z</dcterms:created>
  <dcterms:modified xsi:type="dcterms:W3CDTF">2020-02-26T19:42:00Z</dcterms:modified>
</cp:coreProperties>
</file>