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4E2FD4" w14:textId="77777777" w:rsidR="00CB7B72" w:rsidRPr="00CB7B72" w:rsidRDefault="00CB7B72" w:rsidP="00CB7B72">
      <w:pPr>
        <w:keepNext/>
        <w:keepLines/>
        <w:spacing w:before="240" w:after="0" w:line="480" w:lineRule="auto"/>
        <w:outlineLvl w:val="0"/>
        <w:rPr>
          <w:rFonts w:asciiTheme="majorHAnsi" w:eastAsiaTheme="majorEastAsia" w:hAnsiTheme="majorHAnsi" w:cstheme="majorBidi"/>
          <w:color w:val="365F91" w:themeColor="accent1" w:themeShade="BF"/>
          <w:sz w:val="32"/>
          <w:szCs w:val="32"/>
        </w:rPr>
      </w:pPr>
      <w:r w:rsidRPr="00CB7B72">
        <w:rPr>
          <w:rFonts w:asciiTheme="majorHAnsi" w:eastAsiaTheme="majorEastAsia" w:hAnsiTheme="majorHAnsi" w:cstheme="majorBidi"/>
          <w:color w:val="365F91" w:themeColor="accent1" w:themeShade="BF"/>
          <w:sz w:val="32"/>
          <w:szCs w:val="32"/>
        </w:rPr>
        <w:t xml:space="preserve">Supplementary Figures </w:t>
      </w:r>
    </w:p>
    <w:p w14:paraId="788DB214" w14:textId="77777777" w:rsidR="00CB7B72" w:rsidRPr="000F6EAF" w:rsidRDefault="00CB7B72" w:rsidP="00CB7B72">
      <w:pPr>
        <w:spacing w:line="480" w:lineRule="auto"/>
        <w:rPr>
          <w:b/>
        </w:rPr>
      </w:pPr>
      <w:bookmarkStart w:id="0" w:name="_GoBack"/>
      <w:r w:rsidRPr="000F6EAF">
        <w:rPr>
          <w:b/>
        </w:rPr>
        <w:t>Figure S1. Distribution of CNV length</w:t>
      </w:r>
    </w:p>
    <w:p w14:paraId="6EF58FD7" w14:textId="77777777" w:rsidR="00CB7B72" w:rsidRPr="000F6EAF" w:rsidRDefault="00CB7B72" w:rsidP="00CB7B72">
      <w:pPr>
        <w:spacing w:line="480" w:lineRule="auto"/>
      </w:pPr>
      <w:r w:rsidRPr="000F6EAF">
        <w:rPr>
          <w:noProof/>
          <w:lang w:eastAsia="zh-CN"/>
        </w:rPr>
        <w:drawing>
          <wp:anchor distT="0" distB="0" distL="114300" distR="114300" simplePos="0" relativeHeight="251659264" behindDoc="1" locked="0" layoutInCell="1" allowOverlap="1" wp14:anchorId="3DC187DD" wp14:editId="44860EBD">
            <wp:simplePos x="0" y="0"/>
            <wp:positionH relativeFrom="column">
              <wp:posOffset>-14605</wp:posOffset>
            </wp:positionH>
            <wp:positionV relativeFrom="paragraph">
              <wp:posOffset>93980</wp:posOffset>
            </wp:positionV>
            <wp:extent cx="2793365" cy="2793365"/>
            <wp:effectExtent l="0" t="0" r="6985" b="6985"/>
            <wp:wrapTight wrapText="bothSides">
              <wp:wrapPolygon edited="0">
                <wp:start x="0" y="0"/>
                <wp:lineTo x="0" y="21507"/>
                <wp:lineTo x="21507" y="21507"/>
                <wp:lineTo x="21507"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_2_Histrogram of CNV length_ARS_two_color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93365" cy="2793365"/>
                    </a:xfrm>
                    <a:prstGeom prst="rect">
                      <a:avLst/>
                    </a:prstGeom>
                  </pic:spPr>
                </pic:pic>
              </a:graphicData>
            </a:graphic>
            <wp14:sizeRelH relativeFrom="page">
              <wp14:pctWidth>0</wp14:pctWidth>
            </wp14:sizeRelH>
            <wp14:sizeRelV relativeFrom="page">
              <wp14:pctHeight>0</wp14:pctHeight>
            </wp14:sizeRelV>
          </wp:anchor>
        </w:drawing>
      </w:r>
    </w:p>
    <w:p w14:paraId="5D9C1E92" w14:textId="77777777" w:rsidR="00CB7B72" w:rsidRPr="000F6EAF" w:rsidRDefault="00CB7B72" w:rsidP="00CB7B72">
      <w:pPr>
        <w:spacing w:line="480" w:lineRule="auto"/>
      </w:pPr>
    </w:p>
    <w:p w14:paraId="494D9D6E" w14:textId="77777777" w:rsidR="00CB7B72" w:rsidRPr="000F6EAF" w:rsidRDefault="00CB7B72" w:rsidP="00CB7B72">
      <w:pPr>
        <w:spacing w:line="480" w:lineRule="auto"/>
      </w:pPr>
    </w:p>
    <w:p w14:paraId="419D6F5C" w14:textId="77777777" w:rsidR="00CB7B72" w:rsidRPr="000F6EAF" w:rsidRDefault="00CB7B72" w:rsidP="00CB7B72">
      <w:pPr>
        <w:spacing w:line="480" w:lineRule="auto"/>
      </w:pPr>
    </w:p>
    <w:p w14:paraId="4FC5F390" w14:textId="77777777" w:rsidR="00CB7B72" w:rsidRPr="000F6EAF" w:rsidRDefault="00CB7B72" w:rsidP="00CB7B72">
      <w:pPr>
        <w:spacing w:line="480" w:lineRule="auto"/>
      </w:pPr>
    </w:p>
    <w:p w14:paraId="781DBEAA" w14:textId="77777777" w:rsidR="00CB7B72" w:rsidRPr="000F6EAF" w:rsidRDefault="00CB7B72" w:rsidP="00CB7B72">
      <w:pPr>
        <w:spacing w:line="480" w:lineRule="auto"/>
      </w:pPr>
    </w:p>
    <w:p w14:paraId="28287A6B" w14:textId="77777777" w:rsidR="00CB7B72" w:rsidRPr="000F6EAF" w:rsidRDefault="00CB7B72" w:rsidP="00CB7B72">
      <w:pPr>
        <w:spacing w:line="480" w:lineRule="auto"/>
      </w:pPr>
    </w:p>
    <w:p w14:paraId="33ED1BAF" w14:textId="77777777" w:rsidR="00CB7B72" w:rsidRPr="000F6EAF" w:rsidRDefault="00CB7B72" w:rsidP="00CB7B72">
      <w:pPr>
        <w:spacing w:line="480" w:lineRule="auto"/>
      </w:pPr>
    </w:p>
    <w:p w14:paraId="2A4BE6FC" w14:textId="77777777" w:rsidR="00CB7B72" w:rsidRPr="000F6EAF" w:rsidRDefault="00CB7B72" w:rsidP="00CB7B72">
      <w:pPr>
        <w:spacing w:line="480" w:lineRule="auto"/>
      </w:pPr>
      <w:r w:rsidRPr="000F6EAF">
        <w:t>Histogram of the length of 14,272 CNVs detected in ARS-UCD1.2. Deletion and duplication calls were shown in pink and blue colour, respectively.</w:t>
      </w:r>
    </w:p>
    <w:p w14:paraId="3CE9264B" w14:textId="77777777" w:rsidR="00CB7B72" w:rsidRPr="000F6EAF" w:rsidRDefault="00CB7B72" w:rsidP="00CB7B72">
      <w:pPr>
        <w:spacing w:line="480" w:lineRule="auto"/>
        <w:rPr>
          <w:b/>
        </w:rPr>
      </w:pPr>
      <w:r w:rsidRPr="000F6EAF">
        <w:rPr>
          <w:b/>
        </w:rPr>
        <w:lastRenderedPageBreak/>
        <w:t xml:space="preserve">Figure S2. Circular map of autosomal copy number variant regions based on results in UMD3.1 </w:t>
      </w:r>
      <w:r w:rsidRPr="000F6EAF">
        <w:rPr>
          <w:b/>
          <w:noProof/>
          <w:lang w:eastAsia="zh-CN"/>
        </w:rPr>
        <w:drawing>
          <wp:inline distT="0" distB="0" distL="0" distR="0" wp14:anchorId="65F04040" wp14:editId="4CDDBE0D">
            <wp:extent cx="5760720" cy="57607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_1_circos_UMD_all_chr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576ECF6E" w14:textId="77777777" w:rsidR="00CB7B72" w:rsidRPr="000F6EAF" w:rsidRDefault="00CB7B72" w:rsidP="00CB7B72">
      <w:pPr>
        <w:spacing w:line="480" w:lineRule="auto"/>
        <w:jc w:val="both"/>
      </w:pPr>
      <w:r w:rsidRPr="000F6EAF">
        <w:t xml:space="preserve">From the outside to the inside of the external circle: chromosome name; genomic location (in Mb); histogram representing density of deletion CNVRs in 5 Mb bin (pink); histogram representing density of duplication CNVRs in 5 Mb bin (purple); histogram representing density of complex CNVRs in 5 Mb bin (dark blue); number of </w:t>
      </w:r>
      <w:proofErr w:type="spellStart"/>
      <w:r w:rsidRPr="000F6EAF">
        <w:t>BovineHD</w:t>
      </w:r>
      <w:proofErr w:type="spellEnd"/>
      <w:r w:rsidRPr="000F6EAF">
        <w:t xml:space="preserve"> </w:t>
      </w:r>
      <w:proofErr w:type="spellStart"/>
      <w:r w:rsidRPr="000F6EAF">
        <w:t>BeadChip</w:t>
      </w:r>
      <w:proofErr w:type="spellEnd"/>
      <w:r w:rsidRPr="000F6EAF">
        <w:t xml:space="preserve"> array SNPs in 5 Mb bin (blue); histogram representing segmental duplication in 5 Mb bin (grey) </w:t>
      </w:r>
    </w:p>
    <w:p w14:paraId="5118940A" w14:textId="77777777" w:rsidR="00CB7B72" w:rsidRPr="000F6EAF" w:rsidRDefault="00CB7B72" w:rsidP="00CB7B72">
      <w:pPr>
        <w:spacing w:line="480" w:lineRule="auto"/>
        <w:rPr>
          <w:b/>
        </w:rPr>
      </w:pPr>
      <w:r w:rsidRPr="000F6EAF">
        <w:rPr>
          <w:b/>
        </w:rPr>
        <w:lastRenderedPageBreak/>
        <w:t>Figure S3.  Linkage disequilibrium of CNVRs in different allele frequencies</w:t>
      </w:r>
      <w:r w:rsidRPr="000F6EAF">
        <w:rPr>
          <w:b/>
          <w:noProof/>
          <w:lang w:eastAsia="zh-CN"/>
        </w:rPr>
        <w:drawing>
          <wp:inline distT="0" distB="0" distL="0" distR="0" wp14:anchorId="71D0DAA7" wp14:editId="74612204">
            <wp:extent cx="5760720" cy="21602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_S3_LD_decay_for_all_classes_supplementary.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160270"/>
                    </a:xfrm>
                    <a:prstGeom prst="rect">
                      <a:avLst/>
                    </a:prstGeom>
                  </pic:spPr>
                </pic:pic>
              </a:graphicData>
            </a:graphic>
          </wp:inline>
        </w:drawing>
      </w:r>
    </w:p>
    <w:p w14:paraId="36F41EBF" w14:textId="77777777" w:rsidR="00CB7B72" w:rsidRPr="000F6EAF" w:rsidRDefault="00CB7B72" w:rsidP="00CB7B72">
      <w:pPr>
        <w:spacing w:line="480" w:lineRule="auto"/>
      </w:pPr>
      <w:r w:rsidRPr="000F6EAF">
        <w:t xml:space="preserve">Average strength of linkage disequilibrium (mean </w:t>
      </w:r>
      <w:r w:rsidRPr="000F6EAF">
        <w:rPr>
          <w:i/>
        </w:rPr>
        <w:t>r</w:t>
      </w:r>
      <w:r w:rsidRPr="000F6EAF">
        <w:rPr>
          <w:i/>
          <w:vertAlign w:val="superscript"/>
        </w:rPr>
        <w:t>2</w:t>
      </w:r>
      <w:r w:rsidRPr="000F6EAF">
        <w:t>) as a function of distance from a SNP for CNVRs in different allele frequency groups (common: 0.05 ≤ MAF, intermediate: 0.01 ≤ MAF &lt; 0.05, rare: MAF &lt; 0.01) is shown for HOL (</w:t>
      </w:r>
      <w:r w:rsidRPr="000F6EAF">
        <w:rPr>
          <w:b/>
        </w:rPr>
        <w:t>A</w:t>
      </w:r>
      <w:r w:rsidRPr="000F6EAF">
        <w:t>) and JER (</w:t>
      </w:r>
      <w:r w:rsidRPr="000F6EAF">
        <w:rPr>
          <w:b/>
        </w:rPr>
        <w:t>B</w:t>
      </w:r>
      <w:r w:rsidRPr="000F6EAF">
        <w:t>). For each frequency group following legend was used: common deletion CNVRs- solid magenta; intermediate deletion CNVRs - two dashed magenta; rare deletion CNVRs – dashed pink; common duplication CNVRs- solid blue; intermediate duplication CNVRs - two dashed blue; rare duplication CNVRs – dashed sky blue.</w:t>
      </w:r>
      <w:r w:rsidRPr="000F6EAF">
        <w:rPr>
          <w:b/>
        </w:rPr>
        <w:br w:type="page"/>
      </w:r>
    </w:p>
    <w:p w14:paraId="4E4C5A6E" w14:textId="77777777" w:rsidR="00CB7B72" w:rsidRPr="000F6EAF" w:rsidRDefault="00CB7B72" w:rsidP="00CB7B72">
      <w:pPr>
        <w:spacing w:after="0" w:line="480" w:lineRule="auto"/>
        <w:jc w:val="both"/>
        <w:rPr>
          <w:b/>
        </w:rPr>
      </w:pPr>
      <w:r w:rsidRPr="000F6EAF">
        <w:rPr>
          <w:b/>
        </w:rPr>
        <w:lastRenderedPageBreak/>
        <w:t>Figure S4. QQ plots used for performing quality control in CNV discovery</w:t>
      </w:r>
    </w:p>
    <w:p w14:paraId="62360E04" w14:textId="77777777" w:rsidR="00CB7B72" w:rsidRPr="000F6EAF" w:rsidRDefault="00CB7B72" w:rsidP="00CB7B72">
      <w:pPr>
        <w:spacing w:after="0" w:line="480" w:lineRule="auto"/>
        <w:jc w:val="both"/>
      </w:pPr>
      <w:r w:rsidRPr="000F6EAF">
        <w:rPr>
          <w:b/>
          <w:noProof/>
          <w:lang w:eastAsia="zh-CN"/>
        </w:rPr>
        <w:drawing>
          <wp:inline distT="0" distB="0" distL="0" distR="0" wp14:anchorId="4D62DC47" wp14:editId="64A96E20">
            <wp:extent cx="5760000" cy="576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_S4_QC_multipane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000" cy="5760000"/>
                    </a:xfrm>
                    <a:prstGeom prst="rect">
                      <a:avLst/>
                    </a:prstGeom>
                  </pic:spPr>
                </pic:pic>
              </a:graphicData>
            </a:graphic>
          </wp:inline>
        </w:drawing>
      </w:r>
      <w:r w:rsidRPr="000F6EAF">
        <w:t>QQ plots used for quality control of CNVs are shown.</w:t>
      </w:r>
      <w:r w:rsidRPr="000F6EAF">
        <w:rPr>
          <w:b/>
        </w:rPr>
        <w:t xml:space="preserve"> </w:t>
      </w:r>
      <w:r w:rsidRPr="000F6EAF">
        <w:t>(</w:t>
      </w:r>
      <w:r w:rsidRPr="000F6EAF">
        <w:rPr>
          <w:b/>
        </w:rPr>
        <w:t>A, B</w:t>
      </w:r>
      <w:r w:rsidRPr="000F6EAF">
        <w:t>)</w:t>
      </w:r>
      <w:r w:rsidRPr="000F6EAF">
        <w:rPr>
          <w:b/>
        </w:rPr>
        <w:t xml:space="preserve"> </w:t>
      </w:r>
      <w:r w:rsidRPr="000F6EAF">
        <w:t>QQ plots based on the number of CNVs per sample (</w:t>
      </w:r>
      <w:r w:rsidRPr="000F6EAF">
        <w:rPr>
          <w:b/>
        </w:rPr>
        <w:t>A</w:t>
      </w:r>
      <w:r w:rsidRPr="000F6EAF">
        <w:t>) and sum of the length of total CNVs per sample (</w:t>
      </w:r>
      <w:r w:rsidRPr="000F6EAF">
        <w:rPr>
          <w:b/>
        </w:rPr>
        <w:t>B</w:t>
      </w:r>
      <w:r w:rsidRPr="000F6EAF">
        <w:t>) based on genome assembly ARS-UCD1.2. (</w:t>
      </w:r>
      <w:r w:rsidRPr="000F6EAF">
        <w:rPr>
          <w:b/>
        </w:rPr>
        <w:t>C, D</w:t>
      </w:r>
      <w:r w:rsidRPr="000F6EAF">
        <w:t>) QQ plot based on the number of CNVs per sample (</w:t>
      </w:r>
      <w:r w:rsidRPr="000F6EAF">
        <w:rPr>
          <w:b/>
        </w:rPr>
        <w:t>C</w:t>
      </w:r>
      <w:r w:rsidRPr="000F6EAF">
        <w:t>) and sum of the length of total CNVs per sample (</w:t>
      </w:r>
      <w:r w:rsidRPr="000F6EAF">
        <w:rPr>
          <w:b/>
        </w:rPr>
        <w:t>D</w:t>
      </w:r>
      <w:r w:rsidRPr="000F6EAF">
        <w:t>) based on genome assembly UMD3.1. Excessive amount of CNVs called in samples indicate suboptimal sample quality. Thus, samples deviated from the normal distribution were excluded both based on the number of CNVs called and the length of total CNVs per sample.</w:t>
      </w:r>
    </w:p>
    <w:bookmarkEnd w:id="0"/>
    <w:p w14:paraId="4EC4AA69" w14:textId="77777777" w:rsidR="00015D6A" w:rsidRPr="000F6EAF" w:rsidRDefault="00015D6A"/>
    <w:sectPr w:rsidR="00015D6A" w:rsidRPr="000F6EAF" w:rsidSect="00CB7B7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C632B8" w14:textId="77777777" w:rsidR="00000000" w:rsidRDefault="000F6EAF">
      <w:pPr>
        <w:spacing w:after="0" w:line="240" w:lineRule="auto"/>
      </w:pPr>
      <w:r>
        <w:separator/>
      </w:r>
    </w:p>
  </w:endnote>
  <w:endnote w:type="continuationSeparator" w:id="0">
    <w:p w14:paraId="79AB6915" w14:textId="77777777" w:rsidR="00000000" w:rsidRDefault="000F6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7902441"/>
      <w:docPartObj>
        <w:docPartGallery w:val="Page Numbers (Bottom of Page)"/>
        <w:docPartUnique/>
      </w:docPartObj>
    </w:sdtPr>
    <w:sdtEndPr>
      <w:rPr>
        <w:noProof/>
      </w:rPr>
    </w:sdtEndPr>
    <w:sdtContent>
      <w:p w14:paraId="52F2B5C3" w14:textId="7691639E" w:rsidR="002D58EF" w:rsidRDefault="00CB7B72">
        <w:pPr>
          <w:pStyle w:val="Footer"/>
          <w:jc w:val="center"/>
        </w:pPr>
        <w:r>
          <w:fldChar w:fldCharType="begin"/>
        </w:r>
        <w:r>
          <w:instrText xml:space="preserve"> PAGE   \* MERGEFORMAT </w:instrText>
        </w:r>
        <w:r>
          <w:fldChar w:fldCharType="separate"/>
        </w:r>
        <w:r w:rsidR="000F6EAF">
          <w:rPr>
            <w:noProof/>
          </w:rPr>
          <w:t>4</w:t>
        </w:r>
        <w:r>
          <w:rPr>
            <w:noProof/>
          </w:rPr>
          <w:fldChar w:fldCharType="end"/>
        </w:r>
      </w:p>
    </w:sdtContent>
  </w:sdt>
  <w:p w14:paraId="4433E882" w14:textId="77777777" w:rsidR="002D58EF" w:rsidRDefault="000F6E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121E9E" w14:textId="77777777" w:rsidR="00000000" w:rsidRDefault="000F6EAF">
      <w:pPr>
        <w:spacing w:after="0" w:line="240" w:lineRule="auto"/>
      </w:pPr>
      <w:r>
        <w:separator/>
      </w:r>
    </w:p>
  </w:footnote>
  <w:footnote w:type="continuationSeparator" w:id="0">
    <w:p w14:paraId="66BEC9E2" w14:textId="77777777" w:rsidR="00000000" w:rsidRDefault="000F6E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B72"/>
    <w:rsid w:val="00015D6A"/>
    <w:rsid w:val="000F6EAF"/>
    <w:rsid w:val="00CB7B72"/>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D40A7"/>
  <w15:chartTrackingRefBased/>
  <w15:docId w15:val="{63119B4B-ECDC-4230-89AA-6186CC837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erdana" w:eastAsiaTheme="minorEastAsia" w:hAnsi="Verdana" w:cstheme="minorBidi"/>
        <w:sz w:val="17"/>
        <w:szCs w:val="22"/>
        <w:lang w:val="en-GB" w:eastAsia="ko-KR" w:bidi="ar-SA"/>
      </w:rPr>
    </w:rPrDefault>
    <w:pPrDefault>
      <w:pPr>
        <w:spacing w:after="200" w:line="30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B7B72"/>
    <w:pPr>
      <w:tabs>
        <w:tab w:val="center" w:pos="4536"/>
        <w:tab w:val="right" w:pos="9072"/>
      </w:tabs>
      <w:spacing w:after="0" w:line="240" w:lineRule="auto"/>
    </w:pPr>
  </w:style>
  <w:style w:type="character" w:customStyle="1" w:styleId="FooterChar">
    <w:name w:val="Footer Char"/>
    <w:basedOn w:val="DefaultParagraphFont"/>
    <w:link w:val="Footer"/>
    <w:uiPriority w:val="99"/>
    <w:rsid w:val="00CB7B72"/>
  </w:style>
  <w:style w:type="character" w:styleId="LineNumber">
    <w:name w:val="line number"/>
    <w:basedOn w:val="DefaultParagraphFont"/>
    <w:uiPriority w:val="99"/>
    <w:semiHidden/>
    <w:unhideWhenUsed/>
    <w:rsid w:val="00CB7B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F053C57469414888B134090454EDDF" ma:contentTypeVersion="8" ma:contentTypeDescription="Een nieuw document maken." ma:contentTypeScope="" ma:versionID="712dabcb04db12bfbae9cf4b136caad7">
  <xsd:schema xmlns:xsd="http://www.w3.org/2001/XMLSchema" xmlns:xs="http://www.w3.org/2001/XMLSchema" xmlns:p="http://schemas.microsoft.com/office/2006/metadata/properties" xmlns:ns3="f7478c7e-4c27-426d-b58a-435696eac8ef" targetNamespace="http://schemas.microsoft.com/office/2006/metadata/properties" ma:root="true" ma:fieldsID="28a668c25a6f2be7480f887d221a9c68" ns3:_="">
    <xsd:import namespace="f7478c7e-4c27-426d-b58a-435696eac8e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478c7e-4c27-426d-b58a-435696eac8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8DD823-263B-44F8-A2F5-002FC2C2E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478c7e-4c27-426d-b58a-435696eac8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B003C8-5B13-4608-915F-225A4BDD0797}">
  <ds:schemaRefs>
    <ds:schemaRef ds:uri="http://schemas.microsoft.com/office/infopath/2007/PartnerControls"/>
    <ds:schemaRef ds:uri="http://purl.org/dc/dcmitype/"/>
    <ds:schemaRef ds:uri="http://www.w3.org/XML/1998/namespace"/>
    <ds:schemaRef ds:uri="http://purl.org/dc/terms/"/>
    <ds:schemaRef ds:uri="http://purl.org/dc/elements/1.1/"/>
    <ds:schemaRef ds:uri="http://schemas.microsoft.com/office/2006/documentManagement/types"/>
    <ds:schemaRef ds:uri="f7478c7e-4c27-426d-b58a-435696eac8ef"/>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3A2652F7-7750-4E88-A62F-82544511DD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3690147E.dotm</Template>
  <TotalTime>2</TotalTime>
  <Pages>4</Pages>
  <Words>300</Words>
  <Characters>1715</Characters>
  <Application>Microsoft Office Word</Application>
  <DocSecurity>0</DocSecurity>
  <Lines>14</Lines>
  <Paragraphs>4</Paragraphs>
  <ScaleCrop>false</ScaleCrop>
  <Company>Wageningen University and Research</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Young Lim</dc:creator>
  <cp:keywords/>
  <dc:description/>
  <cp:lastModifiedBy>Lee, Young Lim</cp:lastModifiedBy>
  <cp:revision>2</cp:revision>
  <dcterms:created xsi:type="dcterms:W3CDTF">2019-08-05T14:31:00Z</dcterms:created>
  <dcterms:modified xsi:type="dcterms:W3CDTF">2019-08-07T15:36:00Z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0x01010029F053C57469414888B134090454EDDF</vt:lpwstr>
  </property>
</Properties>
</file>