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EC1497" w14:textId="77777777" w:rsidR="006028CA" w:rsidRPr="0007621A" w:rsidRDefault="006028CA" w:rsidP="006028C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1: Participant details </w:t>
      </w:r>
    </w:p>
    <w:p w14:paraId="24DEBF98" w14:textId="77777777" w:rsidR="006028CA" w:rsidRDefault="006028CA" w:rsidP="006028CA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1E3308">
        <w:rPr>
          <w:noProof/>
          <w:lang w:eastAsia="nb-NO"/>
        </w:rPr>
        <w:drawing>
          <wp:inline distT="0" distB="0" distL="0" distR="0" wp14:anchorId="279CA752" wp14:editId="3FCBC783">
            <wp:extent cx="5759450" cy="4830794"/>
            <wp:effectExtent l="0" t="0" r="0" b="8255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830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902CA" w14:textId="77777777" w:rsidR="006028CA" w:rsidRPr="00BE4F12" w:rsidRDefault="006028CA" w:rsidP="006028CA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iCs/>
          <w:sz w:val="16"/>
          <w:szCs w:val="16"/>
          <w:u w:val="single"/>
          <w:lang w:val="en-US"/>
        </w:rPr>
      </w:pPr>
      <w:r w:rsidRPr="00BE4F12">
        <w:rPr>
          <w:rFonts w:ascii="Times New Roman" w:hAnsi="Times New Roman" w:cs="Times New Roman"/>
          <w:iCs/>
          <w:sz w:val="16"/>
          <w:szCs w:val="16"/>
          <w:u w:val="single"/>
          <w:lang w:val="en-US"/>
        </w:rPr>
        <w:t xml:space="preserve">Abbreviations: IMR: Illness Management and Recovery; IPS: Individual Placement and Support; AP: </w:t>
      </w:r>
      <w:proofErr w:type="spellStart"/>
      <w:r w:rsidRPr="00BE4F12">
        <w:rPr>
          <w:rFonts w:ascii="Times New Roman" w:hAnsi="Times New Roman" w:cs="Times New Roman"/>
          <w:iCs/>
          <w:sz w:val="16"/>
          <w:szCs w:val="16"/>
          <w:u w:val="single"/>
          <w:lang w:val="en-US"/>
        </w:rPr>
        <w:t>AntiPsychotic</w:t>
      </w:r>
      <w:proofErr w:type="spellEnd"/>
      <w:r w:rsidRPr="00BE4F12">
        <w:rPr>
          <w:rFonts w:ascii="Times New Roman" w:hAnsi="Times New Roman" w:cs="Times New Roman"/>
          <w:iCs/>
          <w:sz w:val="16"/>
          <w:szCs w:val="16"/>
          <w:u w:val="single"/>
          <w:lang w:val="en-US"/>
        </w:rPr>
        <w:t xml:space="preserve"> medication; ACT: Assertive Community Treatment; FACT: Flexible Assertive Community Treatment; MI: Motivational Interview</w:t>
      </w:r>
    </w:p>
    <w:p w14:paraId="3978A409" w14:textId="461389CB" w:rsidR="00386883" w:rsidRDefault="006028CA"/>
    <w:p w14:paraId="45633351" w14:textId="77777777" w:rsidR="006028CA" w:rsidRDefault="006028CA" w:rsidP="006028CA">
      <w:pPr>
        <w:spacing w:line="480" w:lineRule="auto"/>
        <w:rPr>
          <w:rFonts w:ascii="Times New Roman" w:hAnsi="Times New Roman" w:cs="Times New Roman"/>
          <w:sz w:val="24"/>
          <w:szCs w:val="24"/>
          <w:lang w:val="en-GB" w:eastAsia="nb-NO"/>
        </w:rPr>
      </w:pPr>
    </w:p>
    <w:p w14:paraId="6EE3C39F" w14:textId="77777777" w:rsidR="006028CA" w:rsidRDefault="006028CA" w:rsidP="006028CA">
      <w:pPr>
        <w:spacing w:line="480" w:lineRule="auto"/>
        <w:rPr>
          <w:rFonts w:ascii="Times New Roman" w:hAnsi="Times New Roman" w:cs="Times New Roman"/>
          <w:sz w:val="24"/>
          <w:szCs w:val="24"/>
          <w:lang w:val="en-GB" w:eastAsia="nb-NO"/>
        </w:rPr>
      </w:pPr>
    </w:p>
    <w:p w14:paraId="204E5E7B" w14:textId="77777777" w:rsidR="006028CA" w:rsidRDefault="006028CA" w:rsidP="006028CA">
      <w:pPr>
        <w:spacing w:line="480" w:lineRule="auto"/>
        <w:rPr>
          <w:rFonts w:ascii="Times New Roman" w:hAnsi="Times New Roman" w:cs="Times New Roman"/>
          <w:sz w:val="24"/>
          <w:szCs w:val="24"/>
          <w:lang w:val="en-GB" w:eastAsia="nb-NO"/>
        </w:rPr>
      </w:pPr>
    </w:p>
    <w:p w14:paraId="734D112C" w14:textId="77777777" w:rsidR="006028CA" w:rsidRDefault="006028CA" w:rsidP="006028CA">
      <w:pPr>
        <w:spacing w:line="480" w:lineRule="auto"/>
        <w:rPr>
          <w:rFonts w:ascii="Times New Roman" w:hAnsi="Times New Roman" w:cs="Times New Roman"/>
          <w:sz w:val="24"/>
          <w:szCs w:val="24"/>
          <w:lang w:val="en-GB" w:eastAsia="nb-NO"/>
        </w:rPr>
      </w:pPr>
    </w:p>
    <w:p w14:paraId="44F71C56" w14:textId="798B6275" w:rsidR="006028CA" w:rsidRPr="0060650D" w:rsidRDefault="006028CA" w:rsidP="006028CA">
      <w:pPr>
        <w:spacing w:line="480" w:lineRule="auto"/>
        <w:rPr>
          <w:rFonts w:ascii="Times New Roman" w:hAnsi="Times New Roman" w:cs="Times New Roman"/>
          <w:szCs w:val="24"/>
          <w:lang w:val="en-GB" w:eastAsia="nb-NO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GB" w:eastAsia="nb-NO"/>
        </w:rPr>
        <w:lastRenderedPageBreak/>
        <w:t>Table 2: Relevant</w:t>
      </w:r>
      <w:r w:rsidRPr="005904B6">
        <w:rPr>
          <w:rFonts w:ascii="Times New Roman" w:hAnsi="Times New Roman" w:cs="Times New Roman"/>
          <w:sz w:val="24"/>
          <w:szCs w:val="24"/>
          <w:lang w:val="en-GB" w:eastAsia="nb-N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 w:eastAsia="nb-NO"/>
        </w:rPr>
        <w:t>c</w:t>
      </w:r>
      <w:r w:rsidRPr="005904B6">
        <w:rPr>
          <w:rFonts w:ascii="Times New Roman" w:hAnsi="Times New Roman" w:cs="Times New Roman"/>
          <w:sz w:val="24"/>
          <w:szCs w:val="24"/>
          <w:lang w:val="en-GB" w:eastAsia="nb-NO"/>
        </w:rPr>
        <w:t>o</w:t>
      </w:r>
      <w:r>
        <w:rPr>
          <w:rFonts w:ascii="Times New Roman" w:hAnsi="Times New Roman" w:cs="Times New Roman"/>
          <w:sz w:val="24"/>
          <w:szCs w:val="24"/>
          <w:lang w:val="en-GB" w:eastAsia="nb-NO"/>
        </w:rPr>
        <w:t xml:space="preserve">des and themes from the analysis using </w:t>
      </w:r>
      <w:proofErr w:type="spellStart"/>
      <w:r>
        <w:rPr>
          <w:rFonts w:ascii="Times New Roman" w:hAnsi="Times New Roman" w:cs="Times New Roman"/>
          <w:sz w:val="24"/>
          <w:szCs w:val="24"/>
          <w:lang w:val="en-GB" w:eastAsia="nb-NO"/>
        </w:rPr>
        <w:t>Attride</w:t>
      </w:r>
      <w:proofErr w:type="spellEnd"/>
      <w:r>
        <w:rPr>
          <w:rFonts w:ascii="Times New Roman" w:hAnsi="Times New Roman" w:cs="Times New Roman"/>
          <w:sz w:val="24"/>
          <w:szCs w:val="24"/>
          <w:lang w:val="en-GB" w:eastAsia="nb-NO"/>
        </w:rPr>
        <w:t xml:space="preserve">-Sterling Thematic Network Analysis </w:t>
      </w:r>
      <w:r>
        <w:rPr>
          <w:rFonts w:ascii="Times New Roman" w:hAnsi="Times New Roman" w:cs="Times New Roman"/>
          <w:sz w:val="24"/>
          <w:szCs w:val="24"/>
          <w:lang w:val="en-GB" w:eastAsia="nb-NO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en-GB" w:eastAsia="nb-NO"/>
        </w:rPr>
        <w:instrText xml:space="preserve"> ADDIN EN.CITE &lt;EndNote&gt;&lt;Cite&gt;&lt;Author&gt;Attride-Stirling&lt;/Author&gt;&lt;Year&gt;2001&lt;/Year&gt;&lt;RecNum&gt;24&lt;/RecNum&gt;&lt;DisplayText&gt;(42)&lt;/DisplayText&gt;&lt;record&gt;&lt;rec-number&gt;24&lt;/rec-number&gt;&lt;foreign-keys&gt;&lt;key app="EN" db-id="apetp2pdfzvdtfefze4592502axptwwvvze5" timestamp="1530276584"&gt;24&lt;/key&gt;&lt;/foreign-keys&gt;&lt;ref-type name="Journal Article"&gt;17&lt;/ref-type&gt;&lt;contributors&gt;&lt;authors&gt;&lt;author&gt;Attride-Stirling, Jennifer&lt;/author&gt;&lt;/authors&gt;&lt;/contributors&gt;&lt;titles&gt;&lt;title&gt;Thematic networks: an analytic tool for qualitative research&lt;/title&gt;&lt;secondary-title&gt;Qualitative Research&lt;/secondary-title&gt;&lt;/titles&gt;&lt;periodical&gt;&lt;full-title&gt;Qualitative Research&lt;/full-title&gt;&lt;/periodical&gt;&lt;pages&gt;385-405&lt;/pages&gt;&lt;volume&gt;1&lt;/volume&gt;&lt;number&gt;3&lt;/number&gt;&lt;keywords&gt;&lt;keyword&gt;method,qualitative analysis,text interpretation,textual data&lt;/keyword&gt;&lt;/keywords&gt;&lt;dates&gt;&lt;year&gt;2001&lt;/year&gt;&lt;/dates&gt;&lt;urls&gt;&lt;related-urls&gt;&lt;url&gt;http://journals.sagepub.com/doi/abs/10.1177/146879410100100307&lt;/url&gt;&lt;/related-urls&gt;&lt;/urls&gt;&lt;electronic-resource-num&gt;10.1177/146879410100100307&lt;/electronic-resource-num&gt;&lt;/record&gt;&lt;/Cite&gt;&lt;/EndNote&gt;</w:instrText>
      </w:r>
      <w:r>
        <w:rPr>
          <w:rFonts w:ascii="Times New Roman" w:hAnsi="Times New Roman" w:cs="Times New Roman"/>
          <w:sz w:val="24"/>
          <w:szCs w:val="24"/>
          <w:lang w:val="en-GB" w:eastAsia="nb-NO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  <w:lang w:val="en-GB" w:eastAsia="nb-NO"/>
        </w:rPr>
        <w:t>(42)</w:t>
      </w:r>
      <w:r>
        <w:rPr>
          <w:rFonts w:ascii="Times New Roman" w:hAnsi="Times New Roman" w:cs="Times New Roman"/>
          <w:sz w:val="24"/>
          <w:szCs w:val="24"/>
          <w:lang w:val="en-GB" w:eastAsia="nb-NO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GB" w:eastAsia="nb-NO"/>
        </w:rPr>
        <w:t>: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24"/>
        <w:gridCol w:w="3068"/>
        <w:gridCol w:w="2445"/>
        <w:gridCol w:w="1893"/>
      </w:tblGrid>
      <w:tr w:rsidR="006028CA" w14:paraId="5F8ADBBA" w14:textId="77777777" w:rsidTr="00BF16ED">
        <w:trPr>
          <w:jc w:val="center"/>
        </w:trPr>
        <w:tc>
          <w:tcPr>
            <w:tcW w:w="0" w:type="auto"/>
          </w:tcPr>
          <w:p w14:paraId="5706F571" w14:textId="77777777" w:rsidR="006028CA" w:rsidRPr="00264551" w:rsidRDefault="006028CA" w:rsidP="00BF16ED">
            <w:pPr>
              <w:rPr>
                <w:b/>
                <w:lang w:val="en-GB"/>
              </w:rPr>
            </w:pPr>
            <w:r w:rsidRPr="00264551">
              <w:rPr>
                <w:b/>
                <w:lang w:val="en-GB"/>
              </w:rPr>
              <w:t>Codes</w:t>
            </w:r>
          </w:p>
        </w:tc>
        <w:tc>
          <w:tcPr>
            <w:tcW w:w="0" w:type="auto"/>
          </w:tcPr>
          <w:p w14:paraId="4102E6F6" w14:textId="77777777" w:rsidR="006028CA" w:rsidRPr="00264551" w:rsidRDefault="006028CA" w:rsidP="00BF16ED">
            <w:pPr>
              <w:rPr>
                <w:b/>
                <w:lang w:val="en-US"/>
              </w:rPr>
            </w:pPr>
            <w:r w:rsidRPr="00264551">
              <w:rPr>
                <w:b/>
                <w:lang w:val="en-US"/>
              </w:rPr>
              <w:t>Basic themes</w:t>
            </w:r>
          </w:p>
        </w:tc>
        <w:tc>
          <w:tcPr>
            <w:tcW w:w="0" w:type="auto"/>
          </w:tcPr>
          <w:p w14:paraId="27634F53" w14:textId="77777777" w:rsidR="006028CA" w:rsidRPr="00264551" w:rsidRDefault="006028CA" w:rsidP="00BF16ED">
            <w:pPr>
              <w:rPr>
                <w:b/>
                <w:lang w:val="en-US"/>
              </w:rPr>
            </w:pPr>
            <w:r w:rsidRPr="00264551">
              <w:rPr>
                <w:b/>
                <w:lang w:val="en-US"/>
              </w:rPr>
              <w:t>Organizing themes</w:t>
            </w:r>
          </w:p>
        </w:tc>
        <w:tc>
          <w:tcPr>
            <w:tcW w:w="1893" w:type="dxa"/>
          </w:tcPr>
          <w:p w14:paraId="27E6E278" w14:textId="77777777" w:rsidR="006028CA" w:rsidRPr="00264551" w:rsidRDefault="006028CA" w:rsidP="00BF16ED">
            <w:pPr>
              <w:rPr>
                <w:b/>
                <w:lang w:val="en-US"/>
              </w:rPr>
            </w:pPr>
            <w:r w:rsidRPr="00264551">
              <w:rPr>
                <w:b/>
                <w:lang w:val="en-US"/>
              </w:rPr>
              <w:t>Global theme</w:t>
            </w:r>
          </w:p>
        </w:tc>
      </w:tr>
      <w:tr w:rsidR="006028CA" w:rsidRPr="00723B78" w14:paraId="40C41A06" w14:textId="77777777" w:rsidTr="00BF16ED">
        <w:trPr>
          <w:jc w:val="center"/>
        </w:trPr>
        <w:tc>
          <w:tcPr>
            <w:tcW w:w="0" w:type="auto"/>
            <w:vAlign w:val="center"/>
          </w:tcPr>
          <w:p w14:paraId="6D1C4902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Information – treatment options and rights</w:t>
            </w:r>
          </w:p>
        </w:tc>
        <w:tc>
          <w:tcPr>
            <w:tcW w:w="0" w:type="auto"/>
            <w:vMerge w:val="restart"/>
            <w:vAlign w:val="center"/>
          </w:tcPr>
          <w:p w14:paraId="7129B4C7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 xml:space="preserve">Communication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 xml:space="preserve">skills </w:t>
            </w:r>
          </w:p>
        </w:tc>
        <w:tc>
          <w:tcPr>
            <w:tcW w:w="0" w:type="auto"/>
            <w:vMerge w:val="restart"/>
            <w:vAlign w:val="center"/>
          </w:tcPr>
          <w:p w14:paraId="68093B97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Interpersonal relationships between therapists and patients</w:t>
            </w:r>
          </w:p>
        </w:tc>
        <w:tc>
          <w:tcPr>
            <w:tcW w:w="1893" w:type="dxa"/>
            <w:vMerge w:val="restart"/>
            <w:vAlign w:val="center"/>
          </w:tcPr>
          <w:p w14:paraId="453FEF17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ersonal recovery processes facilitated by more psychosocial treatment options within mental health care – medication free treatment program</w:t>
            </w:r>
          </w:p>
        </w:tc>
      </w:tr>
      <w:tr w:rsidR="006028CA" w14:paraId="3C419CD4" w14:textId="77777777" w:rsidTr="00BF16ED">
        <w:trPr>
          <w:jc w:val="center"/>
        </w:trPr>
        <w:tc>
          <w:tcPr>
            <w:tcW w:w="0" w:type="auto"/>
            <w:vAlign w:val="center"/>
          </w:tcPr>
          <w:p w14:paraId="3E273BC3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Doctor, trust and availability</w:t>
            </w:r>
          </w:p>
        </w:tc>
        <w:tc>
          <w:tcPr>
            <w:tcW w:w="0" w:type="auto"/>
            <w:vMerge/>
            <w:vAlign w:val="center"/>
          </w:tcPr>
          <w:p w14:paraId="022C6AAE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7D054995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4EE4D80F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:rsidRPr="00C22CF6" w14:paraId="64920E2D" w14:textId="77777777" w:rsidTr="00BF16ED">
        <w:trPr>
          <w:jc w:val="center"/>
        </w:trPr>
        <w:tc>
          <w:tcPr>
            <w:tcW w:w="0" w:type="auto"/>
            <w:vAlign w:val="center"/>
          </w:tcPr>
          <w:p w14:paraId="3C2A41A4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Power play</w:t>
            </w:r>
          </w:p>
        </w:tc>
        <w:tc>
          <w:tcPr>
            <w:tcW w:w="0" w:type="auto"/>
            <w:vMerge w:val="restart"/>
            <w:vAlign w:val="center"/>
          </w:tcPr>
          <w:p w14:paraId="3C24F523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 xml:space="preserve">Potential difficulties </w:t>
            </w:r>
          </w:p>
        </w:tc>
        <w:tc>
          <w:tcPr>
            <w:tcW w:w="0" w:type="auto"/>
            <w:vMerge/>
            <w:vAlign w:val="center"/>
          </w:tcPr>
          <w:p w14:paraId="70DD2145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6E5240EF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:rsidRPr="00723B78" w14:paraId="5E4BC568" w14:textId="77777777" w:rsidTr="00BF16ED">
        <w:trPr>
          <w:jc w:val="center"/>
        </w:trPr>
        <w:tc>
          <w:tcPr>
            <w:tcW w:w="0" w:type="auto"/>
            <w:vAlign w:val="center"/>
          </w:tcPr>
          <w:p w14:paraId="5236D034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Substituting AP with other treatment</w:t>
            </w:r>
          </w:p>
        </w:tc>
        <w:tc>
          <w:tcPr>
            <w:tcW w:w="0" w:type="auto"/>
            <w:vMerge/>
            <w:vAlign w:val="center"/>
          </w:tcPr>
          <w:p w14:paraId="1BDE3E66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380C8AEC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543A5E98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:rsidRPr="00723B78" w14:paraId="321A81F3" w14:textId="77777777" w:rsidTr="00BF16ED">
        <w:trPr>
          <w:jc w:val="center"/>
        </w:trPr>
        <w:tc>
          <w:tcPr>
            <w:tcW w:w="0" w:type="auto"/>
            <w:vAlign w:val="center"/>
          </w:tcPr>
          <w:p w14:paraId="1BE11EF8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The importance of having a choice</w:t>
            </w:r>
          </w:p>
        </w:tc>
        <w:tc>
          <w:tcPr>
            <w:tcW w:w="0" w:type="auto"/>
            <w:vMerge w:val="restart"/>
            <w:vAlign w:val="center"/>
          </w:tcPr>
          <w:p w14:paraId="266DD10F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Processes of</w:t>
            </w: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 xml:space="preserve"> treatment choices</w:t>
            </w:r>
          </w:p>
        </w:tc>
        <w:tc>
          <w:tcPr>
            <w:tcW w:w="0" w:type="auto"/>
            <w:vMerge w:val="restart"/>
            <w:vAlign w:val="center"/>
          </w:tcPr>
          <w:p w14:paraId="5DF9F26E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Patterns of suffering and how choices are made</w:t>
            </w:r>
          </w:p>
        </w:tc>
        <w:tc>
          <w:tcPr>
            <w:tcW w:w="1893" w:type="dxa"/>
            <w:vMerge/>
            <w:vAlign w:val="center"/>
          </w:tcPr>
          <w:p w14:paraId="58D658D3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14:paraId="032C66BA" w14:textId="77777777" w:rsidTr="00BF16ED">
        <w:trPr>
          <w:jc w:val="center"/>
        </w:trPr>
        <w:tc>
          <w:tcPr>
            <w:tcW w:w="0" w:type="auto"/>
            <w:vAlign w:val="center"/>
          </w:tcPr>
          <w:p w14:paraId="3DF82550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Choose the unknown</w:t>
            </w:r>
          </w:p>
        </w:tc>
        <w:tc>
          <w:tcPr>
            <w:tcW w:w="0" w:type="auto"/>
            <w:vMerge/>
            <w:vAlign w:val="center"/>
          </w:tcPr>
          <w:p w14:paraId="73BC4653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18E2DD4F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5250DC9D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:rsidRPr="00723B78" w14:paraId="4654C789" w14:textId="77777777" w:rsidTr="00BF16ED">
        <w:trPr>
          <w:jc w:val="center"/>
        </w:trPr>
        <w:tc>
          <w:tcPr>
            <w:tcW w:w="0" w:type="auto"/>
            <w:vAlign w:val="center"/>
          </w:tcPr>
          <w:p w14:paraId="596DB26E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Choosing medication; effects, side effects</w:t>
            </w:r>
          </w:p>
        </w:tc>
        <w:tc>
          <w:tcPr>
            <w:tcW w:w="0" w:type="auto"/>
            <w:vMerge/>
            <w:vAlign w:val="center"/>
          </w:tcPr>
          <w:p w14:paraId="6062FD07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5091E8EF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08A1E82D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:rsidRPr="00723B78" w14:paraId="53C6C539" w14:textId="77777777" w:rsidTr="00BF16ED">
        <w:trPr>
          <w:jc w:val="center"/>
        </w:trPr>
        <w:tc>
          <w:tcPr>
            <w:tcW w:w="0" w:type="auto"/>
            <w:vAlign w:val="center"/>
          </w:tcPr>
          <w:p w14:paraId="3D77ADA8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Getting experienced</w:t>
            </w:r>
          </w:p>
        </w:tc>
        <w:tc>
          <w:tcPr>
            <w:tcW w:w="0" w:type="auto"/>
            <w:vMerge w:val="restart"/>
            <w:vAlign w:val="center"/>
          </w:tcPr>
          <w:p w14:paraId="334DEC89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Developing personal illness understanding, considering consequences</w:t>
            </w:r>
          </w:p>
        </w:tc>
        <w:tc>
          <w:tcPr>
            <w:tcW w:w="0" w:type="auto"/>
            <w:vMerge/>
            <w:vAlign w:val="center"/>
          </w:tcPr>
          <w:p w14:paraId="4F7809D4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4B1DDD7C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:rsidRPr="00723B78" w14:paraId="51C36B81" w14:textId="77777777" w:rsidTr="00BF16ED">
        <w:trPr>
          <w:jc w:val="center"/>
        </w:trPr>
        <w:tc>
          <w:tcPr>
            <w:tcW w:w="0" w:type="auto"/>
            <w:vAlign w:val="center"/>
          </w:tcPr>
          <w:p w14:paraId="0B88FA1F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Worsening: not an easy way out</w:t>
            </w:r>
          </w:p>
        </w:tc>
        <w:tc>
          <w:tcPr>
            <w:tcW w:w="0" w:type="auto"/>
            <w:vMerge/>
            <w:vAlign w:val="center"/>
          </w:tcPr>
          <w:p w14:paraId="20F025A5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37E0EF21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4B4283B4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:rsidRPr="00723B78" w14:paraId="0F2D130A" w14:textId="77777777" w:rsidTr="00BF16ED">
        <w:trPr>
          <w:jc w:val="center"/>
        </w:trPr>
        <w:tc>
          <w:tcPr>
            <w:tcW w:w="0" w:type="auto"/>
            <w:vAlign w:val="center"/>
          </w:tcPr>
          <w:p w14:paraId="510008E8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Outside factors, keep work and family</w:t>
            </w:r>
          </w:p>
        </w:tc>
        <w:tc>
          <w:tcPr>
            <w:tcW w:w="0" w:type="auto"/>
            <w:vMerge/>
            <w:vAlign w:val="center"/>
          </w:tcPr>
          <w:p w14:paraId="09628C58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24AEBA34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5E2A1323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:rsidRPr="00723B78" w14:paraId="24B76525" w14:textId="77777777" w:rsidTr="00BF16ED">
        <w:trPr>
          <w:jc w:val="center"/>
        </w:trPr>
        <w:tc>
          <w:tcPr>
            <w:tcW w:w="0" w:type="auto"/>
            <w:vAlign w:val="center"/>
          </w:tcPr>
          <w:p w14:paraId="4F401AA2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 xml:space="preserve">Expectations; do it </w:t>
            </w:r>
            <w:proofErr w:type="gramStart"/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myself</w:t>
            </w:r>
            <w:proofErr w:type="gramEnd"/>
          </w:p>
        </w:tc>
        <w:tc>
          <w:tcPr>
            <w:tcW w:w="0" w:type="auto"/>
            <w:vMerge w:val="restart"/>
            <w:vAlign w:val="center"/>
          </w:tcPr>
          <w:p w14:paraId="694A94F0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Personal responsibility for recovery</w:t>
            </w:r>
          </w:p>
        </w:tc>
        <w:tc>
          <w:tcPr>
            <w:tcW w:w="0" w:type="auto"/>
            <w:vMerge w:val="restart"/>
            <w:vAlign w:val="center"/>
          </w:tcPr>
          <w:p w14:paraId="6D409E17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Motivation and personal agency in the recovery process</w:t>
            </w:r>
          </w:p>
          <w:p w14:paraId="62FDCF91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3E10C737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14:paraId="48D2C385" w14:textId="77777777" w:rsidTr="00BF16ED">
        <w:trPr>
          <w:jc w:val="center"/>
        </w:trPr>
        <w:tc>
          <w:tcPr>
            <w:tcW w:w="0" w:type="auto"/>
            <w:vAlign w:val="center"/>
          </w:tcPr>
          <w:p w14:paraId="2AAFFFF4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Coping strategies</w:t>
            </w:r>
          </w:p>
        </w:tc>
        <w:tc>
          <w:tcPr>
            <w:tcW w:w="0" w:type="auto"/>
            <w:vMerge/>
            <w:vAlign w:val="center"/>
          </w:tcPr>
          <w:p w14:paraId="3CFB005E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0449EFFE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23888E96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14:paraId="088FF03D" w14:textId="77777777" w:rsidTr="00BF16ED">
        <w:trPr>
          <w:jc w:val="center"/>
        </w:trPr>
        <w:tc>
          <w:tcPr>
            <w:tcW w:w="0" w:type="auto"/>
            <w:vAlign w:val="center"/>
          </w:tcPr>
          <w:p w14:paraId="58A3938A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Do stupid things</w:t>
            </w:r>
          </w:p>
        </w:tc>
        <w:tc>
          <w:tcPr>
            <w:tcW w:w="0" w:type="auto"/>
            <w:vMerge/>
            <w:vAlign w:val="center"/>
          </w:tcPr>
          <w:p w14:paraId="16600740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7D02EE39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747A07F3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:rsidRPr="00723B78" w14:paraId="522D17CB" w14:textId="77777777" w:rsidTr="00BF16ED">
        <w:trPr>
          <w:jc w:val="center"/>
        </w:trPr>
        <w:tc>
          <w:tcPr>
            <w:tcW w:w="0" w:type="auto"/>
            <w:vAlign w:val="center"/>
          </w:tcPr>
          <w:p w14:paraId="15000A7C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Independent, not telling</w:t>
            </w:r>
          </w:p>
        </w:tc>
        <w:tc>
          <w:tcPr>
            <w:tcW w:w="0" w:type="auto"/>
            <w:vMerge w:val="restart"/>
            <w:vAlign w:val="center"/>
          </w:tcPr>
          <w:p w14:paraId="3D9F04F9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Future life hopes and thoughts, independency in life and treatment situations</w:t>
            </w:r>
          </w:p>
        </w:tc>
        <w:tc>
          <w:tcPr>
            <w:tcW w:w="0" w:type="auto"/>
            <w:vMerge/>
            <w:vAlign w:val="center"/>
          </w:tcPr>
          <w:p w14:paraId="188E9AB4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31D1A17D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:rsidRPr="00723B78" w14:paraId="1F8C3155" w14:textId="77777777" w:rsidTr="00BF16ED">
        <w:trPr>
          <w:trHeight w:val="104"/>
          <w:jc w:val="center"/>
        </w:trPr>
        <w:tc>
          <w:tcPr>
            <w:tcW w:w="0" w:type="auto"/>
            <w:vAlign w:val="center"/>
          </w:tcPr>
          <w:p w14:paraId="26F6A95B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Dreams an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d hopes; work, studies, family</w:t>
            </w:r>
          </w:p>
        </w:tc>
        <w:tc>
          <w:tcPr>
            <w:tcW w:w="0" w:type="auto"/>
            <w:vMerge/>
            <w:vAlign w:val="center"/>
          </w:tcPr>
          <w:p w14:paraId="5FCBBD08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261FC5DB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2BF63641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  <w:tr w:rsidR="006028CA" w:rsidRPr="00723B78" w14:paraId="444A418B" w14:textId="77777777" w:rsidTr="00BF16ED">
        <w:trPr>
          <w:trHeight w:val="104"/>
          <w:jc w:val="center"/>
        </w:trPr>
        <w:tc>
          <w:tcPr>
            <w:tcW w:w="0" w:type="auto"/>
            <w:vAlign w:val="center"/>
          </w:tcPr>
          <w:p w14:paraId="604D5BEC" w14:textId="77777777" w:rsidR="006028CA" w:rsidRPr="00545253" w:rsidRDefault="006028CA" w:rsidP="00BF16E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N</w:t>
            </w:r>
            <w:r w:rsidRPr="00545253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val="en-GB" w:eastAsia="nb-NO"/>
              </w:rPr>
              <w:t>ot being hard on myself</w:t>
            </w:r>
          </w:p>
        </w:tc>
        <w:tc>
          <w:tcPr>
            <w:tcW w:w="0" w:type="auto"/>
            <w:vMerge/>
            <w:vAlign w:val="center"/>
          </w:tcPr>
          <w:p w14:paraId="12CC68F8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46E3ABB7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  <w:tc>
          <w:tcPr>
            <w:tcW w:w="1893" w:type="dxa"/>
            <w:vMerge/>
            <w:vAlign w:val="center"/>
          </w:tcPr>
          <w:p w14:paraId="273F591C" w14:textId="77777777" w:rsidR="006028CA" w:rsidRPr="00545253" w:rsidRDefault="006028CA" w:rsidP="00BF16ED">
            <w:pPr>
              <w:rPr>
                <w:sz w:val="16"/>
                <w:lang w:val="en-US"/>
              </w:rPr>
            </w:pPr>
          </w:p>
        </w:tc>
      </w:tr>
    </w:tbl>
    <w:p w14:paraId="7699FDFF" w14:textId="77777777" w:rsidR="006028CA" w:rsidRDefault="006028CA"/>
    <w:sectPr w:rsidR="006028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8CA"/>
    <w:rsid w:val="00316534"/>
    <w:rsid w:val="006028CA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C277A"/>
  <w15:chartTrackingRefBased/>
  <w15:docId w15:val="{E77CF647-A23D-4D15-81E2-E2E85E3CD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8CA"/>
    <w:rPr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28CA"/>
    <w:pPr>
      <w:spacing w:after="0" w:line="240" w:lineRule="auto"/>
    </w:pPr>
    <w:rPr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2173</Characters>
  <Application>Microsoft Office Word</Application>
  <DocSecurity>0</DocSecurity>
  <Lines>18</Lines>
  <Paragraphs>5</Paragraphs>
  <ScaleCrop>false</ScaleCrop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2020-01-24T20:34:00Z</dcterms:created>
  <dcterms:modified xsi:type="dcterms:W3CDTF">2020-01-24T20:35:00Z</dcterms:modified>
</cp:coreProperties>
</file>