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311C" w:rsidRPr="0076311C" w:rsidRDefault="0076311C" w:rsidP="0076311C">
      <w:pPr>
        <w:rPr>
          <w:b/>
          <w:sz w:val="24"/>
          <w:szCs w:val="24"/>
          <w:lang w:val="en-GB"/>
        </w:rPr>
      </w:pPr>
      <w:r w:rsidRPr="0027316D">
        <w:rPr>
          <w:b/>
          <w:sz w:val="24"/>
          <w:szCs w:val="24"/>
          <w:lang w:val="en-GB"/>
        </w:rPr>
        <w:t>Optimization of the miRNA extraction</w:t>
      </w:r>
    </w:p>
    <w:p w:rsidR="00C61867" w:rsidRDefault="00C61867" w:rsidP="00C61867">
      <w:pPr>
        <w:spacing w:after="0"/>
        <w:rPr>
          <w:sz w:val="24"/>
          <w:szCs w:val="24"/>
          <w:lang w:val="en-GB"/>
        </w:rPr>
      </w:pPr>
      <w:r>
        <w:rPr>
          <w:sz w:val="24"/>
          <w:szCs w:val="24"/>
          <w:lang w:val="en-GB"/>
        </w:rPr>
        <w:t>Is</w:t>
      </w:r>
      <w:bookmarkStart w:id="0" w:name="_GoBack"/>
      <w:bookmarkEnd w:id="0"/>
      <w:r>
        <w:rPr>
          <w:sz w:val="24"/>
          <w:szCs w:val="24"/>
          <w:lang w:val="en-GB"/>
        </w:rPr>
        <w:t>olation kit</w:t>
      </w:r>
    </w:p>
    <w:p w:rsidR="00C61867" w:rsidRDefault="00C61867" w:rsidP="00C61867">
      <w:pPr>
        <w:spacing w:after="0"/>
        <w:rPr>
          <w:sz w:val="24"/>
          <w:szCs w:val="24"/>
          <w:lang w:val="en-GB"/>
        </w:rPr>
      </w:pPr>
      <w:r w:rsidRPr="0027316D">
        <w:rPr>
          <w:sz w:val="24"/>
          <w:szCs w:val="24"/>
          <w:lang w:val="en-GB"/>
        </w:rPr>
        <w:t>While the miRNeasy</w:t>
      </w:r>
      <w:r>
        <w:rPr>
          <w:sz w:val="24"/>
          <w:szCs w:val="24"/>
          <w:lang w:val="en-GB"/>
        </w:rPr>
        <w:t xml:space="preserve"> Serum/Plasma Kit with 200μl of plasma input</w:t>
      </w:r>
      <w:r w:rsidRPr="0027316D">
        <w:rPr>
          <w:sz w:val="24"/>
          <w:szCs w:val="24"/>
          <w:lang w:val="en-GB"/>
        </w:rPr>
        <w:t xml:space="preserve"> was found </w:t>
      </w:r>
      <w:r>
        <w:rPr>
          <w:sz w:val="24"/>
          <w:szCs w:val="24"/>
          <w:lang w:val="en-GB"/>
        </w:rPr>
        <w:t>to be the most efficient</w:t>
      </w:r>
      <w:r w:rsidRPr="0027316D">
        <w:rPr>
          <w:sz w:val="24"/>
          <w:szCs w:val="24"/>
          <w:lang w:val="en-GB"/>
        </w:rPr>
        <w:t>, the highest absolute yields were achieved with NucleoSpin m</w:t>
      </w:r>
      <w:r>
        <w:rPr>
          <w:sz w:val="24"/>
          <w:szCs w:val="24"/>
          <w:lang w:val="en-GB"/>
        </w:rPr>
        <w:t>iRNA Plasma Kit</w:t>
      </w:r>
      <w:r w:rsidRPr="0027316D">
        <w:rPr>
          <w:sz w:val="24"/>
          <w:szCs w:val="24"/>
          <w:lang w:val="en-GB"/>
        </w:rPr>
        <w:t xml:space="preserve"> and miRCURY RNA Isolation Kit </w:t>
      </w:r>
      <w:r>
        <w:rPr>
          <w:sz w:val="24"/>
          <w:szCs w:val="24"/>
          <w:lang w:val="en-GB"/>
        </w:rPr>
        <w:t>with an input of 900μ</w:t>
      </w:r>
      <w:r w:rsidRPr="0027316D">
        <w:rPr>
          <w:sz w:val="24"/>
          <w:szCs w:val="24"/>
          <w:lang w:val="en-GB"/>
        </w:rPr>
        <w:t xml:space="preserve">l of plasma in both cases. These </w:t>
      </w:r>
      <w:r w:rsidR="001C76A4">
        <w:rPr>
          <w:sz w:val="24"/>
          <w:szCs w:val="24"/>
          <w:lang w:val="en-GB"/>
        </w:rPr>
        <w:t>three</w:t>
      </w:r>
      <w:r w:rsidRPr="0027316D">
        <w:rPr>
          <w:sz w:val="24"/>
          <w:szCs w:val="24"/>
          <w:lang w:val="en-GB"/>
        </w:rPr>
        <w:t xml:space="preserve"> </w:t>
      </w:r>
      <w:r w:rsidR="006B20D4">
        <w:rPr>
          <w:sz w:val="24"/>
          <w:szCs w:val="24"/>
          <w:lang w:val="en-GB"/>
        </w:rPr>
        <w:t>abovementioned</w:t>
      </w:r>
      <w:r w:rsidR="006B20D4" w:rsidRPr="0027316D">
        <w:rPr>
          <w:sz w:val="24"/>
          <w:szCs w:val="24"/>
          <w:lang w:val="en-GB"/>
        </w:rPr>
        <w:t xml:space="preserve"> </w:t>
      </w:r>
      <w:r w:rsidRPr="0027316D">
        <w:rPr>
          <w:sz w:val="24"/>
          <w:szCs w:val="24"/>
          <w:lang w:val="en-GB"/>
        </w:rPr>
        <w:t>isolation procedure</w:t>
      </w:r>
      <w:r>
        <w:rPr>
          <w:sz w:val="24"/>
          <w:szCs w:val="24"/>
          <w:lang w:val="en-GB"/>
        </w:rPr>
        <w:t>s</w:t>
      </w:r>
      <w:r w:rsidRPr="0027316D">
        <w:rPr>
          <w:sz w:val="24"/>
          <w:szCs w:val="24"/>
          <w:lang w:val="en-GB"/>
        </w:rPr>
        <w:t xml:space="preserve"> were further i</w:t>
      </w:r>
      <w:r>
        <w:rPr>
          <w:sz w:val="24"/>
          <w:szCs w:val="24"/>
          <w:lang w:val="en-GB"/>
        </w:rPr>
        <w:t xml:space="preserve">mproved </w:t>
      </w:r>
      <w:r w:rsidR="00D62CC8">
        <w:rPr>
          <w:sz w:val="24"/>
          <w:szCs w:val="24"/>
          <w:lang w:val="en-GB"/>
        </w:rPr>
        <w:t xml:space="preserve">using </w:t>
      </w:r>
      <w:r w:rsidR="00D62CC8" w:rsidRPr="0027316D">
        <w:rPr>
          <w:sz w:val="24"/>
          <w:szCs w:val="24"/>
          <w:lang w:val="en-GB"/>
        </w:rPr>
        <w:t>vacuum concentra</w:t>
      </w:r>
      <w:r w:rsidR="00D62CC8">
        <w:rPr>
          <w:sz w:val="24"/>
          <w:szCs w:val="24"/>
          <w:lang w:val="en-GB"/>
        </w:rPr>
        <w:t>tor</w:t>
      </w:r>
      <w:r w:rsidR="00D62CC8" w:rsidRPr="0027316D">
        <w:rPr>
          <w:sz w:val="24"/>
          <w:szCs w:val="24"/>
          <w:lang w:val="en-GB"/>
        </w:rPr>
        <w:t xml:space="preserve"> (SpeedVac) </w:t>
      </w:r>
      <w:r w:rsidR="00D62CC8">
        <w:rPr>
          <w:sz w:val="24"/>
          <w:szCs w:val="24"/>
          <w:lang w:val="en-GB"/>
        </w:rPr>
        <w:t>and</w:t>
      </w:r>
      <w:r>
        <w:rPr>
          <w:sz w:val="24"/>
          <w:szCs w:val="24"/>
          <w:lang w:val="en-GB"/>
        </w:rPr>
        <w:t xml:space="preserve"> glycogen addition (2μg and 10μ</w:t>
      </w:r>
      <w:r w:rsidRPr="0027316D">
        <w:rPr>
          <w:sz w:val="24"/>
          <w:szCs w:val="24"/>
          <w:lang w:val="en-GB"/>
        </w:rPr>
        <w:t>g; Roche and Invitrogen) when mergi</w:t>
      </w:r>
      <w:r>
        <w:rPr>
          <w:sz w:val="24"/>
          <w:szCs w:val="24"/>
          <w:lang w:val="en-GB"/>
        </w:rPr>
        <w:t>ng two isolations (miRNeasy 400μl; NucleoSpin and miRCURY 1800μ</w:t>
      </w:r>
      <w:r w:rsidRPr="0027316D">
        <w:rPr>
          <w:sz w:val="24"/>
          <w:szCs w:val="24"/>
          <w:lang w:val="en-GB"/>
        </w:rPr>
        <w:t>l overall input volume) with default</w:t>
      </w:r>
      <w:r>
        <w:rPr>
          <w:sz w:val="24"/>
          <w:szCs w:val="24"/>
          <w:lang w:val="en-GB"/>
        </w:rPr>
        <w:t xml:space="preserve"> elution volumes (miRNeasy 2x14μl; NucleoSpin and miRCURY 2x20μ</w:t>
      </w:r>
      <w:r w:rsidRPr="0027316D">
        <w:rPr>
          <w:sz w:val="24"/>
          <w:szCs w:val="24"/>
          <w:lang w:val="en-GB"/>
        </w:rPr>
        <w:t xml:space="preserve">l). </w:t>
      </w:r>
    </w:p>
    <w:p w:rsidR="00C61867" w:rsidRDefault="00C61867" w:rsidP="00C61867">
      <w:pPr>
        <w:spacing w:after="0"/>
        <w:rPr>
          <w:sz w:val="24"/>
          <w:szCs w:val="24"/>
          <w:lang w:val="en-GB"/>
        </w:rPr>
      </w:pPr>
    </w:p>
    <w:p w:rsidR="00C61867" w:rsidRDefault="00C61867" w:rsidP="00C61867">
      <w:pPr>
        <w:spacing w:after="0"/>
        <w:rPr>
          <w:sz w:val="24"/>
          <w:szCs w:val="24"/>
          <w:lang w:val="en-GB"/>
        </w:rPr>
      </w:pPr>
      <w:r>
        <w:rPr>
          <w:sz w:val="24"/>
          <w:szCs w:val="24"/>
          <w:lang w:val="en-GB"/>
        </w:rPr>
        <w:t>Glycogen and vacuum concentrator</w:t>
      </w:r>
    </w:p>
    <w:p w:rsidR="00C61867" w:rsidRPr="0027316D" w:rsidRDefault="00C61867" w:rsidP="00C61867">
      <w:pPr>
        <w:spacing w:after="0"/>
        <w:rPr>
          <w:sz w:val="24"/>
          <w:szCs w:val="24"/>
          <w:lang w:val="en-GB"/>
        </w:rPr>
      </w:pPr>
      <w:r w:rsidRPr="0027316D">
        <w:rPr>
          <w:sz w:val="24"/>
          <w:szCs w:val="24"/>
          <w:lang w:val="en-GB"/>
        </w:rPr>
        <w:t>In case of glycogen, both tested trademarks reached comparable results and higher y</w:t>
      </w:r>
      <w:r>
        <w:rPr>
          <w:sz w:val="24"/>
          <w:szCs w:val="24"/>
          <w:lang w:val="en-GB"/>
        </w:rPr>
        <w:t>ields were ever achieved with 2μ</w:t>
      </w:r>
      <w:r w:rsidRPr="0027316D">
        <w:rPr>
          <w:sz w:val="24"/>
          <w:szCs w:val="24"/>
          <w:lang w:val="en-GB"/>
        </w:rPr>
        <w:t>g of gly</w:t>
      </w:r>
      <w:r>
        <w:rPr>
          <w:sz w:val="24"/>
          <w:szCs w:val="24"/>
          <w:lang w:val="en-GB"/>
        </w:rPr>
        <w:t>cogen in isolation then with 10μ</w:t>
      </w:r>
      <w:r w:rsidRPr="0027316D">
        <w:rPr>
          <w:sz w:val="24"/>
          <w:szCs w:val="24"/>
          <w:lang w:val="en-GB"/>
        </w:rPr>
        <w:t>g. While the total miRNA concentrations we</w:t>
      </w:r>
      <w:r>
        <w:rPr>
          <w:sz w:val="24"/>
          <w:szCs w:val="24"/>
          <w:lang w:val="en-GB"/>
        </w:rPr>
        <w:t>re increased with addition of 2μ</w:t>
      </w:r>
      <w:r w:rsidRPr="0027316D">
        <w:rPr>
          <w:sz w:val="24"/>
          <w:szCs w:val="24"/>
          <w:lang w:val="en-GB"/>
        </w:rPr>
        <w:t>g of glycogen as measured with fluorometer, the increments differed between concrete m</w:t>
      </w:r>
      <w:r>
        <w:rPr>
          <w:sz w:val="24"/>
          <w:szCs w:val="24"/>
          <w:lang w:val="en-GB"/>
        </w:rPr>
        <w:t>iRNAs as measured with qPCR. Therefore,</w:t>
      </w:r>
      <w:r w:rsidRPr="0027316D">
        <w:rPr>
          <w:sz w:val="24"/>
          <w:szCs w:val="24"/>
          <w:lang w:val="en-GB"/>
        </w:rPr>
        <w:t xml:space="preserve"> the glycogen </w:t>
      </w:r>
      <w:r>
        <w:rPr>
          <w:sz w:val="24"/>
          <w:szCs w:val="24"/>
          <w:lang w:val="en-GB"/>
        </w:rPr>
        <w:t xml:space="preserve">utilization </w:t>
      </w:r>
      <w:r w:rsidRPr="0027316D">
        <w:rPr>
          <w:sz w:val="24"/>
          <w:szCs w:val="24"/>
          <w:lang w:val="en-GB"/>
        </w:rPr>
        <w:t>was excluded, because it seemed to af</w:t>
      </w:r>
      <w:r>
        <w:rPr>
          <w:sz w:val="24"/>
          <w:szCs w:val="24"/>
          <w:lang w:val="en-GB"/>
        </w:rPr>
        <w:t>fect the overall miRNA</w:t>
      </w:r>
      <w:r w:rsidR="00530598">
        <w:rPr>
          <w:sz w:val="24"/>
          <w:szCs w:val="24"/>
          <w:lang w:val="en-GB"/>
        </w:rPr>
        <w:t>s</w:t>
      </w:r>
      <w:r>
        <w:rPr>
          <w:sz w:val="24"/>
          <w:szCs w:val="24"/>
          <w:lang w:val="en-GB"/>
        </w:rPr>
        <w:t xml:space="preserve"> profile.</w:t>
      </w:r>
    </w:p>
    <w:p w:rsidR="00C61867" w:rsidRPr="0027316D" w:rsidRDefault="00C61867" w:rsidP="00C61867">
      <w:pPr>
        <w:rPr>
          <w:color w:val="808080" w:themeColor="background1" w:themeShade="80"/>
          <w:sz w:val="24"/>
          <w:szCs w:val="24"/>
          <w:lang w:val="en-GB"/>
        </w:rPr>
      </w:pPr>
      <w:r w:rsidRPr="0027316D">
        <w:rPr>
          <w:sz w:val="24"/>
          <w:szCs w:val="24"/>
          <w:lang w:val="en-GB"/>
        </w:rPr>
        <w:t xml:space="preserve">Regarding the </w:t>
      </w:r>
      <w:r>
        <w:rPr>
          <w:sz w:val="24"/>
          <w:szCs w:val="24"/>
          <w:lang w:val="en-GB"/>
        </w:rPr>
        <w:t>S</w:t>
      </w:r>
      <w:r w:rsidRPr="0027316D">
        <w:rPr>
          <w:sz w:val="24"/>
          <w:szCs w:val="24"/>
          <w:lang w:val="en-GB"/>
        </w:rPr>
        <w:t xml:space="preserve">peedVac, miRNA concentrations always exactly corresponded to the increases in plasma input volumes as measured with fluorometer. However, inconsistent results were reported in quantification of individual miRNA assays by qPCR. In some assays, samples concentrated with </w:t>
      </w:r>
      <w:r>
        <w:rPr>
          <w:sz w:val="24"/>
          <w:szCs w:val="24"/>
          <w:lang w:val="en-GB"/>
        </w:rPr>
        <w:t>S</w:t>
      </w:r>
      <w:r w:rsidRPr="0027316D">
        <w:rPr>
          <w:sz w:val="24"/>
          <w:szCs w:val="24"/>
          <w:lang w:val="en-GB"/>
        </w:rPr>
        <w:t>peedVac have improved as expected – ct values decreased approximately by one cycle. Nevertheless, in other assays, the ct values of concentrated samples increased in some cases even by two or three cycles. This apparently indic</w:t>
      </w:r>
      <w:r>
        <w:rPr>
          <w:sz w:val="24"/>
          <w:szCs w:val="24"/>
          <w:lang w:val="en-GB"/>
        </w:rPr>
        <w:t xml:space="preserve">ates elevated levels of </w:t>
      </w:r>
      <w:r w:rsidRPr="0027316D">
        <w:rPr>
          <w:sz w:val="24"/>
          <w:szCs w:val="24"/>
          <w:lang w:val="en-GB"/>
        </w:rPr>
        <w:t xml:space="preserve">PCR inhibitors in samples utilized by </w:t>
      </w:r>
      <w:r>
        <w:rPr>
          <w:sz w:val="24"/>
          <w:szCs w:val="24"/>
          <w:lang w:val="en-GB"/>
        </w:rPr>
        <w:t>vacuum concentrator</w:t>
      </w:r>
      <w:r w:rsidRPr="0027316D">
        <w:rPr>
          <w:sz w:val="24"/>
          <w:szCs w:val="24"/>
          <w:lang w:val="en-GB"/>
        </w:rPr>
        <w:t>, which as a result decreases the efficiency of PCR amplification with a various impact depending on concrete miRNA concentra</w:t>
      </w:r>
      <w:r>
        <w:rPr>
          <w:sz w:val="24"/>
          <w:szCs w:val="24"/>
          <w:lang w:val="en-GB"/>
        </w:rPr>
        <w:t xml:space="preserve">tion; i.e. higher impact on the </w:t>
      </w:r>
      <w:r w:rsidRPr="0027316D">
        <w:rPr>
          <w:sz w:val="24"/>
          <w:szCs w:val="24"/>
          <w:lang w:val="en-GB"/>
        </w:rPr>
        <w:t xml:space="preserve">less-represented miRNAs. </w:t>
      </w:r>
    </w:p>
    <w:p w:rsidR="00582826" w:rsidRDefault="00C61867" w:rsidP="00C61867">
      <w:r w:rsidRPr="0027316D">
        <w:rPr>
          <w:sz w:val="24"/>
          <w:szCs w:val="24"/>
          <w:lang w:val="en-GB"/>
        </w:rPr>
        <w:t>Finally, we compared miRNAs isolated using Nuc</w:t>
      </w:r>
      <w:r>
        <w:rPr>
          <w:sz w:val="24"/>
          <w:szCs w:val="24"/>
          <w:lang w:val="en-GB"/>
        </w:rPr>
        <w:t>leoSpin and miRCURY, with (1800μl input; 2x20μ</w:t>
      </w:r>
      <w:r w:rsidRPr="0027316D">
        <w:rPr>
          <w:sz w:val="24"/>
          <w:szCs w:val="24"/>
          <w:lang w:val="en-GB"/>
        </w:rPr>
        <w:t>l elutio</w:t>
      </w:r>
      <w:r>
        <w:rPr>
          <w:sz w:val="24"/>
          <w:szCs w:val="24"/>
          <w:lang w:val="en-GB"/>
        </w:rPr>
        <w:t>n volumes) and without (900μl input; 20μ</w:t>
      </w:r>
      <w:r w:rsidRPr="0027316D">
        <w:rPr>
          <w:sz w:val="24"/>
          <w:szCs w:val="24"/>
          <w:lang w:val="en-GB"/>
        </w:rPr>
        <w:t>l elut</w:t>
      </w:r>
      <w:r>
        <w:rPr>
          <w:sz w:val="24"/>
          <w:szCs w:val="24"/>
          <w:lang w:val="en-GB"/>
        </w:rPr>
        <w:t>ion volumes) using the SpeedVac</w:t>
      </w:r>
      <w:r w:rsidRPr="0027316D">
        <w:rPr>
          <w:sz w:val="24"/>
          <w:szCs w:val="24"/>
          <w:lang w:val="en-GB"/>
        </w:rPr>
        <w:t xml:space="preserve"> directly on the </w:t>
      </w:r>
      <w:r>
        <w:rPr>
          <w:sz w:val="24"/>
          <w:szCs w:val="24"/>
          <w:lang w:val="en-GB"/>
        </w:rPr>
        <w:t xml:space="preserve">miRNA array strip. </w:t>
      </w:r>
      <w:r w:rsidRPr="0027316D">
        <w:rPr>
          <w:sz w:val="24"/>
          <w:szCs w:val="24"/>
          <w:lang w:val="en-GB"/>
        </w:rPr>
        <w:t xml:space="preserve">Indeed, the results of both samples adjusted with </w:t>
      </w:r>
      <w:r>
        <w:rPr>
          <w:sz w:val="24"/>
          <w:szCs w:val="24"/>
          <w:lang w:val="en-GB"/>
        </w:rPr>
        <w:t>S</w:t>
      </w:r>
      <w:r w:rsidRPr="0027316D">
        <w:rPr>
          <w:sz w:val="24"/>
          <w:szCs w:val="24"/>
          <w:lang w:val="en-GB"/>
        </w:rPr>
        <w:t xml:space="preserve">peedVac </w:t>
      </w:r>
      <w:r w:rsidRPr="00F27197">
        <w:rPr>
          <w:sz w:val="24"/>
          <w:szCs w:val="24"/>
          <w:lang w:val="en-GB"/>
        </w:rPr>
        <w:t>showed flag indicating</w:t>
      </w:r>
      <w:r w:rsidRPr="0027316D">
        <w:rPr>
          <w:sz w:val="24"/>
          <w:szCs w:val="24"/>
          <w:lang w:val="en-GB"/>
        </w:rPr>
        <w:t xml:space="preserve"> an inhibition of the hybridization procedure, so the application of the </w:t>
      </w:r>
      <w:r>
        <w:rPr>
          <w:sz w:val="24"/>
          <w:szCs w:val="24"/>
          <w:lang w:val="en-GB"/>
        </w:rPr>
        <w:t>S</w:t>
      </w:r>
      <w:r w:rsidRPr="0027316D">
        <w:rPr>
          <w:sz w:val="24"/>
          <w:szCs w:val="24"/>
          <w:lang w:val="en-GB"/>
        </w:rPr>
        <w:t xml:space="preserve">peedVac was also excluded. Since the sample isolated with NucleoSpin kit achieved slightly better results (higher overall fluorescence signal) then </w:t>
      </w:r>
      <w:r>
        <w:rPr>
          <w:sz w:val="24"/>
          <w:szCs w:val="24"/>
          <w:lang w:val="en-GB"/>
        </w:rPr>
        <w:t>sample</w:t>
      </w:r>
      <w:r w:rsidRPr="0027316D">
        <w:rPr>
          <w:sz w:val="24"/>
          <w:szCs w:val="24"/>
          <w:lang w:val="en-GB"/>
        </w:rPr>
        <w:t xml:space="preserve"> isolated with Exiqon kit, it was also finally selected for isolating of clinical samples included to our study.</w:t>
      </w:r>
    </w:p>
    <w:sectPr w:rsidR="00582826" w:rsidSect="00A95628">
      <w:pgSz w:w="12240" w:h="15840"/>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68F4" w:rsidRDefault="000768F4" w:rsidP="00C61867">
      <w:pPr>
        <w:spacing w:after="0" w:line="240" w:lineRule="auto"/>
      </w:pPr>
      <w:r>
        <w:separator/>
      </w:r>
    </w:p>
  </w:endnote>
  <w:endnote w:type="continuationSeparator" w:id="0">
    <w:p w:rsidR="000768F4" w:rsidRDefault="000768F4" w:rsidP="00C618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68F4" w:rsidRDefault="000768F4" w:rsidP="00C61867">
      <w:pPr>
        <w:spacing w:after="0" w:line="240" w:lineRule="auto"/>
      </w:pPr>
      <w:r>
        <w:separator/>
      </w:r>
    </w:p>
  </w:footnote>
  <w:footnote w:type="continuationSeparator" w:id="0">
    <w:p w:rsidR="000768F4" w:rsidRDefault="000768F4" w:rsidP="00C618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867"/>
    <w:rsid w:val="000768F4"/>
    <w:rsid w:val="001C76A4"/>
    <w:rsid w:val="004C01CB"/>
    <w:rsid w:val="00530598"/>
    <w:rsid w:val="00582826"/>
    <w:rsid w:val="006B20D4"/>
    <w:rsid w:val="0076311C"/>
    <w:rsid w:val="00A95628"/>
    <w:rsid w:val="00C61867"/>
    <w:rsid w:val="00CB3E46"/>
    <w:rsid w:val="00D62CC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78EE93-3C98-42C2-B49C-C6AECCAE2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C61867"/>
    <w:pPr>
      <w:spacing w:after="200" w:line="276" w:lineRule="auto"/>
    </w:pPr>
    <w:rPr>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rsid w:val="00C6186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61867"/>
    <w:rPr>
      <w:rFonts w:ascii="Segoe UI" w:hAnsi="Segoe UI" w:cs="Segoe UI"/>
      <w:sz w:val="18"/>
      <w:szCs w:val="18"/>
      <w:lang w:val="en-US"/>
    </w:rPr>
  </w:style>
  <w:style w:type="character" w:styleId="slodku">
    <w:name w:val="line number"/>
    <w:basedOn w:val="Standardnpsmoodstavce"/>
    <w:uiPriority w:val="99"/>
    <w:semiHidden/>
    <w:unhideWhenUsed/>
    <w:rsid w:val="00A95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5555434">
      <w:bodyDiv w:val="1"/>
      <w:marLeft w:val="0"/>
      <w:marRight w:val="0"/>
      <w:marTop w:val="0"/>
      <w:marBottom w:val="0"/>
      <w:divBdr>
        <w:top w:val="none" w:sz="0" w:space="0" w:color="auto"/>
        <w:left w:val="none" w:sz="0" w:space="0" w:color="auto"/>
        <w:bottom w:val="none" w:sz="0" w:space="0" w:color="auto"/>
        <w:right w:val="none" w:sz="0" w:space="0" w:color="auto"/>
      </w:divBdr>
      <w:divsChild>
        <w:div w:id="1202782877">
          <w:marLeft w:val="0"/>
          <w:marRight w:val="0"/>
          <w:marTop w:val="0"/>
          <w:marBottom w:val="0"/>
          <w:divBdr>
            <w:top w:val="none" w:sz="0" w:space="0" w:color="auto"/>
            <w:left w:val="none" w:sz="0" w:space="0" w:color="auto"/>
            <w:bottom w:val="none" w:sz="0" w:space="0" w:color="auto"/>
            <w:right w:val="none" w:sz="0" w:space="0" w:color="auto"/>
          </w:divBdr>
          <w:divsChild>
            <w:div w:id="1766731861">
              <w:marLeft w:val="0"/>
              <w:marRight w:val="0"/>
              <w:marTop w:val="0"/>
              <w:marBottom w:val="0"/>
              <w:divBdr>
                <w:top w:val="none" w:sz="0" w:space="0" w:color="auto"/>
                <w:left w:val="none" w:sz="0" w:space="0" w:color="auto"/>
                <w:bottom w:val="none" w:sz="0" w:space="0" w:color="auto"/>
                <w:right w:val="none" w:sz="0" w:space="0" w:color="auto"/>
              </w:divBdr>
              <w:divsChild>
                <w:div w:id="242884703">
                  <w:marLeft w:val="0"/>
                  <w:marRight w:val="0"/>
                  <w:marTop w:val="0"/>
                  <w:marBottom w:val="0"/>
                  <w:divBdr>
                    <w:top w:val="none" w:sz="0" w:space="0" w:color="auto"/>
                    <w:left w:val="none" w:sz="0" w:space="0" w:color="auto"/>
                    <w:bottom w:val="none" w:sz="0" w:space="0" w:color="auto"/>
                    <w:right w:val="none" w:sz="0" w:space="0" w:color="auto"/>
                  </w:divBdr>
                  <w:divsChild>
                    <w:div w:id="249585177">
                      <w:marLeft w:val="0"/>
                      <w:marRight w:val="0"/>
                      <w:marTop w:val="0"/>
                      <w:marBottom w:val="0"/>
                      <w:divBdr>
                        <w:top w:val="none" w:sz="0" w:space="0" w:color="auto"/>
                        <w:left w:val="none" w:sz="0" w:space="0" w:color="auto"/>
                        <w:bottom w:val="none" w:sz="0" w:space="0" w:color="auto"/>
                        <w:right w:val="none" w:sz="0" w:space="0" w:color="auto"/>
                      </w:divBdr>
                      <w:divsChild>
                        <w:div w:id="2130932044">
                          <w:marLeft w:val="0"/>
                          <w:marRight w:val="0"/>
                          <w:marTop w:val="0"/>
                          <w:marBottom w:val="0"/>
                          <w:divBdr>
                            <w:top w:val="none" w:sz="0" w:space="0" w:color="auto"/>
                            <w:left w:val="none" w:sz="0" w:space="0" w:color="auto"/>
                            <w:bottom w:val="none" w:sz="0" w:space="0" w:color="auto"/>
                            <w:right w:val="none" w:sz="0" w:space="0" w:color="auto"/>
                          </w:divBdr>
                          <w:divsChild>
                            <w:div w:id="783840601">
                              <w:marLeft w:val="0"/>
                              <w:marRight w:val="0"/>
                              <w:marTop w:val="0"/>
                              <w:marBottom w:val="0"/>
                              <w:divBdr>
                                <w:top w:val="none" w:sz="0" w:space="0" w:color="auto"/>
                                <w:left w:val="none" w:sz="0" w:space="0" w:color="auto"/>
                                <w:bottom w:val="none" w:sz="0" w:space="0" w:color="auto"/>
                                <w:right w:val="none" w:sz="0" w:space="0" w:color="auto"/>
                              </w:divBdr>
                              <w:divsChild>
                                <w:div w:id="2071537871">
                                  <w:marLeft w:val="0"/>
                                  <w:marRight w:val="0"/>
                                  <w:marTop w:val="0"/>
                                  <w:marBottom w:val="0"/>
                                  <w:divBdr>
                                    <w:top w:val="none" w:sz="0" w:space="0" w:color="auto"/>
                                    <w:left w:val="none" w:sz="0" w:space="0" w:color="auto"/>
                                    <w:bottom w:val="none" w:sz="0" w:space="0" w:color="auto"/>
                                    <w:right w:val="none" w:sz="0" w:space="0" w:color="auto"/>
                                  </w:divBdr>
                                  <w:divsChild>
                                    <w:div w:id="792939315">
                                      <w:marLeft w:val="0"/>
                                      <w:marRight w:val="0"/>
                                      <w:marTop w:val="0"/>
                                      <w:marBottom w:val="0"/>
                                      <w:divBdr>
                                        <w:top w:val="none" w:sz="0" w:space="0" w:color="auto"/>
                                        <w:left w:val="none" w:sz="0" w:space="0" w:color="auto"/>
                                        <w:bottom w:val="none" w:sz="0" w:space="0" w:color="auto"/>
                                        <w:right w:val="none" w:sz="0" w:space="0" w:color="auto"/>
                                      </w:divBdr>
                                      <w:divsChild>
                                        <w:div w:id="954285488">
                                          <w:marLeft w:val="0"/>
                                          <w:marRight w:val="0"/>
                                          <w:marTop w:val="0"/>
                                          <w:marBottom w:val="495"/>
                                          <w:divBdr>
                                            <w:top w:val="none" w:sz="0" w:space="0" w:color="auto"/>
                                            <w:left w:val="none" w:sz="0" w:space="0" w:color="auto"/>
                                            <w:bottom w:val="none" w:sz="0" w:space="0" w:color="auto"/>
                                            <w:right w:val="none" w:sz="0" w:space="0" w:color="auto"/>
                                          </w:divBdr>
                                          <w:divsChild>
                                            <w:div w:id="88397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368</Words>
  <Characters>2173</Characters>
  <Application>Microsoft Office Word</Application>
  <DocSecurity>0</DocSecurity>
  <Lines>18</Lines>
  <Paragraphs>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Zedníková Iveta, Mgr.</dc:creator>
  <cp:keywords/>
  <dc:description/>
  <cp:lastModifiedBy>Zedníková Iveta, Mgr.</cp:lastModifiedBy>
  <cp:revision>4</cp:revision>
  <dcterms:created xsi:type="dcterms:W3CDTF">2019-03-07T15:08:00Z</dcterms:created>
  <dcterms:modified xsi:type="dcterms:W3CDTF">2019-05-29T14:57:00Z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063cd7f-2d21-486a-9f29-9c1683fdd175_Enabled">
    <vt:lpwstr>True</vt:lpwstr>
  </property>
  <property fmtid="{D5CDD505-2E9C-101B-9397-08002B2CF9AE}" pid="3" name="MSIP_Label_2063cd7f-2d21-486a-9f29-9c1683fdd175_SiteId">
    <vt:lpwstr>00000000-0000-0000-0000-000000000000</vt:lpwstr>
  </property>
  <property fmtid="{D5CDD505-2E9C-101B-9397-08002B2CF9AE}" pid="4" name="MSIP_Label_2063cd7f-2d21-486a-9f29-9c1683fdd175_Owner">
    <vt:lpwstr>11301@vfn.cz</vt:lpwstr>
  </property>
  <property fmtid="{D5CDD505-2E9C-101B-9397-08002B2CF9AE}" pid="5" name="MSIP_Label_2063cd7f-2d21-486a-9f29-9c1683fdd175_SetDate">
    <vt:lpwstr>2019-03-07T15:09:35.8111044Z</vt:lpwstr>
  </property>
  <property fmtid="{D5CDD505-2E9C-101B-9397-08002B2CF9AE}" pid="6" name="MSIP_Label_2063cd7f-2d21-486a-9f29-9c1683fdd175_Name">
    <vt:lpwstr>Veřejné</vt:lpwstr>
  </property>
  <property fmtid="{D5CDD505-2E9C-101B-9397-08002B2CF9AE}" pid="7" name="MSIP_Label_2063cd7f-2d21-486a-9f29-9c1683fdd175_Application">
    <vt:lpwstr>Microsoft Azure Information Protection</vt:lpwstr>
  </property>
  <property fmtid="{D5CDD505-2E9C-101B-9397-08002B2CF9AE}" pid="8" name="MSIP_Label_2063cd7f-2d21-486a-9f29-9c1683fdd175_Extended_MSFT_Method">
    <vt:lpwstr>Automatic</vt:lpwstr>
  </property>
  <property fmtid="{D5CDD505-2E9C-101B-9397-08002B2CF9AE}" pid="9" name="Sensitivity">
    <vt:lpwstr>Veřejné</vt:lpwstr>
  </property>
</Properties>
</file>