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2"/>
        <w:tblpPr w:leftFromText="180" w:rightFromText="180" w:vertAnchor="text" w:horzAnchor="margin" w:tblpX="-725" w:tblpY="304"/>
        <w:tblW w:w="5864" w:type="pct"/>
        <w:tblLayout w:type="fixed"/>
        <w:tblLook w:val="04A0" w:firstRow="1" w:lastRow="0" w:firstColumn="1" w:lastColumn="0" w:noHBand="0" w:noVBand="1"/>
      </w:tblPr>
      <w:tblGrid>
        <w:gridCol w:w="1229"/>
        <w:gridCol w:w="926"/>
        <w:gridCol w:w="2195"/>
        <w:gridCol w:w="1383"/>
        <w:gridCol w:w="1195"/>
        <w:gridCol w:w="1584"/>
        <w:gridCol w:w="2062"/>
      </w:tblGrid>
      <w:tr w:rsidR="00EB53C7" w:rsidRPr="00C62510" w:rsidTr="00100AF0">
        <w:tc>
          <w:tcPr>
            <w:tcW w:w="581"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Study</w:t>
            </w:r>
          </w:p>
        </w:tc>
        <w:tc>
          <w:tcPr>
            <w:tcW w:w="438"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Country</w:t>
            </w:r>
          </w:p>
        </w:tc>
        <w:tc>
          <w:tcPr>
            <w:tcW w:w="1038"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Aim</w:t>
            </w:r>
          </w:p>
        </w:tc>
        <w:tc>
          <w:tcPr>
            <w:tcW w:w="654"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Sample size</w:t>
            </w:r>
          </w:p>
        </w:tc>
        <w:tc>
          <w:tcPr>
            <w:tcW w:w="565"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Study design</w:t>
            </w:r>
          </w:p>
        </w:tc>
        <w:tc>
          <w:tcPr>
            <w:tcW w:w="749"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Intervention/s</w:t>
            </w:r>
          </w:p>
        </w:tc>
        <w:tc>
          <w:tcPr>
            <w:tcW w:w="975" w:type="pct"/>
          </w:tcPr>
          <w:p w:rsidR="00EB53C7" w:rsidRPr="00C62510" w:rsidRDefault="00EB53C7" w:rsidP="00100AF0">
            <w:pPr>
              <w:rPr>
                <w:rFonts w:asciiTheme="minorBidi" w:eastAsia="Calibri" w:hAnsiTheme="minorBidi"/>
                <w:b/>
                <w:sz w:val="16"/>
                <w:szCs w:val="16"/>
              </w:rPr>
            </w:pPr>
            <w:r w:rsidRPr="00C62510">
              <w:rPr>
                <w:rFonts w:asciiTheme="minorBidi" w:eastAsia="Calibri" w:hAnsiTheme="minorBidi"/>
                <w:b/>
                <w:sz w:val="16"/>
                <w:szCs w:val="16"/>
              </w:rPr>
              <w:t>Main outcomes</w:t>
            </w:r>
          </w:p>
        </w:tc>
      </w:tr>
      <w:tr w:rsidR="00EB53C7" w:rsidRPr="00C62510" w:rsidTr="00100AF0">
        <w:tc>
          <w:tcPr>
            <w:tcW w:w="581" w:type="pct"/>
          </w:tcPr>
          <w:p w:rsidR="00EB53C7" w:rsidRPr="00C62510" w:rsidRDefault="00EB53C7" w:rsidP="00100AF0">
            <w:pPr>
              <w:rPr>
                <w:rFonts w:asciiTheme="minorBidi" w:eastAsia="Calibri" w:hAnsiTheme="minorBidi"/>
                <w:color w:val="000000"/>
                <w:sz w:val="16"/>
                <w:szCs w:val="16"/>
              </w:rPr>
            </w:pPr>
            <w:r w:rsidRPr="00C62510">
              <w:rPr>
                <w:rFonts w:asciiTheme="minorBidi" w:hAnsiTheme="minorBidi"/>
                <w:sz w:val="16"/>
                <w:szCs w:val="16"/>
              </w:rPr>
              <w:t>Rami, et al. (2018)</w:t>
            </w:r>
          </w:p>
        </w:tc>
        <w:tc>
          <w:tcPr>
            <w:tcW w:w="438"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color w:val="000000"/>
                <w:sz w:val="16"/>
                <w:szCs w:val="16"/>
              </w:rPr>
              <w:t>Egypt</w:t>
            </w:r>
          </w:p>
        </w:tc>
        <w:tc>
          <w:tcPr>
            <w:tcW w:w="1038"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color w:val="000000"/>
                <w:sz w:val="16"/>
                <w:szCs w:val="16"/>
              </w:rPr>
              <w:t>to assess the effectiveness of patient and caregiver schizophrenia psychoeducation program and its impact on improvement of psychopathology and quality of life (</w:t>
            </w:r>
            <w:proofErr w:type="spellStart"/>
            <w:r w:rsidRPr="00C62510">
              <w:rPr>
                <w:rFonts w:asciiTheme="minorBidi" w:eastAsia="Calibri" w:hAnsiTheme="minorBidi"/>
                <w:color w:val="000000"/>
                <w:sz w:val="16"/>
                <w:szCs w:val="16"/>
              </w:rPr>
              <w:t>QoL</w:t>
            </w:r>
            <w:proofErr w:type="spellEnd"/>
            <w:r w:rsidRPr="00C62510">
              <w:rPr>
                <w:rFonts w:asciiTheme="minorBidi" w:eastAsia="Calibri" w:hAnsiTheme="minorBidi"/>
                <w:color w:val="000000"/>
                <w:sz w:val="16"/>
                <w:szCs w:val="16"/>
              </w:rPr>
              <w:t>)</w:t>
            </w:r>
          </w:p>
        </w:tc>
        <w:tc>
          <w:tcPr>
            <w:tcW w:w="654"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color w:val="000000"/>
                <w:sz w:val="16"/>
                <w:szCs w:val="16"/>
              </w:rPr>
              <w:t>intervention: 30 patients with their caregivers</w:t>
            </w:r>
          </w:p>
          <w:p w:rsidR="00EB53C7" w:rsidRPr="00C62510" w:rsidRDefault="00EB53C7" w:rsidP="00100AF0">
            <w:pPr>
              <w:rPr>
                <w:rFonts w:asciiTheme="minorBidi" w:eastAsia="Calibri" w:hAnsiTheme="minorBidi"/>
                <w:sz w:val="16"/>
                <w:szCs w:val="16"/>
              </w:rPr>
            </w:pPr>
          </w:p>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 xml:space="preserve">controls: </w:t>
            </w:r>
            <w:r w:rsidRPr="00C62510">
              <w:rPr>
                <w:rFonts w:asciiTheme="minorBidi" w:eastAsia="Calibri" w:hAnsiTheme="minorBidi"/>
                <w:color w:val="000000"/>
                <w:sz w:val="16"/>
                <w:szCs w:val="16"/>
              </w:rPr>
              <w:t>30 patients with their caregivers</w:t>
            </w:r>
          </w:p>
        </w:tc>
        <w:tc>
          <w:tcPr>
            <w:tcW w:w="565"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color w:val="000000"/>
                <w:sz w:val="16"/>
                <w:szCs w:val="16"/>
              </w:rPr>
              <w:t>randomized controlled prospective intervention study</w:t>
            </w:r>
          </w:p>
        </w:tc>
        <w:tc>
          <w:tcPr>
            <w:tcW w:w="749"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 xml:space="preserve">culturally sensitive </w:t>
            </w:r>
            <w:proofErr w:type="spellStart"/>
            <w:r w:rsidRPr="00C62510">
              <w:rPr>
                <w:rFonts w:asciiTheme="minorBidi" w:eastAsia="Calibri" w:hAnsiTheme="minorBidi"/>
                <w:sz w:val="16"/>
                <w:szCs w:val="16"/>
              </w:rPr>
              <w:t>Behavioral</w:t>
            </w:r>
            <w:proofErr w:type="spellEnd"/>
            <w:r w:rsidRPr="00C62510">
              <w:rPr>
                <w:rFonts w:asciiTheme="minorBidi" w:eastAsia="Calibri" w:hAnsiTheme="minorBidi"/>
                <w:sz w:val="16"/>
                <w:szCs w:val="16"/>
              </w:rPr>
              <w:t xml:space="preserve"> Family Psycho-Educational Program (BFPEP)</w:t>
            </w:r>
          </w:p>
        </w:tc>
        <w:tc>
          <w:tcPr>
            <w:tcW w:w="975" w:type="pct"/>
          </w:tcPr>
          <w:p w:rsidR="00EB53C7" w:rsidRPr="00C62510" w:rsidRDefault="00EB53C7" w:rsidP="00EB53C7">
            <w:pPr>
              <w:numPr>
                <w:ilvl w:val="0"/>
                <w:numId w:val="1"/>
              </w:numPr>
              <w:contextualSpacing/>
              <w:rPr>
                <w:rFonts w:asciiTheme="minorBidi" w:eastAsia="Calibri" w:hAnsiTheme="minorBidi"/>
                <w:sz w:val="16"/>
                <w:szCs w:val="16"/>
              </w:rPr>
            </w:pPr>
            <w:r w:rsidRPr="00C62510">
              <w:rPr>
                <w:rFonts w:asciiTheme="minorBidi" w:eastAsia="Calibri" w:hAnsiTheme="minorBidi"/>
                <w:sz w:val="16"/>
                <w:szCs w:val="16"/>
              </w:rPr>
              <w:t>the rate of improvement of clinical variables including the social functions</w:t>
            </w:r>
          </w:p>
          <w:p w:rsidR="00EB53C7" w:rsidRPr="00C62510" w:rsidRDefault="00EB53C7" w:rsidP="00EB53C7">
            <w:pPr>
              <w:numPr>
                <w:ilvl w:val="0"/>
                <w:numId w:val="1"/>
              </w:numPr>
              <w:contextualSpacing/>
              <w:rPr>
                <w:rFonts w:asciiTheme="minorBidi" w:eastAsia="Calibri" w:hAnsiTheme="minorBidi"/>
                <w:sz w:val="16"/>
                <w:szCs w:val="16"/>
              </w:rPr>
            </w:pPr>
            <w:r w:rsidRPr="00C62510">
              <w:rPr>
                <w:rFonts w:asciiTheme="minorBidi" w:eastAsia="Calibri" w:hAnsiTheme="minorBidi"/>
                <w:sz w:val="16"/>
                <w:szCs w:val="16"/>
              </w:rPr>
              <w:t xml:space="preserve">the adherence to medications     </w:t>
            </w:r>
          </w:p>
          <w:p w:rsidR="00EB53C7" w:rsidRPr="00C62510" w:rsidRDefault="00EB53C7" w:rsidP="00EB53C7">
            <w:pPr>
              <w:numPr>
                <w:ilvl w:val="0"/>
                <w:numId w:val="1"/>
              </w:numPr>
              <w:contextualSpacing/>
              <w:rPr>
                <w:rFonts w:asciiTheme="minorBidi" w:eastAsia="Calibri" w:hAnsiTheme="minorBidi"/>
                <w:sz w:val="16"/>
                <w:szCs w:val="16"/>
              </w:rPr>
            </w:pPr>
            <w:r w:rsidRPr="00C62510">
              <w:rPr>
                <w:rFonts w:asciiTheme="minorBidi" w:eastAsia="Calibri" w:hAnsiTheme="minorBidi"/>
                <w:sz w:val="16"/>
                <w:szCs w:val="16"/>
              </w:rPr>
              <w:t>the quality of life of the patients</w:t>
            </w:r>
          </w:p>
        </w:tc>
      </w:tr>
      <w:tr w:rsidR="00EB53C7" w:rsidRPr="00C62510" w:rsidTr="00100AF0">
        <w:tc>
          <w:tcPr>
            <w:tcW w:w="581" w:type="pct"/>
          </w:tcPr>
          <w:p w:rsidR="00EB53C7" w:rsidRPr="00C62510" w:rsidRDefault="00EB53C7" w:rsidP="00100AF0">
            <w:pPr>
              <w:rPr>
                <w:rFonts w:asciiTheme="minorBidi" w:eastAsia="Calibri" w:hAnsiTheme="minorBidi"/>
                <w:sz w:val="16"/>
                <w:szCs w:val="16"/>
              </w:rPr>
            </w:pPr>
            <w:r w:rsidRPr="00C62510">
              <w:rPr>
                <w:rFonts w:asciiTheme="minorBidi" w:hAnsiTheme="minorBidi"/>
                <w:sz w:val="16"/>
                <w:szCs w:val="16"/>
              </w:rPr>
              <w:t>Hasan, et al. (2014)</w:t>
            </w:r>
          </w:p>
        </w:tc>
        <w:tc>
          <w:tcPr>
            <w:tcW w:w="438"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color w:val="000000"/>
                <w:sz w:val="16"/>
                <w:szCs w:val="16"/>
              </w:rPr>
              <w:t>Jordan</w:t>
            </w:r>
          </w:p>
        </w:tc>
        <w:tc>
          <w:tcPr>
            <w:tcW w:w="1038"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to investigate the effectiveness of psycho-educational intervention delivered via a printed booklet on people diagnosed with Schizophrenia and their primary caregivers’ outcomes</w:t>
            </w:r>
          </w:p>
        </w:tc>
        <w:tc>
          <w:tcPr>
            <w:tcW w:w="654"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interventions:58   dyads of patients and their caregivers</w:t>
            </w:r>
          </w:p>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Controls: 63 dyads of patients and their caregivers</w:t>
            </w:r>
          </w:p>
        </w:tc>
        <w:tc>
          <w:tcPr>
            <w:tcW w:w="565"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color w:val="000000"/>
                <w:sz w:val="16"/>
                <w:szCs w:val="16"/>
              </w:rPr>
              <w:t>a single blind RCT</w:t>
            </w:r>
          </w:p>
        </w:tc>
        <w:tc>
          <w:tcPr>
            <w:tcW w:w="749" w:type="pct"/>
          </w:tcPr>
          <w:p w:rsidR="00EB53C7" w:rsidRPr="00C62510" w:rsidRDefault="00EB53C7" w:rsidP="00100AF0">
            <w:pPr>
              <w:ind w:left="152" w:hanging="152"/>
              <w:rPr>
                <w:rFonts w:asciiTheme="minorBidi" w:eastAsia="Calibri" w:hAnsiTheme="minorBidi"/>
                <w:sz w:val="16"/>
                <w:szCs w:val="16"/>
              </w:rPr>
            </w:pPr>
            <w:r w:rsidRPr="00C62510">
              <w:rPr>
                <w:rFonts w:asciiTheme="minorBidi" w:eastAsia="Calibri" w:hAnsiTheme="minorBidi"/>
                <w:sz w:val="16"/>
                <w:szCs w:val="16"/>
              </w:rPr>
              <w:t>psychoeducation by booklet</w:t>
            </w:r>
          </w:p>
        </w:tc>
        <w:tc>
          <w:tcPr>
            <w:tcW w:w="975" w:type="pct"/>
          </w:tcPr>
          <w:p w:rsidR="00EB53C7" w:rsidRPr="00C62510" w:rsidRDefault="00EB53C7" w:rsidP="00EB53C7">
            <w:pPr>
              <w:numPr>
                <w:ilvl w:val="0"/>
                <w:numId w:val="2"/>
              </w:numPr>
              <w:contextualSpacing/>
              <w:rPr>
                <w:rFonts w:asciiTheme="minorBidi" w:eastAsia="Calibri" w:hAnsiTheme="minorBidi"/>
                <w:sz w:val="16"/>
                <w:szCs w:val="16"/>
              </w:rPr>
            </w:pPr>
            <w:r w:rsidRPr="00C62510">
              <w:rPr>
                <w:rFonts w:asciiTheme="minorBidi" w:eastAsia="Calibri" w:hAnsiTheme="minorBidi"/>
                <w:sz w:val="16"/>
                <w:szCs w:val="16"/>
              </w:rPr>
              <w:t>knowledge of schizophrenia</w:t>
            </w:r>
          </w:p>
          <w:p w:rsidR="00EB53C7" w:rsidRPr="00C62510" w:rsidRDefault="00EB53C7" w:rsidP="00EB53C7">
            <w:pPr>
              <w:numPr>
                <w:ilvl w:val="0"/>
                <w:numId w:val="2"/>
              </w:numPr>
              <w:contextualSpacing/>
              <w:rPr>
                <w:rFonts w:asciiTheme="minorBidi" w:eastAsia="Calibri" w:hAnsiTheme="minorBidi"/>
                <w:sz w:val="16"/>
                <w:szCs w:val="16"/>
              </w:rPr>
            </w:pPr>
            <w:r w:rsidRPr="00C62510">
              <w:rPr>
                <w:rFonts w:asciiTheme="minorBidi" w:eastAsia="Calibri" w:hAnsiTheme="minorBidi"/>
                <w:sz w:val="16"/>
                <w:szCs w:val="16"/>
              </w:rPr>
              <w:t xml:space="preserve">schizophrenia symptoms                </w:t>
            </w:r>
          </w:p>
          <w:p w:rsidR="00EB53C7" w:rsidRPr="00C62510" w:rsidRDefault="00EB53C7" w:rsidP="00EB53C7">
            <w:pPr>
              <w:numPr>
                <w:ilvl w:val="0"/>
                <w:numId w:val="2"/>
              </w:numPr>
              <w:contextualSpacing/>
              <w:rPr>
                <w:rFonts w:asciiTheme="minorBidi" w:eastAsia="Calibri" w:hAnsiTheme="minorBidi"/>
                <w:sz w:val="16"/>
                <w:szCs w:val="16"/>
              </w:rPr>
            </w:pPr>
            <w:r w:rsidRPr="00C62510">
              <w:rPr>
                <w:rFonts w:asciiTheme="minorBidi" w:eastAsia="Calibri" w:hAnsiTheme="minorBidi"/>
                <w:sz w:val="16"/>
                <w:szCs w:val="16"/>
              </w:rPr>
              <w:t xml:space="preserve">Family Burden of Care                         </w:t>
            </w:r>
          </w:p>
          <w:p w:rsidR="00EB53C7" w:rsidRPr="00C62510" w:rsidRDefault="00EB53C7" w:rsidP="00EB53C7">
            <w:pPr>
              <w:numPr>
                <w:ilvl w:val="0"/>
                <w:numId w:val="2"/>
              </w:numPr>
              <w:contextualSpacing/>
              <w:rPr>
                <w:rFonts w:asciiTheme="minorBidi" w:eastAsia="Calibri" w:hAnsiTheme="minorBidi"/>
                <w:sz w:val="16"/>
                <w:szCs w:val="16"/>
              </w:rPr>
            </w:pPr>
            <w:r w:rsidRPr="00C62510">
              <w:rPr>
                <w:rFonts w:asciiTheme="minorBidi" w:eastAsia="Calibri" w:hAnsiTheme="minorBidi"/>
                <w:sz w:val="16"/>
                <w:szCs w:val="16"/>
              </w:rPr>
              <w:t>quality of life of caregivers</w:t>
            </w:r>
          </w:p>
        </w:tc>
      </w:tr>
      <w:tr w:rsidR="00EB53C7" w:rsidRPr="00C62510" w:rsidTr="00100AF0">
        <w:tc>
          <w:tcPr>
            <w:tcW w:w="581" w:type="pct"/>
          </w:tcPr>
          <w:p w:rsidR="00EB53C7" w:rsidRPr="00C62510" w:rsidRDefault="00EB53C7" w:rsidP="00100AF0">
            <w:pPr>
              <w:rPr>
                <w:rFonts w:asciiTheme="minorBidi" w:eastAsia="Calibri" w:hAnsiTheme="minorBidi"/>
                <w:color w:val="000000"/>
                <w:sz w:val="16"/>
                <w:szCs w:val="16"/>
              </w:rPr>
            </w:pPr>
            <w:r w:rsidRPr="00C62510">
              <w:rPr>
                <w:rFonts w:asciiTheme="minorBidi" w:hAnsiTheme="minorBidi"/>
                <w:sz w:val="16"/>
                <w:szCs w:val="16"/>
              </w:rPr>
              <w:t>Al-</w:t>
            </w:r>
            <w:proofErr w:type="spellStart"/>
            <w:r w:rsidRPr="00C62510">
              <w:rPr>
                <w:rFonts w:asciiTheme="minorBidi" w:hAnsiTheme="minorBidi"/>
                <w:sz w:val="16"/>
                <w:szCs w:val="16"/>
              </w:rPr>
              <w:t>Hadi</w:t>
            </w:r>
            <w:proofErr w:type="spellEnd"/>
            <w:r w:rsidRPr="00C62510">
              <w:rPr>
                <w:rFonts w:asciiTheme="minorBidi" w:hAnsiTheme="minorBidi"/>
                <w:sz w:val="16"/>
                <w:szCs w:val="16"/>
              </w:rPr>
              <w:t xml:space="preserve"> </w:t>
            </w:r>
            <w:proofErr w:type="spellStart"/>
            <w:r w:rsidRPr="00C62510">
              <w:rPr>
                <w:rFonts w:asciiTheme="minorBidi" w:hAnsiTheme="minorBidi"/>
                <w:sz w:val="16"/>
                <w:szCs w:val="16"/>
              </w:rPr>
              <w:t>Hsan</w:t>
            </w:r>
            <w:proofErr w:type="spellEnd"/>
            <w:r w:rsidRPr="00C62510">
              <w:rPr>
                <w:rFonts w:asciiTheme="minorBidi" w:hAnsiTheme="minorBidi"/>
                <w:sz w:val="16"/>
                <w:szCs w:val="16"/>
              </w:rPr>
              <w:t>, et al. (2017)</w:t>
            </w:r>
          </w:p>
        </w:tc>
        <w:tc>
          <w:tcPr>
            <w:tcW w:w="438" w:type="pct"/>
          </w:tcPr>
          <w:p w:rsidR="00EB53C7" w:rsidRPr="00C62510" w:rsidRDefault="00EB53C7" w:rsidP="00100AF0">
            <w:pPr>
              <w:rPr>
                <w:rFonts w:asciiTheme="minorBidi" w:eastAsia="Calibri" w:hAnsiTheme="minorBidi"/>
                <w:color w:val="222222"/>
                <w:sz w:val="16"/>
                <w:szCs w:val="16"/>
              </w:rPr>
            </w:pPr>
            <w:r w:rsidRPr="00C62510">
              <w:rPr>
                <w:rFonts w:asciiTheme="minorBidi" w:eastAsia="Calibri" w:hAnsiTheme="minorBidi"/>
                <w:color w:val="222222"/>
                <w:sz w:val="16"/>
                <w:szCs w:val="16"/>
              </w:rPr>
              <w:t>Jordan</w:t>
            </w:r>
          </w:p>
        </w:tc>
        <w:tc>
          <w:tcPr>
            <w:tcW w:w="1038"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to explore potential processes underpinning any observed effect received from psychoeducational intervention via booklet in (Hasan et al., 2015)</w:t>
            </w:r>
          </w:p>
        </w:tc>
        <w:tc>
          <w:tcPr>
            <w:tcW w:w="654"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8 patients and 9 caregivers</w:t>
            </w:r>
          </w:p>
        </w:tc>
        <w:tc>
          <w:tcPr>
            <w:tcW w:w="565" w:type="pct"/>
          </w:tcPr>
          <w:p w:rsidR="00EB53C7" w:rsidRPr="00C62510" w:rsidRDefault="00EB53C7" w:rsidP="00100AF0">
            <w:pPr>
              <w:rPr>
                <w:rFonts w:asciiTheme="minorBidi" w:eastAsia="Calibri" w:hAnsiTheme="minorBidi"/>
                <w:color w:val="222222"/>
                <w:sz w:val="16"/>
                <w:szCs w:val="16"/>
              </w:rPr>
            </w:pPr>
            <w:r w:rsidRPr="00C62510">
              <w:rPr>
                <w:rFonts w:asciiTheme="minorBidi" w:eastAsia="Calibri" w:hAnsiTheme="minorBidi"/>
                <w:color w:val="222222"/>
                <w:sz w:val="16"/>
                <w:szCs w:val="16"/>
              </w:rPr>
              <w:t>a qualitative process evaluation was undertaken, using audio-recorded face-to-face semi-structured interviews</w:t>
            </w:r>
          </w:p>
        </w:tc>
        <w:tc>
          <w:tcPr>
            <w:tcW w:w="749" w:type="pct"/>
          </w:tcPr>
          <w:p w:rsidR="00EB53C7" w:rsidRPr="00C62510" w:rsidRDefault="00EB53C7" w:rsidP="00100AF0">
            <w:pPr>
              <w:rPr>
                <w:rFonts w:asciiTheme="minorBidi" w:eastAsia="Calibri" w:hAnsiTheme="minorBidi"/>
                <w:color w:val="000000"/>
                <w:sz w:val="16"/>
                <w:szCs w:val="16"/>
              </w:rPr>
            </w:pPr>
            <w:r w:rsidRPr="00C62510">
              <w:rPr>
                <w:rFonts w:asciiTheme="minorBidi" w:eastAsia="Calibri" w:hAnsiTheme="minorBidi"/>
                <w:sz w:val="16"/>
                <w:szCs w:val="16"/>
              </w:rPr>
              <w:t>psychoeducation by booklet</w:t>
            </w:r>
          </w:p>
        </w:tc>
        <w:tc>
          <w:tcPr>
            <w:tcW w:w="975" w:type="pct"/>
          </w:tcPr>
          <w:p w:rsidR="00EB53C7" w:rsidRPr="00C62510" w:rsidRDefault="00EB53C7" w:rsidP="00EB53C7">
            <w:pPr>
              <w:numPr>
                <w:ilvl w:val="0"/>
                <w:numId w:val="4"/>
              </w:numPr>
              <w:contextualSpacing/>
              <w:rPr>
                <w:rFonts w:asciiTheme="minorBidi" w:eastAsia="Calibri" w:hAnsiTheme="minorBidi"/>
                <w:sz w:val="16"/>
                <w:szCs w:val="16"/>
              </w:rPr>
            </w:pPr>
            <w:r w:rsidRPr="00C62510">
              <w:rPr>
                <w:rFonts w:asciiTheme="minorBidi" w:eastAsia="Calibri" w:hAnsiTheme="minorBidi"/>
                <w:sz w:val="16"/>
                <w:szCs w:val="16"/>
              </w:rPr>
              <w:t>acceptance</w:t>
            </w:r>
          </w:p>
        </w:tc>
      </w:tr>
      <w:tr w:rsidR="00EB53C7" w:rsidRPr="00C62510" w:rsidTr="00100AF0">
        <w:tc>
          <w:tcPr>
            <w:tcW w:w="581" w:type="pct"/>
          </w:tcPr>
          <w:p w:rsidR="00EB53C7" w:rsidRPr="00C62510" w:rsidRDefault="00EB53C7" w:rsidP="00100AF0">
            <w:pPr>
              <w:rPr>
                <w:rFonts w:asciiTheme="minorBidi" w:eastAsia="Calibri" w:hAnsiTheme="minorBidi"/>
                <w:sz w:val="16"/>
                <w:szCs w:val="16"/>
              </w:rPr>
            </w:pPr>
            <w:proofErr w:type="spellStart"/>
            <w:r w:rsidRPr="00C62510">
              <w:rPr>
                <w:rFonts w:asciiTheme="minorBidi" w:hAnsiTheme="minorBidi"/>
                <w:sz w:val="16"/>
                <w:szCs w:val="16"/>
              </w:rPr>
              <w:t>Soliman</w:t>
            </w:r>
            <w:proofErr w:type="spellEnd"/>
            <w:r w:rsidRPr="00C62510">
              <w:rPr>
                <w:rFonts w:asciiTheme="minorBidi" w:hAnsiTheme="minorBidi"/>
                <w:sz w:val="16"/>
                <w:szCs w:val="16"/>
              </w:rPr>
              <w:t>, et al. (2018)</w:t>
            </w:r>
          </w:p>
        </w:tc>
        <w:tc>
          <w:tcPr>
            <w:tcW w:w="438"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color w:val="222222"/>
                <w:sz w:val="16"/>
                <w:szCs w:val="16"/>
              </w:rPr>
              <w:t>Egypt</w:t>
            </w:r>
          </w:p>
        </w:tc>
        <w:tc>
          <w:tcPr>
            <w:tcW w:w="1038"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to assess the effectiveness of patient and caregiver schizophrenia psychoeducation program and its impact on improvement of psychopathology and quality of life (</w:t>
            </w:r>
            <w:proofErr w:type="spellStart"/>
            <w:r w:rsidRPr="00C62510">
              <w:rPr>
                <w:rFonts w:asciiTheme="minorBidi" w:eastAsia="Calibri" w:hAnsiTheme="minorBidi"/>
                <w:sz w:val="16"/>
                <w:szCs w:val="16"/>
              </w:rPr>
              <w:t>QoL</w:t>
            </w:r>
            <w:proofErr w:type="spellEnd"/>
            <w:r w:rsidRPr="00C62510">
              <w:rPr>
                <w:rFonts w:asciiTheme="minorBidi" w:eastAsia="Calibri" w:hAnsiTheme="minorBidi"/>
                <w:sz w:val="16"/>
                <w:szCs w:val="16"/>
              </w:rPr>
              <w:t>)</w:t>
            </w:r>
          </w:p>
        </w:tc>
        <w:tc>
          <w:tcPr>
            <w:tcW w:w="654"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 xml:space="preserve">intervention </w:t>
            </w:r>
          </w:p>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58 patients with their caregivers</w:t>
            </w:r>
          </w:p>
          <w:p w:rsidR="00EB53C7" w:rsidRPr="00C62510" w:rsidRDefault="00EB53C7" w:rsidP="00100AF0">
            <w:pPr>
              <w:rPr>
                <w:rFonts w:asciiTheme="minorBidi" w:eastAsia="Calibri" w:hAnsiTheme="minorBidi"/>
                <w:sz w:val="16"/>
                <w:szCs w:val="16"/>
              </w:rPr>
            </w:pPr>
          </w:p>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 xml:space="preserve">Controls </w:t>
            </w:r>
          </w:p>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58 patients with their caregivers</w:t>
            </w:r>
          </w:p>
        </w:tc>
        <w:tc>
          <w:tcPr>
            <w:tcW w:w="565"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non- randomized control trial</w:t>
            </w:r>
          </w:p>
        </w:tc>
        <w:tc>
          <w:tcPr>
            <w:tcW w:w="749" w:type="pct"/>
          </w:tcPr>
          <w:p w:rsidR="00EB53C7" w:rsidRPr="00C62510" w:rsidRDefault="00EB53C7" w:rsidP="00100AF0">
            <w:pPr>
              <w:rPr>
                <w:rFonts w:asciiTheme="minorBidi" w:eastAsia="Calibri" w:hAnsiTheme="minorBidi"/>
                <w:sz w:val="16"/>
                <w:szCs w:val="16"/>
              </w:rPr>
            </w:pPr>
            <w:r w:rsidRPr="00C62510">
              <w:rPr>
                <w:rFonts w:asciiTheme="minorBidi" w:eastAsia="Calibri" w:hAnsiTheme="minorBidi"/>
                <w:sz w:val="16"/>
                <w:szCs w:val="16"/>
              </w:rPr>
              <w:t>psychoeducation</w:t>
            </w:r>
          </w:p>
        </w:tc>
        <w:tc>
          <w:tcPr>
            <w:tcW w:w="975" w:type="pct"/>
          </w:tcPr>
          <w:p w:rsidR="00EB53C7" w:rsidRPr="00C62510" w:rsidRDefault="00EB53C7" w:rsidP="00EB53C7">
            <w:pPr>
              <w:numPr>
                <w:ilvl w:val="0"/>
                <w:numId w:val="3"/>
              </w:numPr>
              <w:contextualSpacing/>
              <w:rPr>
                <w:rFonts w:asciiTheme="minorBidi" w:eastAsia="Calibri" w:hAnsiTheme="minorBidi"/>
                <w:sz w:val="16"/>
                <w:szCs w:val="16"/>
              </w:rPr>
            </w:pPr>
            <w:r w:rsidRPr="00C62510">
              <w:rPr>
                <w:rFonts w:asciiTheme="minorBidi" w:eastAsia="Calibri" w:hAnsiTheme="minorBidi"/>
                <w:sz w:val="16"/>
                <w:szCs w:val="16"/>
              </w:rPr>
              <w:t xml:space="preserve">severity of symptoms         </w:t>
            </w:r>
          </w:p>
          <w:p w:rsidR="00EB53C7" w:rsidRPr="00C62510" w:rsidRDefault="00EB53C7" w:rsidP="00EB53C7">
            <w:pPr>
              <w:numPr>
                <w:ilvl w:val="0"/>
                <w:numId w:val="3"/>
              </w:numPr>
              <w:contextualSpacing/>
              <w:rPr>
                <w:rFonts w:asciiTheme="minorBidi" w:eastAsia="Calibri" w:hAnsiTheme="minorBidi"/>
                <w:sz w:val="16"/>
                <w:szCs w:val="16"/>
              </w:rPr>
            </w:pPr>
            <w:r w:rsidRPr="00C62510">
              <w:rPr>
                <w:rFonts w:asciiTheme="minorBidi" w:eastAsia="Calibri" w:hAnsiTheme="minorBidi"/>
                <w:sz w:val="16"/>
                <w:szCs w:val="16"/>
              </w:rPr>
              <w:t>quality of life</w:t>
            </w:r>
          </w:p>
        </w:tc>
      </w:tr>
      <w:tr w:rsidR="00EB53C7" w:rsidRPr="00BA7315" w:rsidTr="00100AF0">
        <w:tc>
          <w:tcPr>
            <w:tcW w:w="581" w:type="pct"/>
          </w:tcPr>
          <w:p w:rsidR="00EB53C7" w:rsidRPr="00BA7315" w:rsidRDefault="00EB53C7" w:rsidP="00100AF0">
            <w:pPr>
              <w:rPr>
                <w:rFonts w:asciiTheme="minorHAnsi" w:eastAsia="Calibri" w:hAnsiTheme="minorHAnsi" w:cstheme="minorHAnsi"/>
                <w:sz w:val="16"/>
                <w:szCs w:val="16"/>
              </w:rPr>
            </w:pPr>
            <w:r w:rsidRPr="00BA7315">
              <w:rPr>
                <w:rFonts w:asciiTheme="minorHAnsi" w:hAnsiTheme="minorHAnsi" w:cstheme="minorHAnsi"/>
                <w:noProof/>
                <w:sz w:val="16"/>
                <w:szCs w:val="16"/>
              </w:rPr>
              <w:t>El-Shafei, et al. (2008)</w:t>
            </w:r>
          </w:p>
        </w:tc>
        <w:tc>
          <w:tcPr>
            <w:tcW w:w="438" w:type="pct"/>
          </w:tcPr>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color w:val="222222"/>
                <w:sz w:val="16"/>
                <w:szCs w:val="16"/>
              </w:rPr>
              <w:t>Egypt</w:t>
            </w:r>
          </w:p>
        </w:tc>
        <w:tc>
          <w:tcPr>
            <w:tcW w:w="1038" w:type="pct"/>
          </w:tcPr>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sz w:val="16"/>
                <w:szCs w:val="16"/>
              </w:rPr>
              <w:t>to establish a pilot study to examine the effect of family psychoeducation and counselling on the outcome of schizophrenia especially regarding medication compliance, social functioning, clinical condition,  relapse and hospitalizations</w:t>
            </w:r>
          </w:p>
        </w:tc>
        <w:tc>
          <w:tcPr>
            <w:tcW w:w="654" w:type="pct"/>
          </w:tcPr>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sz w:val="16"/>
                <w:szCs w:val="16"/>
              </w:rPr>
              <w:t xml:space="preserve">interventions </w:t>
            </w:r>
          </w:p>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sz w:val="16"/>
                <w:szCs w:val="16"/>
              </w:rPr>
              <w:t>15 patients with their caregivers</w:t>
            </w:r>
          </w:p>
          <w:p w:rsidR="00EB53C7" w:rsidRPr="00BA7315" w:rsidRDefault="00EB53C7" w:rsidP="00100AF0">
            <w:pPr>
              <w:rPr>
                <w:rFonts w:asciiTheme="minorHAnsi" w:eastAsia="Calibri" w:hAnsiTheme="minorHAnsi" w:cstheme="minorHAnsi"/>
                <w:sz w:val="16"/>
                <w:szCs w:val="16"/>
              </w:rPr>
            </w:pPr>
          </w:p>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sz w:val="16"/>
                <w:szCs w:val="16"/>
              </w:rPr>
              <w:t xml:space="preserve">Controls </w:t>
            </w:r>
          </w:p>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sz w:val="16"/>
                <w:szCs w:val="16"/>
              </w:rPr>
              <w:t>15 patients with their caregivers</w:t>
            </w:r>
          </w:p>
          <w:p w:rsidR="00EB53C7" w:rsidRPr="00BA7315" w:rsidRDefault="00EB53C7" w:rsidP="00100AF0">
            <w:pPr>
              <w:rPr>
                <w:rFonts w:asciiTheme="minorHAnsi" w:eastAsia="Calibri" w:hAnsiTheme="minorHAnsi" w:cstheme="minorHAnsi"/>
                <w:sz w:val="16"/>
                <w:szCs w:val="16"/>
              </w:rPr>
            </w:pPr>
          </w:p>
        </w:tc>
        <w:tc>
          <w:tcPr>
            <w:tcW w:w="565" w:type="pct"/>
          </w:tcPr>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sz w:val="16"/>
                <w:szCs w:val="16"/>
              </w:rPr>
              <w:t>non- randomized control trial</w:t>
            </w:r>
          </w:p>
        </w:tc>
        <w:tc>
          <w:tcPr>
            <w:tcW w:w="749" w:type="pct"/>
          </w:tcPr>
          <w:p w:rsidR="00EB53C7" w:rsidRPr="00BA7315" w:rsidRDefault="00EB53C7" w:rsidP="00100AF0">
            <w:pPr>
              <w:rPr>
                <w:rFonts w:asciiTheme="minorHAnsi" w:eastAsia="Calibri" w:hAnsiTheme="minorHAnsi" w:cstheme="minorHAnsi"/>
                <w:sz w:val="16"/>
                <w:szCs w:val="16"/>
              </w:rPr>
            </w:pPr>
            <w:r w:rsidRPr="00BA7315">
              <w:rPr>
                <w:rFonts w:asciiTheme="minorHAnsi" w:eastAsia="Calibri" w:hAnsiTheme="minorHAnsi" w:cstheme="minorHAnsi"/>
                <w:color w:val="000000"/>
                <w:sz w:val="16"/>
                <w:szCs w:val="16"/>
              </w:rPr>
              <w:t>family psychoeducation and counselling</w:t>
            </w:r>
          </w:p>
        </w:tc>
        <w:tc>
          <w:tcPr>
            <w:tcW w:w="975" w:type="pct"/>
          </w:tcPr>
          <w:p w:rsidR="00EB53C7" w:rsidRPr="00BA7315" w:rsidRDefault="00EB53C7" w:rsidP="00EB53C7">
            <w:pPr>
              <w:numPr>
                <w:ilvl w:val="0"/>
                <w:numId w:val="5"/>
              </w:numPr>
              <w:contextualSpacing/>
              <w:rPr>
                <w:rFonts w:asciiTheme="minorHAnsi" w:eastAsia="Calibri" w:hAnsiTheme="minorHAnsi" w:cstheme="minorHAnsi"/>
                <w:sz w:val="16"/>
                <w:szCs w:val="16"/>
              </w:rPr>
            </w:pPr>
            <w:r w:rsidRPr="00BA7315">
              <w:rPr>
                <w:rFonts w:asciiTheme="minorHAnsi" w:eastAsia="Calibri" w:hAnsiTheme="minorHAnsi" w:cstheme="minorHAnsi"/>
                <w:sz w:val="16"/>
                <w:szCs w:val="16"/>
              </w:rPr>
              <w:t xml:space="preserve">the level of social functioning                       </w:t>
            </w:r>
          </w:p>
          <w:p w:rsidR="00EB53C7" w:rsidRPr="00BA7315" w:rsidRDefault="00EB53C7" w:rsidP="00EB53C7">
            <w:pPr>
              <w:numPr>
                <w:ilvl w:val="0"/>
                <w:numId w:val="5"/>
              </w:numPr>
              <w:contextualSpacing/>
              <w:rPr>
                <w:rFonts w:asciiTheme="minorHAnsi" w:eastAsia="Calibri" w:hAnsiTheme="minorHAnsi" w:cstheme="minorHAnsi"/>
                <w:sz w:val="16"/>
                <w:szCs w:val="16"/>
              </w:rPr>
            </w:pPr>
            <w:r w:rsidRPr="00BA7315">
              <w:rPr>
                <w:rFonts w:asciiTheme="minorHAnsi" w:eastAsia="Calibri" w:hAnsiTheme="minorHAnsi" w:cstheme="minorHAnsi"/>
                <w:sz w:val="16"/>
                <w:szCs w:val="16"/>
              </w:rPr>
              <w:t xml:space="preserve">medication compliance   </w:t>
            </w:r>
          </w:p>
          <w:p w:rsidR="00EB53C7" w:rsidRPr="00BA7315" w:rsidRDefault="00EB53C7" w:rsidP="00EB53C7">
            <w:pPr>
              <w:numPr>
                <w:ilvl w:val="0"/>
                <w:numId w:val="5"/>
              </w:numPr>
              <w:contextualSpacing/>
              <w:rPr>
                <w:rFonts w:asciiTheme="minorHAnsi" w:eastAsia="Calibri" w:hAnsiTheme="minorHAnsi" w:cstheme="minorHAnsi"/>
                <w:sz w:val="16"/>
                <w:szCs w:val="16"/>
              </w:rPr>
            </w:pPr>
            <w:r w:rsidRPr="00BA7315">
              <w:rPr>
                <w:rFonts w:asciiTheme="minorHAnsi" w:eastAsia="Calibri" w:hAnsiTheme="minorHAnsi" w:cstheme="minorHAnsi"/>
                <w:sz w:val="16"/>
                <w:szCs w:val="16"/>
              </w:rPr>
              <w:t>clinical condition</w:t>
            </w:r>
          </w:p>
        </w:tc>
      </w:tr>
    </w:tbl>
    <w:p w:rsidR="00EB53C7" w:rsidRPr="00BA7315" w:rsidRDefault="00BA7315" w:rsidP="00EB53C7">
      <w:pPr>
        <w:jc w:val="both"/>
        <w:rPr>
          <w:rFonts w:asciiTheme="minorHAnsi" w:hAnsiTheme="minorHAnsi" w:cstheme="minorHAnsi"/>
        </w:rPr>
      </w:pPr>
      <w:r w:rsidRPr="00BA7315">
        <w:rPr>
          <w:rFonts w:asciiTheme="minorHAnsi" w:hAnsiTheme="minorHAnsi" w:cstheme="minorHAnsi"/>
        </w:rPr>
        <w:t xml:space="preserve"> T</w:t>
      </w:r>
      <w:r w:rsidR="00D97206" w:rsidRPr="00BA7315">
        <w:rPr>
          <w:rFonts w:asciiTheme="minorHAnsi" w:hAnsiTheme="minorHAnsi" w:cstheme="minorHAnsi"/>
        </w:rPr>
        <w:t xml:space="preserve">able 1: </w:t>
      </w:r>
      <w:r w:rsidR="00EB53C7" w:rsidRPr="00BA7315">
        <w:rPr>
          <w:rFonts w:asciiTheme="minorHAnsi" w:hAnsiTheme="minorHAnsi" w:cstheme="minorHAnsi"/>
        </w:rPr>
        <w:t>the descriptive characteristics of studies.</w:t>
      </w:r>
    </w:p>
    <w:p w:rsidR="00BA7315" w:rsidRPr="00BA7315" w:rsidRDefault="00BA7315" w:rsidP="00EB53C7">
      <w:pPr>
        <w:jc w:val="both"/>
        <w:rPr>
          <w:rFonts w:asciiTheme="minorHAnsi" w:hAnsiTheme="minorHAnsi" w:cstheme="minorHAnsi"/>
        </w:rPr>
      </w:pPr>
    </w:p>
    <w:p w:rsidR="00EB53C7" w:rsidRPr="00BA7315" w:rsidRDefault="00EB53C7" w:rsidP="004E14F0">
      <w:pPr>
        <w:rPr>
          <w:rFonts w:asciiTheme="minorHAnsi" w:hAnsiTheme="minorHAnsi" w:cstheme="minorHAnsi"/>
        </w:rPr>
      </w:pPr>
    </w:p>
    <w:p w:rsidR="00EB53C7" w:rsidRPr="00BA7315" w:rsidRDefault="00EB53C7" w:rsidP="00EB53C7">
      <w:pPr>
        <w:jc w:val="both"/>
        <w:rPr>
          <w:rFonts w:asciiTheme="minorHAnsi" w:hAnsiTheme="minorHAnsi" w:cstheme="minorHAnsi"/>
        </w:rPr>
      </w:pPr>
    </w:p>
    <w:p w:rsidR="00EB53C7" w:rsidRPr="00BA7315" w:rsidRDefault="00EB53C7" w:rsidP="00EB53C7">
      <w:pPr>
        <w:spacing w:after="90"/>
        <w:jc w:val="both"/>
        <w:rPr>
          <w:rFonts w:asciiTheme="minorHAnsi" w:hAnsiTheme="minorHAnsi" w:cstheme="minorHAnsi"/>
        </w:rPr>
      </w:pPr>
      <w:r w:rsidRPr="00BA7315">
        <w:rPr>
          <w:rFonts w:asciiTheme="minorHAnsi" w:hAnsiTheme="minorHAnsi" w:cstheme="minorHAnsi"/>
        </w:rPr>
        <w:t>Table 2: RCT quality assessment</w:t>
      </w:r>
    </w:p>
    <w:p w:rsidR="00EB53C7" w:rsidRPr="00BA7315" w:rsidRDefault="00EB53C7" w:rsidP="004E14F0">
      <w:pPr>
        <w:rPr>
          <w:rFonts w:asciiTheme="minorHAnsi" w:hAnsiTheme="minorHAnsi" w:cstheme="minorHAnsi"/>
        </w:rPr>
      </w:pPr>
    </w:p>
    <w:tbl>
      <w:tblPr>
        <w:tblStyle w:val="TableGrid"/>
        <w:tblW w:w="0" w:type="auto"/>
        <w:tblLook w:val="04A0" w:firstRow="1" w:lastRow="0" w:firstColumn="1" w:lastColumn="0" w:noHBand="0" w:noVBand="1"/>
      </w:tblPr>
      <w:tblGrid>
        <w:gridCol w:w="864"/>
        <w:gridCol w:w="838"/>
        <w:gridCol w:w="1058"/>
        <w:gridCol w:w="1151"/>
        <w:gridCol w:w="929"/>
        <w:gridCol w:w="1000"/>
        <w:gridCol w:w="934"/>
        <w:gridCol w:w="870"/>
        <w:gridCol w:w="653"/>
      </w:tblGrid>
      <w:tr w:rsidR="00EB53C7" w:rsidRPr="00BA7315" w:rsidTr="00100AF0">
        <w:trPr>
          <w:trHeight w:val="415"/>
        </w:trPr>
        <w:tc>
          <w:tcPr>
            <w:tcW w:w="864" w:type="dxa"/>
            <w:vMerge w:val="restart"/>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Article</w:t>
            </w:r>
          </w:p>
        </w:tc>
        <w:tc>
          <w:tcPr>
            <w:tcW w:w="1896" w:type="dxa"/>
            <w:gridSpan w:val="2"/>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Selection</w:t>
            </w:r>
          </w:p>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bias</w:t>
            </w:r>
          </w:p>
        </w:tc>
        <w:tc>
          <w:tcPr>
            <w:tcW w:w="1151"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Performance</w:t>
            </w:r>
          </w:p>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bias</w:t>
            </w:r>
          </w:p>
        </w:tc>
        <w:tc>
          <w:tcPr>
            <w:tcW w:w="929"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Detection bias</w:t>
            </w:r>
          </w:p>
        </w:tc>
        <w:tc>
          <w:tcPr>
            <w:tcW w:w="100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 xml:space="preserve">Attrition </w:t>
            </w:r>
          </w:p>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bias</w:t>
            </w:r>
          </w:p>
        </w:tc>
        <w:tc>
          <w:tcPr>
            <w:tcW w:w="934"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Reporting</w:t>
            </w:r>
          </w:p>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bias</w:t>
            </w:r>
          </w:p>
        </w:tc>
        <w:tc>
          <w:tcPr>
            <w:tcW w:w="87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Other bias</w:t>
            </w:r>
          </w:p>
        </w:tc>
        <w:tc>
          <w:tcPr>
            <w:tcW w:w="653" w:type="dxa"/>
            <w:vMerge w:val="restart"/>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total</w:t>
            </w:r>
          </w:p>
        </w:tc>
      </w:tr>
      <w:tr w:rsidR="00EB53C7" w:rsidRPr="00BA7315" w:rsidTr="00100AF0">
        <w:trPr>
          <w:trHeight w:val="415"/>
        </w:trPr>
        <w:tc>
          <w:tcPr>
            <w:tcW w:w="864" w:type="dxa"/>
            <w:vMerge/>
          </w:tcPr>
          <w:p w:rsidR="00EB53C7" w:rsidRPr="00BA7315" w:rsidRDefault="00EB53C7" w:rsidP="00100AF0">
            <w:pPr>
              <w:jc w:val="both"/>
              <w:rPr>
                <w:rFonts w:asciiTheme="minorHAnsi" w:hAnsiTheme="minorHAnsi" w:cstheme="minorHAnsi"/>
              </w:rPr>
            </w:pPr>
          </w:p>
        </w:tc>
        <w:tc>
          <w:tcPr>
            <w:tcW w:w="838"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Random sequence</w:t>
            </w:r>
          </w:p>
        </w:tc>
        <w:tc>
          <w:tcPr>
            <w:tcW w:w="1058"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Allocation concealment</w:t>
            </w:r>
          </w:p>
        </w:tc>
        <w:tc>
          <w:tcPr>
            <w:tcW w:w="1151"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Blinding of participants and personnel</w:t>
            </w:r>
          </w:p>
        </w:tc>
        <w:tc>
          <w:tcPr>
            <w:tcW w:w="929"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Blinding of outcome assessors</w:t>
            </w:r>
          </w:p>
        </w:tc>
        <w:tc>
          <w:tcPr>
            <w:tcW w:w="100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Incomplete outcome data</w:t>
            </w:r>
          </w:p>
        </w:tc>
        <w:tc>
          <w:tcPr>
            <w:tcW w:w="934"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Selective reporting</w:t>
            </w:r>
          </w:p>
        </w:tc>
        <w:tc>
          <w:tcPr>
            <w:tcW w:w="87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Anything else</w:t>
            </w:r>
          </w:p>
        </w:tc>
        <w:tc>
          <w:tcPr>
            <w:tcW w:w="653" w:type="dxa"/>
            <w:vMerge/>
          </w:tcPr>
          <w:p w:rsidR="00EB53C7" w:rsidRPr="00BA7315" w:rsidRDefault="00EB53C7" w:rsidP="00100AF0">
            <w:pPr>
              <w:jc w:val="both"/>
              <w:rPr>
                <w:rFonts w:asciiTheme="minorHAnsi" w:hAnsiTheme="minorHAnsi" w:cstheme="minorHAnsi"/>
              </w:rPr>
            </w:pPr>
          </w:p>
        </w:tc>
      </w:tr>
      <w:tr w:rsidR="00EB53C7" w:rsidRPr="00BA7315" w:rsidTr="00100AF0">
        <w:tc>
          <w:tcPr>
            <w:tcW w:w="864" w:type="dxa"/>
          </w:tcPr>
          <w:p w:rsidR="00EB53C7" w:rsidRPr="00BA7315" w:rsidRDefault="00EB53C7" w:rsidP="00100AF0">
            <w:pPr>
              <w:jc w:val="both"/>
              <w:rPr>
                <w:rFonts w:asciiTheme="minorHAnsi" w:hAnsiTheme="minorHAnsi" w:cstheme="minorHAnsi"/>
                <w:sz w:val="16"/>
                <w:szCs w:val="16"/>
              </w:rPr>
            </w:pPr>
            <w:proofErr w:type="spellStart"/>
            <w:r w:rsidRPr="00BA7315">
              <w:rPr>
                <w:rFonts w:asciiTheme="minorHAnsi" w:hAnsiTheme="minorHAnsi" w:cstheme="minorHAnsi"/>
                <w:sz w:val="16"/>
                <w:szCs w:val="16"/>
              </w:rPr>
              <w:t>Hasan,et</w:t>
            </w:r>
            <w:proofErr w:type="spellEnd"/>
            <w:r w:rsidRPr="00BA7315">
              <w:rPr>
                <w:rFonts w:asciiTheme="minorHAnsi" w:hAnsiTheme="minorHAnsi" w:cstheme="minorHAnsi"/>
                <w:sz w:val="16"/>
                <w:szCs w:val="16"/>
              </w:rPr>
              <w:t xml:space="preserve"> al. (2014)</w:t>
            </w:r>
          </w:p>
        </w:tc>
        <w:tc>
          <w:tcPr>
            <w:tcW w:w="838"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1058"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1151"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high</w:t>
            </w:r>
          </w:p>
        </w:tc>
        <w:tc>
          <w:tcPr>
            <w:tcW w:w="929"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100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934"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87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653"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6/7</w:t>
            </w:r>
          </w:p>
        </w:tc>
      </w:tr>
      <w:tr w:rsidR="00EB53C7" w:rsidRPr="00BA7315" w:rsidTr="00100AF0">
        <w:tc>
          <w:tcPr>
            <w:tcW w:w="864"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Rami, et al. (2018)</w:t>
            </w:r>
          </w:p>
        </w:tc>
        <w:tc>
          <w:tcPr>
            <w:tcW w:w="838"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high</w:t>
            </w:r>
          </w:p>
        </w:tc>
        <w:tc>
          <w:tcPr>
            <w:tcW w:w="1058"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high</w:t>
            </w:r>
          </w:p>
        </w:tc>
        <w:tc>
          <w:tcPr>
            <w:tcW w:w="1151"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high</w:t>
            </w:r>
          </w:p>
        </w:tc>
        <w:tc>
          <w:tcPr>
            <w:tcW w:w="929"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100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low</w:t>
            </w:r>
          </w:p>
        </w:tc>
        <w:tc>
          <w:tcPr>
            <w:tcW w:w="934"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high</w:t>
            </w:r>
          </w:p>
        </w:tc>
        <w:tc>
          <w:tcPr>
            <w:tcW w:w="870"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high</w:t>
            </w:r>
          </w:p>
        </w:tc>
        <w:tc>
          <w:tcPr>
            <w:tcW w:w="653" w:type="dxa"/>
          </w:tcPr>
          <w:p w:rsidR="00EB53C7" w:rsidRPr="00BA7315" w:rsidRDefault="00EB53C7" w:rsidP="00100AF0">
            <w:pPr>
              <w:jc w:val="both"/>
              <w:rPr>
                <w:rFonts w:asciiTheme="minorHAnsi" w:hAnsiTheme="minorHAnsi" w:cstheme="minorHAnsi"/>
                <w:sz w:val="16"/>
                <w:szCs w:val="16"/>
              </w:rPr>
            </w:pPr>
            <w:r w:rsidRPr="00BA7315">
              <w:rPr>
                <w:rFonts w:asciiTheme="minorHAnsi" w:hAnsiTheme="minorHAnsi" w:cstheme="minorHAnsi"/>
                <w:sz w:val="16"/>
                <w:szCs w:val="16"/>
              </w:rPr>
              <w:t>2/7</w:t>
            </w:r>
          </w:p>
        </w:tc>
      </w:tr>
    </w:tbl>
    <w:p w:rsidR="00EB53C7" w:rsidRPr="00BA7315" w:rsidRDefault="00EB53C7" w:rsidP="004E14F0">
      <w:pPr>
        <w:rPr>
          <w:rFonts w:asciiTheme="minorHAnsi" w:hAnsiTheme="minorHAnsi" w:cstheme="minorHAnsi"/>
        </w:rPr>
      </w:pPr>
    </w:p>
    <w:p w:rsidR="00EB53C7" w:rsidRPr="00BA7315" w:rsidRDefault="00EB53C7" w:rsidP="004E14F0">
      <w:pPr>
        <w:rPr>
          <w:rFonts w:asciiTheme="minorHAnsi" w:hAnsiTheme="minorHAnsi" w:cstheme="minorHAnsi"/>
        </w:rPr>
      </w:pPr>
    </w:p>
    <w:p w:rsidR="00EB53C7" w:rsidRPr="00BA7315" w:rsidRDefault="00EB53C7" w:rsidP="004E14F0">
      <w:pPr>
        <w:rPr>
          <w:rFonts w:asciiTheme="minorHAnsi" w:hAnsiTheme="minorHAnsi" w:cstheme="minorHAnsi"/>
        </w:rPr>
      </w:pPr>
    </w:p>
    <w:p w:rsidR="00B554EB" w:rsidRDefault="00B554EB" w:rsidP="004E14F0"/>
    <w:p w:rsidR="00B554EB" w:rsidRPr="00B554EB" w:rsidRDefault="00B554EB" w:rsidP="00B86850">
      <w:pPr>
        <w:spacing w:after="90"/>
        <w:jc w:val="both"/>
        <w:rPr>
          <w:rFonts w:asciiTheme="minorHAnsi" w:hAnsiTheme="minorHAnsi" w:cstheme="minorHAnsi"/>
        </w:rPr>
      </w:pPr>
      <w:r w:rsidRPr="00BA7315">
        <w:rPr>
          <w:rFonts w:asciiTheme="minorHAnsi" w:hAnsiTheme="minorHAnsi" w:cstheme="minorHAnsi"/>
        </w:rPr>
        <w:lastRenderedPageBreak/>
        <w:t>Table 3</w:t>
      </w:r>
      <w:r w:rsidRPr="00B554EB">
        <w:rPr>
          <w:rFonts w:asciiTheme="minorHAnsi" w:hAnsiTheme="minorHAnsi" w:cstheme="minorHAnsi"/>
        </w:rPr>
        <w:t>: Methodological Quality of Non-randomized Trials using JBI Tools</w:t>
      </w:r>
    </w:p>
    <w:tbl>
      <w:tblPr>
        <w:tblStyle w:val="TableGrid"/>
        <w:tblW w:w="10014" w:type="dxa"/>
        <w:tblInd w:w="-332" w:type="dxa"/>
        <w:tblLook w:val="04A0" w:firstRow="1" w:lastRow="0" w:firstColumn="1" w:lastColumn="0" w:noHBand="0" w:noVBand="1"/>
      </w:tblPr>
      <w:tblGrid>
        <w:gridCol w:w="2303"/>
        <w:gridCol w:w="794"/>
        <w:gridCol w:w="863"/>
        <w:gridCol w:w="864"/>
        <w:gridCol w:w="865"/>
        <w:gridCol w:w="865"/>
        <w:gridCol w:w="865"/>
        <w:gridCol w:w="865"/>
        <w:gridCol w:w="865"/>
        <w:gridCol w:w="865"/>
      </w:tblGrid>
      <w:tr w:rsidR="00B554EB" w:rsidRPr="00B554EB" w:rsidTr="00100AF0">
        <w:tc>
          <w:tcPr>
            <w:tcW w:w="2411" w:type="dxa"/>
          </w:tcPr>
          <w:p w:rsidR="00B554EB" w:rsidRPr="00B554EB" w:rsidRDefault="00B554EB" w:rsidP="00B554EB">
            <w:pPr>
              <w:spacing w:line="360" w:lineRule="auto"/>
              <w:jc w:val="both"/>
              <w:rPr>
                <w:sz w:val="16"/>
                <w:szCs w:val="16"/>
                <w:lang w:eastAsia="en-GB"/>
              </w:rPr>
            </w:pPr>
            <w:r w:rsidRPr="00B554EB">
              <w:rPr>
                <w:sz w:val="16"/>
                <w:szCs w:val="16"/>
                <w:lang w:eastAsia="en-GB"/>
              </w:rPr>
              <w:t>Reference</w:t>
            </w:r>
          </w:p>
        </w:tc>
        <w:tc>
          <w:tcPr>
            <w:tcW w:w="645"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1</w:t>
            </w:r>
          </w:p>
        </w:tc>
        <w:tc>
          <w:tcPr>
            <w:tcW w:w="869"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2</w:t>
            </w:r>
          </w:p>
        </w:tc>
        <w:tc>
          <w:tcPr>
            <w:tcW w:w="869"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3</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4</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5</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6</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7</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8</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9</w:t>
            </w:r>
          </w:p>
        </w:tc>
      </w:tr>
      <w:tr w:rsidR="00B554EB" w:rsidRPr="00B554EB" w:rsidTr="00100AF0">
        <w:tc>
          <w:tcPr>
            <w:tcW w:w="2411" w:type="dxa"/>
          </w:tcPr>
          <w:p w:rsidR="00B554EB" w:rsidRPr="00B554EB" w:rsidRDefault="00B554EB" w:rsidP="00B554EB">
            <w:pPr>
              <w:spacing w:line="360" w:lineRule="auto"/>
              <w:jc w:val="both"/>
              <w:rPr>
                <w:sz w:val="16"/>
                <w:szCs w:val="16"/>
                <w:lang w:eastAsia="en-GB"/>
              </w:rPr>
            </w:pPr>
            <w:proofErr w:type="spellStart"/>
            <w:r w:rsidRPr="00B554EB">
              <w:rPr>
                <w:sz w:val="16"/>
                <w:szCs w:val="16"/>
                <w:lang w:eastAsia="en-GB"/>
              </w:rPr>
              <w:t>Soliman</w:t>
            </w:r>
            <w:proofErr w:type="spellEnd"/>
            <w:r w:rsidRPr="00B554EB">
              <w:rPr>
                <w:sz w:val="16"/>
                <w:szCs w:val="16"/>
                <w:lang w:eastAsia="en-GB"/>
              </w:rPr>
              <w:t xml:space="preserve"> et al., (2018)</w:t>
            </w:r>
          </w:p>
        </w:tc>
        <w:tc>
          <w:tcPr>
            <w:tcW w:w="645"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69" w:type="dxa"/>
          </w:tcPr>
          <w:p w:rsidR="00B554EB" w:rsidRPr="00B554EB" w:rsidRDefault="00B554EB" w:rsidP="00B554EB">
            <w:pPr>
              <w:spacing w:line="360" w:lineRule="auto"/>
              <w:jc w:val="both"/>
              <w:rPr>
                <w:sz w:val="16"/>
                <w:szCs w:val="16"/>
                <w:lang w:eastAsia="en-GB"/>
              </w:rPr>
            </w:pPr>
            <w:r w:rsidRPr="00B554EB">
              <w:rPr>
                <w:sz w:val="16"/>
                <w:szCs w:val="16"/>
                <w:lang w:eastAsia="en-GB"/>
              </w:rPr>
              <w:t>U</w:t>
            </w:r>
          </w:p>
        </w:tc>
        <w:tc>
          <w:tcPr>
            <w:tcW w:w="869"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r>
      <w:tr w:rsidR="00B554EB" w:rsidRPr="00B554EB" w:rsidTr="00100AF0">
        <w:tc>
          <w:tcPr>
            <w:tcW w:w="2411" w:type="dxa"/>
          </w:tcPr>
          <w:p w:rsidR="00B554EB" w:rsidRPr="00B554EB" w:rsidRDefault="00B554EB" w:rsidP="00B554EB">
            <w:pPr>
              <w:spacing w:line="360" w:lineRule="auto"/>
              <w:jc w:val="both"/>
              <w:rPr>
                <w:sz w:val="16"/>
                <w:szCs w:val="16"/>
                <w:lang w:eastAsia="en-GB"/>
              </w:rPr>
            </w:pPr>
            <w:r w:rsidRPr="00B554EB">
              <w:rPr>
                <w:noProof/>
                <w:sz w:val="16"/>
                <w:szCs w:val="16"/>
                <w:lang w:eastAsia="en-GB"/>
              </w:rPr>
              <w:t>El-Shafei, et al., (2008)</w:t>
            </w:r>
          </w:p>
        </w:tc>
        <w:tc>
          <w:tcPr>
            <w:tcW w:w="645"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69" w:type="dxa"/>
          </w:tcPr>
          <w:p w:rsidR="00B554EB" w:rsidRPr="00B554EB" w:rsidRDefault="00B554EB" w:rsidP="00B554EB">
            <w:pPr>
              <w:spacing w:line="360" w:lineRule="auto"/>
              <w:jc w:val="both"/>
              <w:rPr>
                <w:sz w:val="16"/>
                <w:szCs w:val="16"/>
                <w:lang w:eastAsia="en-GB"/>
              </w:rPr>
            </w:pPr>
            <w:r w:rsidRPr="00B554EB">
              <w:rPr>
                <w:sz w:val="16"/>
                <w:szCs w:val="16"/>
                <w:lang w:eastAsia="en-GB"/>
              </w:rPr>
              <w:t>U</w:t>
            </w:r>
          </w:p>
        </w:tc>
        <w:tc>
          <w:tcPr>
            <w:tcW w:w="869"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c>
          <w:tcPr>
            <w:tcW w:w="870"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r>
    </w:tbl>
    <w:p w:rsidR="00B554EB" w:rsidRPr="00B554EB" w:rsidRDefault="00B554EB" w:rsidP="00B554EB">
      <w:pPr>
        <w:spacing w:line="360" w:lineRule="auto"/>
        <w:ind w:firstLine="284"/>
        <w:rPr>
          <w:sz w:val="20"/>
          <w:szCs w:val="20"/>
          <w:lang w:eastAsia="en-GB"/>
        </w:rPr>
      </w:pPr>
    </w:p>
    <w:p w:rsidR="00EB53C7" w:rsidRDefault="00EB53C7" w:rsidP="00EB53C7">
      <w:pPr>
        <w:jc w:val="both"/>
        <w:rPr>
          <w:rFonts w:asciiTheme="minorBidi" w:hAnsiTheme="minorBidi" w:cstheme="minorBidi"/>
        </w:rPr>
      </w:pPr>
    </w:p>
    <w:p w:rsidR="00B554EB" w:rsidRDefault="00B554EB" w:rsidP="00EB53C7">
      <w:pPr>
        <w:jc w:val="both"/>
        <w:rPr>
          <w:rFonts w:asciiTheme="minorBidi" w:hAnsiTheme="minorBidi" w:cstheme="minorBidi"/>
        </w:rPr>
      </w:pPr>
    </w:p>
    <w:tbl>
      <w:tblPr>
        <w:tblStyle w:val="TableGrid"/>
        <w:tblpPr w:leftFromText="180" w:rightFromText="180" w:vertAnchor="text" w:horzAnchor="page" w:tblpX="1204" w:tblpY="289"/>
        <w:tblW w:w="9002" w:type="dxa"/>
        <w:tblLook w:val="04A0" w:firstRow="1" w:lastRow="0" w:firstColumn="1" w:lastColumn="0" w:noHBand="0" w:noVBand="1"/>
      </w:tblPr>
      <w:tblGrid>
        <w:gridCol w:w="1856"/>
        <w:gridCol w:w="794"/>
        <w:gridCol w:w="794"/>
        <w:gridCol w:w="794"/>
        <w:gridCol w:w="794"/>
        <w:gridCol w:w="794"/>
        <w:gridCol w:w="794"/>
        <w:gridCol w:w="794"/>
        <w:gridCol w:w="794"/>
        <w:gridCol w:w="794"/>
      </w:tblGrid>
      <w:tr w:rsidR="00B554EB" w:rsidRPr="00B554EB" w:rsidTr="00100AF0">
        <w:trPr>
          <w:trHeight w:val="372"/>
        </w:trPr>
        <w:tc>
          <w:tcPr>
            <w:tcW w:w="1856" w:type="dxa"/>
          </w:tcPr>
          <w:p w:rsidR="00B554EB" w:rsidRPr="00B554EB" w:rsidRDefault="00B554EB" w:rsidP="00B554EB">
            <w:pPr>
              <w:spacing w:line="360" w:lineRule="auto"/>
              <w:jc w:val="both"/>
              <w:rPr>
                <w:sz w:val="16"/>
                <w:szCs w:val="16"/>
                <w:lang w:eastAsia="en-GB"/>
              </w:rPr>
            </w:pPr>
            <w:r w:rsidRPr="00B554EB">
              <w:rPr>
                <w:sz w:val="16"/>
                <w:szCs w:val="16"/>
                <w:lang w:eastAsia="en-GB"/>
              </w:rPr>
              <w:t>Reference</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1</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2</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3</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4</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5</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6</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7</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8</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Question 9</w:t>
            </w:r>
          </w:p>
        </w:tc>
      </w:tr>
      <w:tr w:rsidR="00B554EB" w:rsidRPr="00B554EB" w:rsidTr="00100AF0">
        <w:trPr>
          <w:trHeight w:val="359"/>
        </w:trPr>
        <w:tc>
          <w:tcPr>
            <w:tcW w:w="1856" w:type="dxa"/>
          </w:tcPr>
          <w:p w:rsidR="00B554EB" w:rsidRPr="00B554EB" w:rsidRDefault="00B554EB" w:rsidP="00B554EB">
            <w:pPr>
              <w:spacing w:line="360" w:lineRule="auto"/>
              <w:jc w:val="both"/>
              <w:rPr>
                <w:sz w:val="16"/>
                <w:szCs w:val="16"/>
                <w:lang w:eastAsia="en-GB"/>
              </w:rPr>
            </w:pPr>
            <w:r w:rsidRPr="00B554EB">
              <w:rPr>
                <w:lang w:eastAsia="en-GB"/>
              </w:rPr>
              <w:t xml:space="preserve"> </w:t>
            </w:r>
            <w:r w:rsidRPr="00B554EB">
              <w:rPr>
                <w:sz w:val="16"/>
                <w:szCs w:val="16"/>
                <w:lang w:eastAsia="en-GB"/>
              </w:rPr>
              <w:t>Al-</w:t>
            </w:r>
            <w:proofErr w:type="spellStart"/>
            <w:r w:rsidRPr="00B554EB">
              <w:rPr>
                <w:sz w:val="16"/>
                <w:szCs w:val="16"/>
                <w:lang w:eastAsia="en-GB"/>
              </w:rPr>
              <w:t>HadiHsan</w:t>
            </w:r>
            <w:proofErr w:type="spellEnd"/>
            <w:r w:rsidRPr="00B554EB">
              <w:rPr>
                <w:sz w:val="16"/>
                <w:szCs w:val="16"/>
                <w:lang w:eastAsia="en-GB"/>
              </w:rPr>
              <w:t>, et al. (2017)</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N/A</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N</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c>
          <w:tcPr>
            <w:tcW w:w="794" w:type="dxa"/>
          </w:tcPr>
          <w:p w:rsidR="00B554EB" w:rsidRPr="00B554EB" w:rsidRDefault="00B554EB" w:rsidP="00B554EB">
            <w:pPr>
              <w:spacing w:line="360" w:lineRule="auto"/>
              <w:jc w:val="both"/>
              <w:rPr>
                <w:sz w:val="16"/>
                <w:szCs w:val="16"/>
                <w:lang w:eastAsia="en-GB"/>
              </w:rPr>
            </w:pPr>
            <w:r w:rsidRPr="00B554EB">
              <w:rPr>
                <w:sz w:val="16"/>
                <w:szCs w:val="16"/>
                <w:lang w:eastAsia="en-GB"/>
              </w:rPr>
              <w:t>Y</w:t>
            </w:r>
          </w:p>
        </w:tc>
      </w:tr>
    </w:tbl>
    <w:p w:rsidR="00B554EB" w:rsidRPr="00BA7315" w:rsidRDefault="00B554EB" w:rsidP="00B86850">
      <w:pPr>
        <w:jc w:val="both"/>
        <w:rPr>
          <w:rFonts w:cs="Simple Outline Pat"/>
        </w:rPr>
      </w:pPr>
      <w:r w:rsidRPr="00BA7315">
        <w:rPr>
          <w:rFonts w:cs="Simple Outline Pat"/>
        </w:rPr>
        <w:t>Table 4: Methodological quality for qualitative research using JBI</w:t>
      </w:r>
      <w:r w:rsidR="00B86850">
        <w:rPr>
          <w:rFonts w:cs="Simple Outline Pat"/>
        </w:rPr>
        <w:t xml:space="preserve"> Tool</w:t>
      </w:r>
    </w:p>
    <w:p w:rsidR="00BA7315" w:rsidRDefault="00BA7315" w:rsidP="00EB53C7">
      <w:pPr>
        <w:jc w:val="both"/>
        <w:rPr>
          <w:rFonts w:asciiTheme="minorBidi" w:hAnsiTheme="minorBidi" w:cstheme="minorBidi"/>
        </w:rPr>
      </w:pPr>
    </w:p>
    <w:p w:rsidR="00B554EB" w:rsidRPr="00C62510" w:rsidRDefault="00B554EB" w:rsidP="00EB53C7">
      <w:pPr>
        <w:jc w:val="both"/>
        <w:rPr>
          <w:rFonts w:asciiTheme="minorBidi" w:hAnsiTheme="minorBidi" w:cstheme="minorBidi"/>
        </w:rPr>
      </w:pPr>
    </w:p>
    <w:p w:rsidR="00B554EB" w:rsidRDefault="00B554EB" w:rsidP="00EB53C7">
      <w:pPr>
        <w:rPr>
          <w:rFonts w:asciiTheme="minorBidi" w:hAnsiTheme="minorBidi" w:cstheme="minorBidi"/>
        </w:rPr>
      </w:pPr>
    </w:p>
    <w:p w:rsidR="00B554EB" w:rsidRPr="00C10478" w:rsidRDefault="00B554EB" w:rsidP="00C10478">
      <w:pPr>
        <w:jc w:val="both"/>
        <w:rPr>
          <w:rFonts w:cs="Simple Outline Pat"/>
        </w:rPr>
      </w:pPr>
      <w:bookmarkStart w:id="0" w:name="_GoBack"/>
      <w:r w:rsidRPr="00C10478">
        <w:rPr>
          <w:rFonts w:cs="Simple Outline Pat"/>
        </w:rPr>
        <w:t>Table 5: Intervention characteristics table</w:t>
      </w:r>
    </w:p>
    <w:tbl>
      <w:tblPr>
        <w:tblStyle w:val="TableGrid21"/>
        <w:tblpPr w:leftFromText="180" w:rightFromText="180" w:vertAnchor="text" w:horzAnchor="margin" w:tblpXSpec="center" w:tblpY="276"/>
        <w:tblW w:w="11310" w:type="dxa"/>
        <w:tblLayout w:type="fixed"/>
        <w:tblLook w:val="04A0" w:firstRow="1" w:lastRow="0" w:firstColumn="1" w:lastColumn="0" w:noHBand="0" w:noVBand="1"/>
      </w:tblPr>
      <w:tblGrid>
        <w:gridCol w:w="704"/>
        <w:gridCol w:w="1492"/>
        <w:gridCol w:w="1048"/>
        <w:gridCol w:w="1152"/>
        <w:gridCol w:w="838"/>
        <w:gridCol w:w="838"/>
        <w:gridCol w:w="869"/>
        <w:gridCol w:w="1418"/>
        <w:gridCol w:w="850"/>
        <w:gridCol w:w="1158"/>
        <w:gridCol w:w="943"/>
      </w:tblGrid>
      <w:tr w:rsidR="00B554EB" w:rsidRPr="00B554EB" w:rsidTr="00100AF0">
        <w:trPr>
          <w:trHeight w:val="536"/>
        </w:trPr>
        <w:tc>
          <w:tcPr>
            <w:tcW w:w="704" w:type="dxa"/>
          </w:tcPr>
          <w:bookmarkEnd w:id="0"/>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author</w:t>
            </w:r>
          </w:p>
        </w:tc>
        <w:tc>
          <w:tcPr>
            <w:tcW w:w="149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Adaptation model</w:t>
            </w:r>
          </w:p>
        </w:tc>
        <w:tc>
          <w:tcPr>
            <w:tcW w:w="104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Type of intervention</w:t>
            </w:r>
          </w:p>
        </w:tc>
        <w:tc>
          <w:tcPr>
            <w:tcW w:w="115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Components of the intervention</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Model (group/ individual)</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setting</w:t>
            </w:r>
          </w:p>
        </w:tc>
        <w:tc>
          <w:tcPr>
            <w:tcW w:w="869"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Intervention attendees</w:t>
            </w:r>
          </w:p>
        </w:tc>
        <w:tc>
          <w:tcPr>
            <w:tcW w:w="141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No. of session/duration/</w:t>
            </w:r>
          </w:p>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frequency</w:t>
            </w:r>
          </w:p>
        </w:tc>
        <w:tc>
          <w:tcPr>
            <w:tcW w:w="850"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Duration of intervention</w:t>
            </w:r>
          </w:p>
        </w:tc>
        <w:tc>
          <w:tcPr>
            <w:tcW w:w="115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Delivery - method</w:t>
            </w:r>
          </w:p>
        </w:tc>
        <w:tc>
          <w:tcPr>
            <w:tcW w:w="943"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Therapist/ training</w:t>
            </w:r>
          </w:p>
        </w:tc>
      </w:tr>
      <w:tr w:rsidR="00B554EB" w:rsidRPr="00B554EB" w:rsidTr="00100AF0">
        <w:trPr>
          <w:trHeight w:val="1591"/>
        </w:trPr>
        <w:tc>
          <w:tcPr>
            <w:tcW w:w="704" w:type="dxa"/>
          </w:tcPr>
          <w:p w:rsidR="00B554EB" w:rsidRPr="00B554EB" w:rsidRDefault="00B554EB" w:rsidP="00B554EB">
            <w:pPr>
              <w:rPr>
                <w:rFonts w:ascii="Arial" w:eastAsia="Calibri" w:hAnsi="Arial" w:cs="Arial"/>
                <w:sz w:val="12"/>
                <w:szCs w:val="12"/>
              </w:rPr>
            </w:pPr>
            <w:r w:rsidRPr="00B554EB">
              <w:rPr>
                <w:sz w:val="16"/>
                <w:szCs w:val="16"/>
                <w:lang w:eastAsia="en-GB"/>
              </w:rPr>
              <w:t>Rami, et al. (2018)</w:t>
            </w:r>
          </w:p>
        </w:tc>
        <w:tc>
          <w:tcPr>
            <w:tcW w:w="149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BFT manual by (</w:t>
            </w:r>
            <w:proofErr w:type="spellStart"/>
            <w:r w:rsidRPr="00B554EB">
              <w:rPr>
                <w:rFonts w:ascii="Arial" w:eastAsia="Calibri" w:hAnsi="Arial" w:cs="Arial"/>
                <w:sz w:val="12"/>
                <w:szCs w:val="12"/>
              </w:rPr>
              <w:t>Mueser</w:t>
            </w:r>
            <w:proofErr w:type="spellEnd"/>
            <w:r w:rsidRPr="00B554EB">
              <w:rPr>
                <w:rFonts w:ascii="Arial" w:eastAsia="Calibri" w:hAnsi="Arial" w:cs="Arial"/>
                <w:sz w:val="12"/>
                <w:szCs w:val="12"/>
              </w:rPr>
              <w:t xml:space="preserve"> and Glynn, 1999). The educational component was adapted from the psycho-educational program by </w:t>
            </w:r>
            <w:proofErr w:type="spellStart"/>
            <w:r w:rsidRPr="00B554EB">
              <w:rPr>
                <w:rFonts w:ascii="Arial" w:eastAsia="Calibri" w:hAnsi="Arial" w:cs="Arial"/>
                <w:sz w:val="12"/>
                <w:szCs w:val="12"/>
              </w:rPr>
              <w:t>ElShaﬁe</w:t>
            </w:r>
            <w:proofErr w:type="spellEnd"/>
            <w:r w:rsidRPr="00B554EB">
              <w:rPr>
                <w:rFonts w:ascii="Arial" w:eastAsia="Calibri" w:hAnsi="Arial" w:cs="Arial"/>
                <w:sz w:val="12"/>
                <w:szCs w:val="12"/>
              </w:rPr>
              <w:t xml:space="preserve"> and colleagues (2002).</w:t>
            </w:r>
          </w:p>
        </w:tc>
        <w:tc>
          <w:tcPr>
            <w:tcW w:w="104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 xml:space="preserve">Culturally sensitive </w:t>
            </w:r>
            <w:proofErr w:type="spellStart"/>
            <w:r w:rsidRPr="00B554EB">
              <w:rPr>
                <w:rFonts w:ascii="Arial" w:eastAsia="Calibri" w:hAnsi="Arial" w:cs="Arial"/>
                <w:sz w:val="12"/>
                <w:szCs w:val="12"/>
              </w:rPr>
              <w:t>Behavioral</w:t>
            </w:r>
            <w:proofErr w:type="spellEnd"/>
            <w:r w:rsidRPr="00B554EB">
              <w:rPr>
                <w:rFonts w:ascii="Arial" w:eastAsia="Calibri" w:hAnsi="Arial" w:cs="Arial"/>
                <w:sz w:val="12"/>
                <w:szCs w:val="12"/>
              </w:rPr>
              <w:t xml:space="preserve"> Family Psycho-Educational Program (BFPEP). </w:t>
            </w:r>
          </w:p>
        </w:tc>
        <w:tc>
          <w:tcPr>
            <w:tcW w:w="115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 +  communication enhancement training +  problem-solving skills training</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individual</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outpatient clinic</w:t>
            </w:r>
          </w:p>
        </w:tc>
        <w:tc>
          <w:tcPr>
            <w:tcW w:w="869"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Caregivers and patients</w:t>
            </w:r>
          </w:p>
        </w:tc>
        <w:tc>
          <w:tcPr>
            <w:tcW w:w="141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14 one-hour sessions (weekly in the ﬁrst two months, twice/month in the second two months, then every three weeks for the last two months)</w:t>
            </w:r>
          </w:p>
        </w:tc>
        <w:tc>
          <w:tcPr>
            <w:tcW w:w="850"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over six months</w:t>
            </w:r>
          </w:p>
        </w:tc>
        <w:tc>
          <w:tcPr>
            <w:tcW w:w="115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individual family session in a bifocal format</w:t>
            </w:r>
          </w:p>
        </w:tc>
        <w:tc>
          <w:tcPr>
            <w:tcW w:w="943"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Researchers/ no training reported</w:t>
            </w:r>
          </w:p>
        </w:tc>
      </w:tr>
      <w:tr w:rsidR="00B554EB" w:rsidRPr="00B554EB" w:rsidTr="00100AF0">
        <w:trPr>
          <w:trHeight w:val="1067"/>
        </w:trPr>
        <w:tc>
          <w:tcPr>
            <w:tcW w:w="704" w:type="dxa"/>
          </w:tcPr>
          <w:p w:rsidR="00B554EB" w:rsidRPr="00B554EB" w:rsidRDefault="00B554EB" w:rsidP="00B554EB">
            <w:pPr>
              <w:rPr>
                <w:rFonts w:ascii="Arial" w:eastAsia="Calibri" w:hAnsi="Arial" w:cs="Arial"/>
                <w:sz w:val="16"/>
                <w:szCs w:val="16"/>
              </w:rPr>
            </w:pPr>
            <w:r w:rsidRPr="00B554EB">
              <w:rPr>
                <w:sz w:val="16"/>
                <w:szCs w:val="16"/>
                <w:lang w:eastAsia="en-GB"/>
              </w:rPr>
              <w:t xml:space="preserve">Hasan, et al. (2014) </w:t>
            </w:r>
          </w:p>
        </w:tc>
        <w:tc>
          <w:tcPr>
            <w:tcW w:w="1492" w:type="dxa"/>
          </w:tcPr>
          <w:p w:rsidR="00B554EB" w:rsidRPr="00B554EB" w:rsidRDefault="00B554EB" w:rsidP="00B554EB">
            <w:pPr>
              <w:rPr>
                <w:rFonts w:ascii="Arial" w:eastAsia="Calibri" w:hAnsi="Arial" w:cs="Arial"/>
                <w:sz w:val="12"/>
                <w:szCs w:val="12"/>
              </w:rPr>
            </w:pPr>
            <w:proofErr w:type="gramStart"/>
            <w:r w:rsidRPr="00B554EB">
              <w:rPr>
                <w:rFonts w:ascii="Arial" w:eastAsia="Calibri" w:hAnsi="Arial" w:cs="Arial"/>
                <w:sz w:val="12"/>
                <w:szCs w:val="12"/>
              </w:rPr>
              <w:t>based</w:t>
            </w:r>
            <w:proofErr w:type="gramEnd"/>
            <w:r w:rsidRPr="00B554EB">
              <w:rPr>
                <w:rFonts w:ascii="Arial" w:eastAsia="Calibri" w:hAnsi="Arial" w:cs="Arial"/>
                <w:sz w:val="12"/>
                <w:szCs w:val="12"/>
              </w:rPr>
              <w:t xml:space="preserve"> on the framework of Atkinson and </w:t>
            </w:r>
            <w:proofErr w:type="spellStart"/>
            <w:r w:rsidRPr="00B554EB">
              <w:rPr>
                <w:rFonts w:ascii="Arial" w:eastAsia="Calibri" w:hAnsi="Arial" w:cs="Arial"/>
                <w:sz w:val="12"/>
                <w:szCs w:val="12"/>
              </w:rPr>
              <w:t>Coia</w:t>
            </w:r>
            <w:proofErr w:type="spellEnd"/>
            <w:r w:rsidRPr="00B554EB">
              <w:rPr>
                <w:rFonts w:ascii="Arial" w:eastAsia="Calibri" w:hAnsi="Arial" w:cs="Arial"/>
                <w:sz w:val="12"/>
                <w:szCs w:val="12"/>
              </w:rPr>
              <w:t xml:space="preserve"> [24]. it covers Blooms taxonomy of learning domains</w:t>
            </w:r>
          </w:p>
        </w:tc>
        <w:tc>
          <w:tcPr>
            <w:tcW w:w="104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 by booklet</w:t>
            </w:r>
          </w:p>
        </w:tc>
        <w:tc>
          <w:tcPr>
            <w:tcW w:w="115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 +  stress management strategies +  problem-solving intervention</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individual</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Community/ sent to patients’ home</w:t>
            </w:r>
          </w:p>
        </w:tc>
        <w:tc>
          <w:tcPr>
            <w:tcW w:w="869"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Caregivers and patients</w:t>
            </w:r>
          </w:p>
        </w:tc>
        <w:tc>
          <w:tcPr>
            <w:tcW w:w="141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a psycho-educational</w:t>
            </w:r>
          </w:p>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 xml:space="preserve">booklets  each fortnight </w:t>
            </w:r>
          </w:p>
        </w:tc>
        <w:tc>
          <w:tcPr>
            <w:tcW w:w="850"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12 weeks</w:t>
            </w:r>
          </w:p>
        </w:tc>
        <w:tc>
          <w:tcPr>
            <w:tcW w:w="115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booklet</w:t>
            </w:r>
          </w:p>
        </w:tc>
        <w:tc>
          <w:tcPr>
            <w:tcW w:w="943"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Not applicable</w:t>
            </w:r>
          </w:p>
        </w:tc>
      </w:tr>
      <w:tr w:rsidR="00B554EB" w:rsidRPr="00B554EB" w:rsidTr="00100AF0">
        <w:trPr>
          <w:trHeight w:val="536"/>
        </w:trPr>
        <w:tc>
          <w:tcPr>
            <w:tcW w:w="704" w:type="dxa"/>
          </w:tcPr>
          <w:p w:rsidR="00B554EB" w:rsidRPr="00B554EB" w:rsidRDefault="00B554EB" w:rsidP="00B554EB">
            <w:pPr>
              <w:rPr>
                <w:rFonts w:ascii="Arial" w:eastAsia="Calibri" w:hAnsi="Arial" w:cs="Arial"/>
                <w:sz w:val="16"/>
                <w:szCs w:val="16"/>
              </w:rPr>
            </w:pPr>
            <w:proofErr w:type="spellStart"/>
            <w:r w:rsidRPr="00B554EB">
              <w:rPr>
                <w:sz w:val="16"/>
                <w:szCs w:val="16"/>
                <w:lang w:eastAsia="en-GB"/>
              </w:rPr>
              <w:t>Soliman</w:t>
            </w:r>
            <w:proofErr w:type="spellEnd"/>
            <w:r w:rsidRPr="00B554EB">
              <w:rPr>
                <w:sz w:val="16"/>
                <w:szCs w:val="16"/>
                <w:lang w:eastAsia="en-GB"/>
              </w:rPr>
              <w:t xml:space="preserve"> et al., (2018)</w:t>
            </w:r>
          </w:p>
        </w:tc>
        <w:tc>
          <w:tcPr>
            <w:tcW w:w="149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Not reported</w:t>
            </w:r>
          </w:p>
        </w:tc>
        <w:tc>
          <w:tcPr>
            <w:tcW w:w="104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w:t>
            </w:r>
          </w:p>
        </w:tc>
        <w:tc>
          <w:tcPr>
            <w:tcW w:w="115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Mainly psychoeducation</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individual</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outpatient during follow-up</w:t>
            </w:r>
          </w:p>
        </w:tc>
        <w:tc>
          <w:tcPr>
            <w:tcW w:w="869"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Caregivers and patients</w:t>
            </w:r>
          </w:p>
        </w:tc>
        <w:tc>
          <w:tcPr>
            <w:tcW w:w="141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6 (one sessions/month)/ duration not reported</w:t>
            </w:r>
          </w:p>
        </w:tc>
        <w:tc>
          <w:tcPr>
            <w:tcW w:w="850"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6 months</w:t>
            </w:r>
          </w:p>
        </w:tc>
        <w:tc>
          <w:tcPr>
            <w:tcW w:w="115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 sessions during follow-up sessions</w:t>
            </w:r>
          </w:p>
        </w:tc>
        <w:tc>
          <w:tcPr>
            <w:tcW w:w="943"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psychiatrists</w:t>
            </w:r>
          </w:p>
        </w:tc>
      </w:tr>
      <w:tr w:rsidR="00B554EB" w:rsidRPr="00B554EB" w:rsidTr="00100AF0">
        <w:trPr>
          <w:trHeight w:val="399"/>
        </w:trPr>
        <w:tc>
          <w:tcPr>
            <w:tcW w:w="704"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fldChar w:fldCharType="begin"/>
            </w:r>
            <w:r w:rsidRPr="00B554EB">
              <w:rPr>
                <w:rFonts w:ascii="Arial" w:eastAsia="Calibri" w:hAnsi="Arial" w:cs="Arial"/>
                <w:sz w:val="12"/>
                <w:szCs w:val="12"/>
              </w:rPr>
              <w:instrText xml:space="preserve"> ADDIN EN.CITE &lt;EndNote&gt;&lt;Cite&gt;&lt;Author&gt;El-Shafei&lt;/Author&gt;&lt;Year&gt;2008&lt;/Year&gt;&lt;RecNum&gt;2677&lt;/RecNum&gt;&lt;DisplayText&gt;(32)&lt;/DisplayText&gt;&lt;record&gt;&lt;rec-number&gt;2677&lt;/rec-number&gt;&lt;foreign-keys&gt;&lt;key app="EN" db-id="x90vtxzxvxsed6ed2w9pwvf8sazv0va5ts2s" timestamp="0"&gt;2677&lt;/key&gt;&lt;/foreign-keys&gt;&lt;ref-type name="Journal Article"&gt;17&lt;/ref-type&gt;&lt;contributors&gt;&lt;authors&gt;&lt;author&gt;El-Shafei, A.&lt;/author&gt;&lt;author&gt;Hussein, H.&lt;/author&gt;&lt;author&gt;Okasha, T.&lt;/author&gt;&lt;/authors&gt;&lt;/contributors&gt;&lt;titles&gt;&lt;title&gt;52 – Working with families of patients with schizophrenia: A rewarding alternative to classical community care in developing countries&lt;/title&gt;&lt;secondary-title&gt;Schizophrenia Research&lt;/secondary-title&gt;&lt;/titles&gt;&lt;periodical&gt;&lt;full-title&gt;Schizophrenia Research&lt;/full-title&gt;&lt;/periodical&gt;&lt;pages&gt;55&lt;/pages&gt;&lt;volume&gt;98&lt;/volume&gt;&lt;dates&gt;&lt;year&gt;2008&lt;/year&gt;&lt;pub-dates&gt;&lt;date&gt;2008/02/01/&lt;/date&gt;&lt;/pub-dates&gt;&lt;/dates&gt;&lt;isbn&gt;0920-9964&lt;/isbn&gt;&lt;urls&gt;&lt;related-urls&gt;&lt;url&gt;http://www.sciencedirect.com/science/article/pii/S0920996407006834&lt;/url&gt;&lt;/related-urls&gt;&lt;/urls&gt;&lt;electronic-resource-num&gt;https://doi.org/10.1016/j.schres.2007.12.119&lt;/electronic-resource-num&gt;&lt;/record&gt;&lt;/Cite&gt;&lt;/EndNote&gt;</w:instrText>
            </w:r>
            <w:r w:rsidRPr="00B554EB">
              <w:rPr>
                <w:rFonts w:ascii="Arial" w:eastAsia="Calibri" w:hAnsi="Arial" w:cs="Arial"/>
                <w:sz w:val="12"/>
                <w:szCs w:val="12"/>
              </w:rPr>
              <w:fldChar w:fldCharType="separate"/>
            </w:r>
            <w:r w:rsidRPr="00B554EB">
              <w:rPr>
                <w:rFonts w:ascii="Arial" w:eastAsia="Calibri" w:hAnsi="Arial" w:cs="Arial"/>
                <w:noProof/>
                <w:sz w:val="12"/>
                <w:szCs w:val="12"/>
              </w:rPr>
              <w:t>(32)</w:t>
            </w:r>
            <w:r w:rsidRPr="00B554EB">
              <w:rPr>
                <w:rFonts w:ascii="Arial" w:eastAsia="Calibri" w:hAnsi="Arial" w:cs="Arial"/>
                <w:sz w:val="12"/>
                <w:szCs w:val="12"/>
              </w:rPr>
              <w:fldChar w:fldCharType="end"/>
            </w:r>
          </w:p>
        </w:tc>
        <w:tc>
          <w:tcPr>
            <w:tcW w:w="1492" w:type="dxa"/>
          </w:tcPr>
          <w:p w:rsidR="00B554EB" w:rsidRPr="00B554EB" w:rsidRDefault="00B554EB" w:rsidP="00B554EB">
            <w:pPr>
              <w:rPr>
                <w:rFonts w:ascii="Arial" w:eastAsia="Calibri" w:hAnsi="Arial" w:cs="Arial"/>
                <w:sz w:val="12"/>
                <w:szCs w:val="12"/>
              </w:rPr>
            </w:pPr>
          </w:p>
        </w:tc>
        <w:tc>
          <w:tcPr>
            <w:tcW w:w="104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 and counselling sessions</w:t>
            </w:r>
          </w:p>
        </w:tc>
        <w:tc>
          <w:tcPr>
            <w:tcW w:w="1152"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Psychoeducation+ counselling sessions</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individual</w:t>
            </w:r>
          </w:p>
        </w:tc>
        <w:tc>
          <w:tcPr>
            <w:tcW w:w="83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outpatient</w:t>
            </w:r>
          </w:p>
        </w:tc>
        <w:tc>
          <w:tcPr>
            <w:tcW w:w="869"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Caregivers and patients</w:t>
            </w:r>
          </w:p>
        </w:tc>
        <w:tc>
          <w:tcPr>
            <w:tcW w:w="141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Not reported</w:t>
            </w:r>
          </w:p>
        </w:tc>
        <w:tc>
          <w:tcPr>
            <w:tcW w:w="850"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Not reported</w:t>
            </w:r>
          </w:p>
        </w:tc>
        <w:tc>
          <w:tcPr>
            <w:tcW w:w="1158"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brief education + counselling sessions</w:t>
            </w:r>
          </w:p>
        </w:tc>
        <w:tc>
          <w:tcPr>
            <w:tcW w:w="943" w:type="dxa"/>
          </w:tcPr>
          <w:p w:rsidR="00B554EB" w:rsidRPr="00B554EB" w:rsidRDefault="00B554EB" w:rsidP="00B554EB">
            <w:pPr>
              <w:rPr>
                <w:rFonts w:ascii="Arial" w:eastAsia="Calibri" w:hAnsi="Arial" w:cs="Arial"/>
                <w:sz w:val="12"/>
                <w:szCs w:val="12"/>
              </w:rPr>
            </w:pPr>
            <w:r w:rsidRPr="00B554EB">
              <w:rPr>
                <w:rFonts w:ascii="Arial" w:eastAsia="Calibri" w:hAnsi="Arial" w:cs="Arial"/>
                <w:sz w:val="12"/>
                <w:szCs w:val="12"/>
              </w:rPr>
              <w:t>researchers</w:t>
            </w:r>
          </w:p>
        </w:tc>
      </w:tr>
    </w:tbl>
    <w:p w:rsidR="00B554EB" w:rsidRPr="00B554EB" w:rsidRDefault="00B554EB" w:rsidP="00B554EB">
      <w:pPr>
        <w:spacing w:line="360" w:lineRule="auto"/>
        <w:rPr>
          <w:sz w:val="20"/>
          <w:szCs w:val="20"/>
          <w:lang w:eastAsia="en-GB"/>
        </w:rPr>
      </w:pPr>
    </w:p>
    <w:p w:rsidR="00B554EB" w:rsidRPr="00B554EB" w:rsidRDefault="00B554EB" w:rsidP="00B554EB">
      <w:pPr>
        <w:spacing w:line="360" w:lineRule="auto"/>
        <w:ind w:firstLine="284"/>
        <w:rPr>
          <w:sz w:val="20"/>
          <w:szCs w:val="20"/>
          <w:lang w:eastAsia="en-GB"/>
        </w:rPr>
      </w:pPr>
    </w:p>
    <w:p w:rsidR="00B554EB" w:rsidRDefault="00B554EB" w:rsidP="00EB53C7">
      <w:pPr>
        <w:rPr>
          <w:rFonts w:asciiTheme="minorBidi" w:hAnsiTheme="minorBidi" w:cstheme="minorBidi"/>
        </w:rPr>
      </w:pPr>
    </w:p>
    <w:p w:rsidR="00B554EB" w:rsidRDefault="00B554EB" w:rsidP="00EB53C7">
      <w:pPr>
        <w:rPr>
          <w:rFonts w:asciiTheme="minorBidi" w:hAnsiTheme="minorBidi" w:cstheme="minorBidi"/>
        </w:rPr>
      </w:pPr>
    </w:p>
    <w:p w:rsidR="00B554EB" w:rsidRPr="00BA7315" w:rsidRDefault="00B554EB" w:rsidP="00EB53C7">
      <w:pPr>
        <w:rPr>
          <w:rFonts w:asciiTheme="minorHAnsi" w:hAnsiTheme="minorHAnsi" w:cstheme="minorHAnsi"/>
        </w:rPr>
      </w:pPr>
    </w:p>
    <w:p w:rsidR="00EB53C7" w:rsidRPr="00BA7315" w:rsidRDefault="00725B2B" w:rsidP="00EB53C7">
      <w:pPr>
        <w:rPr>
          <w:rFonts w:asciiTheme="minorHAnsi" w:hAnsiTheme="minorHAnsi" w:cstheme="minorHAnsi"/>
        </w:rPr>
      </w:pPr>
      <w:r w:rsidRPr="00BA7315">
        <w:rPr>
          <w:rFonts w:asciiTheme="minorHAnsi" w:hAnsiTheme="minorHAnsi" w:cstheme="minorHAnsi"/>
        </w:rPr>
        <w:t>Table 6</w:t>
      </w:r>
      <w:r w:rsidR="00EB53C7" w:rsidRPr="00BA7315">
        <w:rPr>
          <w:rFonts w:asciiTheme="minorHAnsi" w:hAnsiTheme="minorHAnsi" w:cstheme="minorHAnsi"/>
        </w:rPr>
        <w:t>: Components of the Interventions</w:t>
      </w:r>
    </w:p>
    <w:p w:rsidR="00EB53C7" w:rsidRDefault="00EB53C7" w:rsidP="004E14F0"/>
    <w:tbl>
      <w:tblPr>
        <w:tblStyle w:val="TableGrid"/>
        <w:tblW w:w="0" w:type="auto"/>
        <w:tblLook w:val="04A0" w:firstRow="1" w:lastRow="0" w:firstColumn="1" w:lastColumn="0" w:noHBand="0" w:noVBand="1"/>
      </w:tblPr>
      <w:tblGrid>
        <w:gridCol w:w="1290"/>
        <w:gridCol w:w="1479"/>
        <w:gridCol w:w="1313"/>
        <w:gridCol w:w="1456"/>
        <w:gridCol w:w="1401"/>
        <w:gridCol w:w="1358"/>
      </w:tblGrid>
      <w:tr w:rsidR="00EB53C7" w:rsidRPr="00C62510" w:rsidTr="00100AF0">
        <w:tc>
          <w:tcPr>
            <w:tcW w:w="1290"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Author</w:t>
            </w:r>
          </w:p>
        </w:tc>
        <w:tc>
          <w:tcPr>
            <w:tcW w:w="1479"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Psychoeducation</w:t>
            </w:r>
          </w:p>
        </w:tc>
        <w:tc>
          <w:tcPr>
            <w:tcW w:w="1313"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Problem-solving skills</w:t>
            </w:r>
          </w:p>
        </w:tc>
        <w:tc>
          <w:tcPr>
            <w:tcW w:w="1456"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Communication</w:t>
            </w:r>
          </w:p>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skills</w:t>
            </w:r>
          </w:p>
        </w:tc>
        <w:tc>
          <w:tcPr>
            <w:tcW w:w="1401"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Stress</w:t>
            </w:r>
          </w:p>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management</w:t>
            </w:r>
          </w:p>
        </w:tc>
        <w:tc>
          <w:tcPr>
            <w:tcW w:w="1358"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counselling</w:t>
            </w:r>
          </w:p>
        </w:tc>
      </w:tr>
      <w:tr w:rsidR="00EB53C7" w:rsidRPr="00C62510" w:rsidTr="00100AF0">
        <w:tc>
          <w:tcPr>
            <w:tcW w:w="1290"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Rami, et al. (2018)</w:t>
            </w:r>
          </w:p>
        </w:tc>
        <w:tc>
          <w:tcPr>
            <w:tcW w:w="1479"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313"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456"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401" w:type="dxa"/>
          </w:tcPr>
          <w:p w:rsidR="00EB53C7" w:rsidRPr="00C62510" w:rsidRDefault="00EB53C7" w:rsidP="00100AF0">
            <w:pPr>
              <w:jc w:val="both"/>
              <w:rPr>
                <w:rFonts w:asciiTheme="minorBidi" w:hAnsiTheme="minorBidi"/>
                <w:sz w:val="16"/>
                <w:szCs w:val="16"/>
              </w:rPr>
            </w:pPr>
          </w:p>
        </w:tc>
        <w:tc>
          <w:tcPr>
            <w:tcW w:w="1358" w:type="dxa"/>
          </w:tcPr>
          <w:p w:rsidR="00EB53C7" w:rsidRPr="00C62510" w:rsidRDefault="00EB53C7" w:rsidP="00100AF0">
            <w:pPr>
              <w:jc w:val="both"/>
              <w:rPr>
                <w:rFonts w:asciiTheme="minorBidi" w:hAnsiTheme="minorBidi"/>
                <w:sz w:val="16"/>
                <w:szCs w:val="16"/>
              </w:rPr>
            </w:pPr>
          </w:p>
        </w:tc>
      </w:tr>
      <w:tr w:rsidR="00EB53C7" w:rsidRPr="00C62510" w:rsidTr="00100AF0">
        <w:tc>
          <w:tcPr>
            <w:tcW w:w="1290"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Hasan, et al. (2014)</w:t>
            </w:r>
          </w:p>
        </w:tc>
        <w:tc>
          <w:tcPr>
            <w:tcW w:w="1479"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313"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456" w:type="dxa"/>
          </w:tcPr>
          <w:p w:rsidR="00EB53C7" w:rsidRPr="00C62510" w:rsidRDefault="00EB53C7" w:rsidP="00100AF0">
            <w:pPr>
              <w:jc w:val="both"/>
              <w:rPr>
                <w:rFonts w:asciiTheme="minorBidi" w:hAnsiTheme="minorBidi"/>
                <w:sz w:val="16"/>
                <w:szCs w:val="16"/>
              </w:rPr>
            </w:pPr>
          </w:p>
        </w:tc>
        <w:tc>
          <w:tcPr>
            <w:tcW w:w="1401"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358" w:type="dxa"/>
          </w:tcPr>
          <w:p w:rsidR="00EB53C7" w:rsidRPr="00C62510" w:rsidRDefault="00EB53C7" w:rsidP="00100AF0">
            <w:pPr>
              <w:jc w:val="both"/>
              <w:rPr>
                <w:rFonts w:asciiTheme="minorBidi" w:hAnsiTheme="minorBidi"/>
                <w:sz w:val="16"/>
                <w:szCs w:val="16"/>
              </w:rPr>
            </w:pPr>
          </w:p>
        </w:tc>
      </w:tr>
      <w:tr w:rsidR="00EB53C7" w:rsidRPr="00C62510" w:rsidTr="00100AF0">
        <w:tc>
          <w:tcPr>
            <w:tcW w:w="1290" w:type="dxa"/>
          </w:tcPr>
          <w:p w:rsidR="00EB53C7" w:rsidRPr="00C62510" w:rsidRDefault="00EB53C7" w:rsidP="00100AF0">
            <w:pPr>
              <w:jc w:val="both"/>
              <w:rPr>
                <w:rFonts w:asciiTheme="minorBidi" w:hAnsiTheme="minorBidi"/>
                <w:sz w:val="16"/>
                <w:szCs w:val="16"/>
              </w:rPr>
            </w:pPr>
            <w:proofErr w:type="spellStart"/>
            <w:r w:rsidRPr="00C62510">
              <w:rPr>
                <w:rFonts w:asciiTheme="minorBidi" w:hAnsiTheme="minorBidi"/>
                <w:sz w:val="16"/>
                <w:szCs w:val="16"/>
              </w:rPr>
              <w:t>Soliman</w:t>
            </w:r>
            <w:proofErr w:type="spellEnd"/>
            <w:r w:rsidRPr="00C62510">
              <w:rPr>
                <w:rFonts w:asciiTheme="minorBidi" w:hAnsiTheme="minorBidi"/>
                <w:sz w:val="16"/>
                <w:szCs w:val="16"/>
              </w:rPr>
              <w:t xml:space="preserve"> et al. (2018)</w:t>
            </w:r>
          </w:p>
        </w:tc>
        <w:tc>
          <w:tcPr>
            <w:tcW w:w="1479"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313" w:type="dxa"/>
          </w:tcPr>
          <w:p w:rsidR="00EB53C7" w:rsidRPr="00C62510" w:rsidRDefault="00EB53C7" w:rsidP="00100AF0">
            <w:pPr>
              <w:jc w:val="both"/>
              <w:rPr>
                <w:rFonts w:asciiTheme="minorBidi" w:hAnsiTheme="minorBidi"/>
                <w:sz w:val="16"/>
                <w:szCs w:val="16"/>
              </w:rPr>
            </w:pPr>
          </w:p>
        </w:tc>
        <w:tc>
          <w:tcPr>
            <w:tcW w:w="1456" w:type="dxa"/>
          </w:tcPr>
          <w:p w:rsidR="00EB53C7" w:rsidRPr="00C62510" w:rsidRDefault="00EB53C7" w:rsidP="00100AF0">
            <w:pPr>
              <w:jc w:val="both"/>
              <w:rPr>
                <w:rFonts w:asciiTheme="minorBidi" w:hAnsiTheme="minorBidi"/>
                <w:sz w:val="16"/>
                <w:szCs w:val="16"/>
              </w:rPr>
            </w:pPr>
          </w:p>
        </w:tc>
        <w:tc>
          <w:tcPr>
            <w:tcW w:w="1401" w:type="dxa"/>
          </w:tcPr>
          <w:p w:rsidR="00EB53C7" w:rsidRPr="00C62510" w:rsidRDefault="00EB53C7" w:rsidP="00100AF0">
            <w:pPr>
              <w:jc w:val="both"/>
              <w:rPr>
                <w:rFonts w:asciiTheme="minorBidi" w:hAnsiTheme="minorBidi"/>
                <w:sz w:val="16"/>
                <w:szCs w:val="16"/>
              </w:rPr>
            </w:pPr>
          </w:p>
        </w:tc>
        <w:tc>
          <w:tcPr>
            <w:tcW w:w="1358"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r>
      <w:tr w:rsidR="00EB53C7" w:rsidRPr="00C62510" w:rsidTr="00100AF0">
        <w:tc>
          <w:tcPr>
            <w:tcW w:w="1290" w:type="dxa"/>
          </w:tcPr>
          <w:p w:rsidR="00EB53C7" w:rsidRPr="00C62510" w:rsidRDefault="00EB53C7" w:rsidP="00100AF0">
            <w:pPr>
              <w:jc w:val="both"/>
              <w:rPr>
                <w:rFonts w:asciiTheme="minorBidi" w:hAnsiTheme="minorBidi"/>
                <w:sz w:val="16"/>
                <w:szCs w:val="16"/>
              </w:rPr>
            </w:pPr>
            <w:r w:rsidRPr="00C62510">
              <w:rPr>
                <w:rFonts w:asciiTheme="minorBidi" w:hAnsiTheme="minorBidi"/>
                <w:noProof/>
                <w:sz w:val="16"/>
                <w:szCs w:val="16"/>
              </w:rPr>
              <w:t>El-Shafei, et al. (2008)</w:t>
            </w:r>
          </w:p>
        </w:tc>
        <w:tc>
          <w:tcPr>
            <w:tcW w:w="1479" w:type="dxa"/>
          </w:tcPr>
          <w:p w:rsidR="00EB53C7" w:rsidRPr="00C62510" w:rsidRDefault="00EB53C7" w:rsidP="00100AF0">
            <w:pPr>
              <w:jc w:val="both"/>
              <w:rPr>
                <w:rFonts w:asciiTheme="minorBidi" w:hAnsiTheme="minorBidi"/>
                <w:sz w:val="16"/>
                <w:szCs w:val="16"/>
              </w:rPr>
            </w:pPr>
            <w:r w:rsidRPr="00C62510">
              <w:rPr>
                <w:rFonts w:asciiTheme="minorBidi" w:hAnsiTheme="minorBidi"/>
                <w:sz w:val="16"/>
                <w:szCs w:val="16"/>
              </w:rPr>
              <w:t>√</w:t>
            </w:r>
          </w:p>
        </w:tc>
        <w:tc>
          <w:tcPr>
            <w:tcW w:w="1313" w:type="dxa"/>
          </w:tcPr>
          <w:p w:rsidR="00EB53C7" w:rsidRPr="00C62510" w:rsidRDefault="00EB53C7" w:rsidP="00100AF0">
            <w:pPr>
              <w:jc w:val="both"/>
              <w:rPr>
                <w:rFonts w:asciiTheme="minorBidi" w:hAnsiTheme="minorBidi"/>
                <w:sz w:val="16"/>
                <w:szCs w:val="16"/>
              </w:rPr>
            </w:pPr>
          </w:p>
        </w:tc>
        <w:tc>
          <w:tcPr>
            <w:tcW w:w="1456" w:type="dxa"/>
          </w:tcPr>
          <w:p w:rsidR="00EB53C7" w:rsidRPr="00C62510" w:rsidRDefault="00EB53C7" w:rsidP="00100AF0">
            <w:pPr>
              <w:jc w:val="both"/>
              <w:rPr>
                <w:rFonts w:asciiTheme="minorBidi" w:hAnsiTheme="minorBidi"/>
                <w:sz w:val="16"/>
                <w:szCs w:val="16"/>
              </w:rPr>
            </w:pPr>
          </w:p>
        </w:tc>
        <w:tc>
          <w:tcPr>
            <w:tcW w:w="1401" w:type="dxa"/>
          </w:tcPr>
          <w:p w:rsidR="00EB53C7" w:rsidRPr="00C62510" w:rsidRDefault="00EB53C7" w:rsidP="00100AF0">
            <w:pPr>
              <w:jc w:val="both"/>
              <w:rPr>
                <w:rFonts w:asciiTheme="minorBidi" w:hAnsiTheme="minorBidi"/>
                <w:sz w:val="16"/>
                <w:szCs w:val="16"/>
              </w:rPr>
            </w:pPr>
          </w:p>
        </w:tc>
        <w:tc>
          <w:tcPr>
            <w:tcW w:w="1358" w:type="dxa"/>
          </w:tcPr>
          <w:p w:rsidR="00EB53C7" w:rsidRPr="00C62510" w:rsidRDefault="00EB53C7" w:rsidP="00100AF0">
            <w:pPr>
              <w:jc w:val="both"/>
              <w:rPr>
                <w:rFonts w:asciiTheme="minorBidi" w:hAnsiTheme="minorBidi"/>
                <w:sz w:val="16"/>
                <w:szCs w:val="16"/>
              </w:rPr>
            </w:pPr>
          </w:p>
        </w:tc>
      </w:tr>
    </w:tbl>
    <w:p w:rsidR="00DF18C4" w:rsidRDefault="00DF18C4" w:rsidP="00725B2B"/>
    <w:p w:rsidR="00EB53C7" w:rsidRDefault="00EB53C7" w:rsidP="004E14F0"/>
    <w:tbl>
      <w:tblPr>
        <w:tblStyle w:val="TableGrid"/>
        <w:tblpPr w:leftFromText="180" w:rightFromText="180" w:vertAnchor="page" w:horzAnchor="margin" w:tblpY="2911"/>
        <w:tblW w:w="0" w:type="auto"/>
        <w:tblLook w:val="04A0" w:firstRow="1" w:lastRow="0" w:firstColumn="1" w:lastColumn="0" w:noHBand="0" w:noVBand="1"/>
      </w:tblPr>
      <w:tblGrid>
        <w:gridCol w:w="1299"/>
        <w:gridCol w:w="1291"/>
        <w:gridCol w:w="1292"/>
        <w:gridCol w:w="1277"/>
        <w:gridCol w:w="1281"/>
        <w:gridCol w:w="1286"/>
        <w:gridCol w:w="1290"/>
      </w:tblGrid>
      <w:tr w:rsidR="00BA7315" w:rsidRPr="00725B2B" w:rsidTr="00BA7315">
        <w:tc>
          <w:tcPr>
            <w:tcW w:w="1299" w:type="dxa"/>
          </w:tcPr>
          <w:p w:rsidR="00BA7315" w:rsidRPr="00725B2B" w:rsidRDefault="00BA7315" w:rsidP="00BA7315">
            <w:pPr>
              <w:spacing w:line="360" w:lineRule="auto"/>
              <w:jc w:val="both"/>
              <w:rPr>
                <w:lang w:eastAsia="en-GB"/>
              </w:rPr>
            </w:pPr>
            <w:r w:rsidRPr="00725B2B">
              <w:rPr>
                <w:sz w:val="16"/>
                <w:szCs w:val="16"/>
                <w:lang w:eastAsia="en-GB"/>
              </w:rPr>
              <w:lastRenderedPageBreak/>
              <w:t>Cultural adaptation</w:t>
            </w:r>
          </w:p>
        </w:tc>
        <w:tc>
          <w:tcPr>
            <w:tcW w:w="1291" w:type="dxa"/>
          </w:tcPr>
          <w:p w:rsidR="00BA7315" w:rsidRPr="00725B2B" w:rsidRDefault="00BA7315" w:rsidP="00BA7315">
            <w:pPr>
              <w:spacing w:line="360" w:lineRule="auto"/>
              <w:jc w:val="both"/>
              <w:rPr>
                <w:sz w:val="16"/>
                <w:szCs w:val="16"/>
                <w:lang w:eastAsia="en-GB"/>
              </w:rPr>
            </w:pPr>
            <w:r w:rsidRPr="00725B2B">
              <w:rPr>
                <w:sz w:val="16"/>
                <w:szCs w:val="16"/>
                <w:lang w:eastAsia="en-GB"/>
              </w:rPr>
              <w:t>language</w:t>
            </w:r>
          </w:p>
        </w:tc>
        <w:tc>
          <w:tcPr>
            <w:tcW w:w="1292" w:type="dxa"/>
          </w:tcPr>
          <w:p w:rsidR="00BA7315" w:rsidRPr="00725B2B" w:rsidRDefault="00BA7315" w:rsidP="00BA7315">
            <w:pPr>
              <w:spacing w:line="360" w:lineRule="auto"/>
              <w:jc w:val="both"/>
              <w:rPr>
                <w:sz w:val="16"/>
                <w:szCs w:val="16"/>
                <w:lang w:eastAsia="en-GB"/>
              </w:rPr>
            </w:pPr>
            <w:r w:rsidRPr="00725B2B">
              <w:rPr>
                <w:sz w:val="16"/>
                <w:szCs w:val="16"/>
                <w:lang w:eastAsia="en-GB"/>
              </w:rPr>
              <w:t>Concepts and illness models</w:t>
            </w:r>
          </w:p>
        </w:tc>
        <w:tc>
          <w:tcPr>
            <w:tcW w:w="1277" w:type="dxa"/>
          </w:tcPr>
          <w:p w:rsidR="00BA7315" w:rsidRPr="00725B2B" w:rsidRDefault="00BA7315" w:rsidP="00BA7315">
            <w:pPr>
              <w:spacing w:line="360" w:lineRule="auto"/>
              <w:jc w:val="both"/>
              <w:rPr>
                <w:sz w:val="16"/>
                <w:szCs w:val="16"/>
                <w:lang w:eastAsia="en-GB"/>
              </w:rPr>
            </w:pPr>
            <w:r w:rsidRPr="00725B2B">
              <w:rPr>
                <w:sz w:val="16"/>
                <w:szCs w:val="16"/>
                <w:lang w:eastAsia="en-GB"/>
              </w:rPr>
              <w:t>family</w:t>
            </w:r>
          </w:p>
        </w:tc>
        <w:tc>
          <w:tcPr>
            <w:tcW w:w="1281" w:type="dxa"/>
          </w:tcPr>
          <w:p w:rsidR="00BA7315" w:rsidRPr="00725B2B" w:rsidRDefault="00BA7315" w:rsidP="00BA7315">
            <w:pPr>
              <w:spacing w:line="360" w:lineRule="auto"/>
              <w:jc w:val="both"/>
              <w:rPr>
                <w:sz w:val="16"/>
                <w:szCs w:val="16"/>
                <w:lang w:eastAsia="en-GB"/>
              </w:rPr>
            </w:pPr>
            <w:r w:rsidRPr="00725B2B">
              <w:rPr>
                <w:sz w:val="16"/>
                <w:szCs w:val="16"/>
                <w:lang w:eastAsia="en-GB"/>
              </w:rPr>
              <w:t>content</w:t>
            </w:r>
          </w:p>
        </w:tc>
        <w:tc>
          <w:tcPr>
            <w:tcW w:w="1286" w:type="dxa"/>
          </w:tcPr>
          <w:p w:rsidR="00BA7315" w:rsidRPr="00725B2B" w:rsidRDefault="00BA7315" w:rsidP="00BA7315">
            <w:pPr>
              <w:spacing w:line="360" w:lineRule="auto"/>
              <w:jc w:val="both"/>
              <w:rPr>
                <w:sz w:val="16"/>
                <w:szCs w:val="16"/>
                <w:lang w:eastAsia="en-GB"/>
              </w:rPr>
            </w:pPr>
            <w:r w:rsidRPr="00725B2B">
              <w:rPr>
                <w:sz w:val="16"/>
                <w:szCs w:val="16"/>
                <w:lang w:eastAsia="en-GB"/>
              </w:rPr>
              <w:t xml:space="preserve">Context and delivery </w:t>
            </w:r>
          </w:p>
        </w:tc>
        <w:tc>
          <w:tcPr>
            <w:tcW w:w="1290" w:type="dxa"/>
          </w:tcPr>
          <w:p w:rsidR="00BA7315" w:rsidRPr="00725B2B" w:rsidRDefault="00BA7315" w:rsidP="00BA7315">
            <w:pPr>
              <w:spacing w:line="360" w:lineRule="auto"/>
              <w:jc w:val="both"/>
              <w:rPr>
                <w:sz w:val="16"/>
                <w:szCs w:val="16"/>
                <w:lang w:eastAsia="en-GB"/>
              </w:rPr>
            </w:pPr>
            <w:r w:rsidRPr="00725B2B">
              <w:rPr>
                <w:sz w:val="16"/>
                <w:szCs w:val="16"/>
                <w:lang w:eastAsia="en-GB"/>
              </w:rPr>
              <w:t>Cultural norms and practices</w:t>
            </w:r>
          </w:p>
        </w:tc>
      </w:tr>
      <w:tr w:rsidR="00BA7315" w:rsidRPr="00725B2B" w:rsidTr="00BA7315">
        <w:tc>
          <w:tcPr>
            <w:tcW w:w="1299" w:type="dxa"/>
          </w:tcPr>
          <w:p w:rsidR="00BA7315" w:rsidRPr="00725B2B" w:rsidRDefault="00BA7315" w:rsidP="00BA7315">
            <w:pPr>
              <w:spacing w:line="360" w:lineRule="auto"/>
              <w:jc w:val="both"/>
              <w:rPr>
                <w:lang w:eastAsia="en-GB"/>
              </w:rPr>
            </w:pPr>
            <w:r w:rsidRPr="00725B2B">
              <w:rPr>
                <w:sz w:val="16"/>
                <w:szCs w:val="16"/>
                <w:lang w:eastAsia="en-GB"/>
              </w:rPr>
              <w:t>Rami, et al. (2018)</w:t>
            </w:r>
          </w:p>
        </w:tc>
        <w:tc>
          <w:tcPr>
            <w:tcW w:w="1291"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2"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77"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81"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86"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0" w:type="dxa"/>
          </w:tcPr>
          <w:p w:rsidR="00BA7315" w:rsidRPr="00725B2B" w:rsidRDefault="00BA7315" w:rsidP="00BA7315">
            <w:pPr>
              <w:spacing w:line="360" w:lineRule="auto"/>
              <w:jc w:val="both"/>
              <w:rPr>
                <w:lang w:eastAsia="en-GB"/>
              </w:rPr>
            </w:pPr>
            <w:r w:rsidRPr="00725B2B">
              <w:rPr>
                <w:sz w:val="16"/>
                <w:szCs w:val="16"/>
                <w:lang w:eastAsia="en-GB"/>
              </w:rPr>
              <w:t>√</w:t>
            </w:r>
          </w:p>
        </w:tc>
      </w:tr>
      <w:tr w:rsidR="00BA7315" w:rsidRPr="00725B2B" w:rsidTr="00BA7315">
        <w:tc>
          <w:tcPr>
            <w:tcW w:w="1299" w:type="dxa"/>
          </w:tcPr>
          <w:p w:rsidR="00BA7315" w:rsidRPr="00725B2B" w:rsidRDefault="00BA7315" w:rsidP="00BA7315">
            <w:pPr>
              <w:spacing w:line="360" w:lineRule="auto"/>
              <w:jc w:val="both"/>
              <w:rPr>
                <w:sz w:val="16"/>
                <w:szCs w:val="16"/>
                <w:lang w:eastAsia="en-GB"/>
              </w:rPr>
            </w:pPr>
            <w:r w:rsidRPr="00725B2B">
              <w:rPr>
                <w:sz w:val="16"/>
                <w:szCs w:val="16"/>
                <w:lang w:eastAsia="en-GB"/>
              </w:rPr>
              <w:t>Hasan ,et al. (2014)</w:t>
            </w:r>
          </w:p>
        </w:tc>
        <w:tc>
          <w:tcPr>
            <w:tcW w:w="1291"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2"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77"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81"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86"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0" w:type="dxa"/>
          </w:tcPr>
          <w:p w:rsidR="00BA7315" w:rsidRPr="00725B2B" w:rsidRDefault="00BA7315" w:rsidP="00BA7315">
            <w:pPr>
              <w:spacing w:line="360" w:lineRule="auto"/>
              <w:jc w:val="both"/>
              <w:rPr>
                <w:lang w:eastAsia="en-GB"/>
              </w:rPr>
            </w:pPr>
            <w:r w:rsidRPr="00725B2B">
              <w:rPr>
                <w:sz w:val="16"/>
                <w:szCs w:val="16"/>
                <w:lang w:eastAsia="en-GB"/>
              </w:rPr>
              <w:t>√</w:t>
            </w:r>
          </w:p>
        </w:tc>
      </w:tr>
      <w:tr w:rsidR="00BA7315" w:rsidRPr="00725B2B" w:rsidTr="00BA7315">
        <w:tc>
          <w:tcPr>
            <w:tcW w:w="1299" w:type="dxa"/>
          </w:tcPr>
          <w:p w:rsidR="00BA7315" w:rsidRPr="00725B2B" w:rsidRDefault="00BA7315" w:rsidP="00BA7315">
            <w:pPr>
              <w:spacing w:line="360" w:lineRule="auto"/>
              <w:jc w:val="both"/>
              <w:rPr>
                <w:lang w:eastAsia="en-GB"/>
              </w:rPr>
            </w:pPr>
            <w:proofErr w:type="spellStart"/>
            <w:r w:rsidRPr="00725B2B">
              <w:rPr>
                <w:sz w:val="16"/>
                <w:szCs w:val="16"/>
                <w:lang w:eastAsia="en-GB"/>
              </w:rPr>
              <w:t>Soliman</w:t>
            </w:r>
            <w:proofErr w:type="spellEnd"/>
            <w:r w:rsidRPr="00725B2B">
              <w:rPr>
                <w:sz w:val="16"/>
                <w:szCs w:val="16"/>
                <w:lang w:eastAsia="en-GB"/>
              </w:rPr>
              <w:t xml:space="preserve"> et al., (2018)</w:t>
            </w:r>
          </w:p>
        </w:tc>
        <w:tc>
          <w:tcPr>
            <w:tcW w:w="1291"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2" w:type="dxa"/>
          </w:tcPr>
          <w:p w:rsidR="00BA7315" w:rsidRPr="00725B2B" w:rsidRDefault="00BA7315" w:rsidP="00BA7315">
            <w:pPr>
              <w:spacing w:line="360" w:lineRule="auto"/>
              <w:jc w:val="both"/>
              <w:rPr>
                <w:lang w:eastAsia="en-GB"/>
              </w:rPr>
            </w:pPr>
          </w:p>
        </w:tc>
        <w:tc>
          <w:tcPr>
            <w:tcW w:w="1277"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81" w:type="dxa"/>
          </w:tcPr>
          <w:p w:rsidR="00BA7315" w:rsidRPr="00725B2B" w:rsidRDefault="00BA7315" w:rsidP="00BA7315">
            <w:pPr>
              <w:spacing w:line="360" w:lineRule="auto"/>
              <w:jc w:val="both"/>
              <w:rPr>
                <w:lang w:eastAsia="en-GB"/>
              </w:rPr>
            </w:pPr>
          </w:p>
        </w:tc>
        <w:tc>
          <w:tcPr>
            <w:tcW w:w="1286"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0" w:type="dxa"/>
          </w:tcPr>
          <w:p w:rsidR="00BA7315" w:rsidRPr="00725B2B" w:rsidRDefault="00BA7315" w:rsidP="00BA7315">
            <w:pPr>
              <w:spacing w:line="360" w:lineRule="auto"/>
              <w:jc w:val="both"/>
              <w:rPr>
                <w:lang w:eastAsia="en-GB"/>
              </w:rPr>
            </w:pPr>
          </w:p>
        </w:tc>
      </w:tr>
      <w:tr w:rsidR="00BA7315" w:rsidRPr="00725B2B" w:rsidTr="00BA7315">
        <w:tc>
          <w:tcPr>
            <w:tcW w:w="1299" w:type="dxa"/>
          </w:tcPr>
          <w:p w:rsidR="00BA7315" w:rsidRPr="00725B2B" w:rsidRDefault="00BA7315" w:rsidP="00BA7315">
            <w:pPr>
              <w:spacing w:line="360" w:lineRule="auto"/>
              <w:jc w:val="both"/>
              <w:rPr>
                <w:sz w:val="16"/>
                <w:szCs w:val="16"/>
                <w:lang w:eastAsia="en-GB"/>
              </w:rPr>
            </w:pPr>
            <w:r w:rsidRPr="00725B2B">
              <w:rPr>
                <w:noProof/>
                <w:sz w:val="16"/>
                <w:szCs w:val="16"/>
                <w:lang w:eastAsia="en-GB"/>
              </w:rPr>
              <w:t>El-Shafei, et al., (2008)</w:t>
            </w:r>
          </w:p>
        </w:tc>
        <w:tc>
          <w:tcPr>
            <w:tcW w:w="1291"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2" w:type="dxa"/>
          </w:tcPr>
          <w:p w:rsidR="00BA7315" w:rsidRPr="00725B2B" w:rsidRDefault="00BA7315" w:rsidP="00BA7315">
            <w:pPr>
              <w:spacing w:line="360" w:lineRule="auto"/>
              <w:jc w:val="both"/>
              <w:rPr>
                <w:lang w:eastAsia="en-GB"/>
              </w:rPr>
            </w:pPr>
          </w:p>
        </w:tc>
        <w:tc>
          <w:tcPr>
            <w:tcW w:w="1277"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81" w:type="dxa"/>
          </w:tcPr>
          <w:p w:rsidR="00BA7315" w:rsidRPr="00725B2B" w:rsidRDefault="00BA7315" w:rsidP="00BA7315">
            <w:pPr>
              <w:spacing w:line="360" w:lineRule="auto"/>
              <w:jc w:val="both"/>
              <w:rPr>
                <w:lang w:eastAsia="en-GB"/>
              </w:rPr>
            </w:pPr>
          </w:p>
        </w:tc>
        <w:tc>
          <w:tcPr>
            <w:tcW w:w="1286" w:type="dxa"/>
          </w:tcPr>
          <w:p w:rsidR="00BA7315" w:rsidRPr="00725B2B" w:rsidRDefault="00BA7315" w:rsidP="00BA7315">
            <w:pPr>
              <w:spacing w:line="360" w:lineRule="auto"/>
              <w:jc w:val="both"/>
              <w:rPr>
                <w:lang w:eastAsia="en-GB"/>
              </w:rPr>
            </w:pPr>
            <w:r w:rsidRPr="00725B2B">
              <w:rPr>
                <w:sz w:val="16"/>
                <w:szCs w:val="16"/>
                <w:lang w:eastAsia="en-GB"/>
              </w:rPr>
              <w:t>√</w:t>
            </w:r>
          </w:p>
        </w:tc>
        <w:tc>
          <w:tcPr>
            <w:tcW w:w="1290" w:type="dxa"/>
          </w:tcPr>
          <w:p w:rsidR="00BA7315" w:rsidRPr="00725B2B" w:rsidRDefault="00BA7315" w:rsidP="00BA7315">
            <w:pPr>
              <w:spacing w:line="360" w:lineRule="auto"/>
              <w:jc w:val="both"/>
              <w:rPr>
                <w:lang w:eastAsia="en-GB"/>
              </w:rPr>
            </w:pPr>
          </w:p>
        </w:tc>
      </w:tr>
    </w:tbl>
    <w:p w:rsidR="00BA7315" w:rsidRPr="00BA7315" w:rsidRDefault="00BA7315" w:rsidP="00BA7315"/>
    <w:p w:rsidR="00BA7315" w:rsidRPr="00BA7315" w:rsidRDefault="00BA7315" w:rsidP="00BA7315">
      <w:pPr>
        <w:rPr>
          <w:rFonts w:asciiTheme="minorHAnsi" w:hAnsiTheme="minorHAnsi" w:cstheme="minorHAnsi"/>
        </w:rPr>
      </w:pPr>
      <w:r w:rsidRPr="00BA7315">
        <w:rPr>
          <w:rFonts w:asciiTheme="minorHAnsi" w:hAnsiTheme="minorHAnsi" w:cstheme="minorHAnsi"/>
        </w:rPr>
        <w:t xml:space="preserve">Table 7: strategies for cultural adaptation </w:t>
      </w:r>
    </w:p>
    <w:p w:rsidR="00EB53C7" w:rsidRPr="00BA7315" w:rsidRDefault="00EB53C7" w:rsidP="00EB53C7">
      <w:pPr>
        <w:pStyle w:val="appendixheading"/>
        <w:rPr>
          <w:rFonts w:asciiTheme="minorHAnsi" w:hAnsiTheme="minorHAnsi" w:cstheme="minorHAnsi"/>
          <w:b w:val="0"/>
        </w:rPr>
      </w:pPr>
    </w:p>
    <w:p w:rsidR="00BA7315" w:rsidRDefault="00BA7315" w:rsidP="00BA7315">
      <w:pPr>
        <w:pStyle w:val="appendixheading"/>
        <w:rPr>
          <w:rFonts w:asciiTheme="minorHAnsi" w:hAnsiTheme="minorHAnsi" w:cstheme="minorHAnsi"/>
          <w:b w:val="0"/>
        </w:rPr>
      </w:pPr>
    </w:p>
    <w:p w:rsidR="00BA7315" w:rsidRPr="00BA7315" w:rsidRDefault="00BA7315" w:rsidP="00BA7315">
      <w:pPr>
        <w:pStyle w:val="appendixheading"/>
        <w:rPr>
          <w:rFonts w:asciiTheme="minorHAnsi" w:hAnsiTheme="minorHAnsi" w:cstheme="minorHAnsi"/>
          <w:b w:val="0"/>
        </w:rPr>
      </w:pPr>
      <w:r w:rsidRPr="00BA7315">
        <w:rPr>
          <w:rFonts w:asciiTheme="minorHAnsi" w:hAnsiTheme="minorHAnsi" w:cstheme="minorHAnsi"/>
          <w:b w:val="0"/>
        </w:rPr>
        <w:t>Table 8: the Results</w:t>
      </w:r>
    </w:p>
    <w:p w:rsidR="00EB53C7" w:rsidRDefault="00EB53C7" w:rsidP="004E14F0"/>
    <w:tbl>
      <w:tblPr>
        <w:tblStyle w:val="TableGrid4"/>
        <w:tblpPr w:leftFromText="180" w:rightFromText="180" w:vertAnchor="text" w:horzAnchor="margin" w:tblpY="118"/>
        <w:tblW w:w="9634" w:type="dxa"/>
        <w:tblLook w:val="04A0" w:firstRow="1" w:lastRow="0" w:firstColumn="1" w:lastColumn="0" w:noHBand="0" w:noVBand="1"/>
      </w:tblPr>
      <w:tblGrid>
        <w:gridCol w:w="1043"/>
        <w:gridCol w:w="1035"/>
        <w:gridCol w:w="1488"/>
        <w:gridCol w:w="2241"/>
        <w:gridCol w:w="3827"/>
      </w:tblGrid>
      <w:tr w:rsidR="00EB53C7" w:rsidRPr="00C62510" w:rsidTr="00BA7315">
        <w:trPr>
          <w:trHeight w:val="697"/>
        </w:trPr>
        <w:tc>
          <w:tcPr>
            <w:tcW w:w="1043" w:type="dxa"/>
          </w:tcPr>
          <w:p w:rsidR="00EB53C7" w:rsidRPr="00C62510" w:rsidRDefault="00EB53C7" w:rsidP="00BA7315">
            <w:pPr>
              <w:rPr>
                <w:rFonts w:asciiTheme="minorBidi" w:hAnsiTheme="minorBidi"/>
                <w:b/>
                <w:bCs/>
                <w:sz w:val="14"/>
                <w:szCs w:val="14"/>
              </w:rPr>
            </w:pPr>
            <w:r w:rsidRPr="00C62510">
              <w:rPr>
                <w:rFonts w:asciiTheme="minorBidi" w:hAnsiTheme="minorBidi"/>
                <w:b/>
                <w:bCs/>
                <w:sz w:val="14"/>
                <w:szCs w:val="14"/>
              </w:rPr>
              <w:t>Author</w:t>
            </w:r>
          </w:p>
        </w:tc>
        <w:tc>
          <w:tcPr>
            <w:tcW w:w="1035" w:type="dxa"/>
          </w:tcPr>
          <w:p w:rsidR="00EB53C7" w:rsidRPr="00C62510" w:rsidRDefault="00EB53C7" w:rsidP="00BA7315">
            <w:pPr>
              <w:rPr>
                <w:rFonts w:asciiTheme="minorBidi" w:hAnsiTheme="minorBidi"/>
                <w:b/>
                <w:bCs/>
                <w:sz w:val="14"/>
                <w:szCs w:val="14"/>
              </w:rPr>
            </w:pPr>
            <w:r w:rsidRPr="00C62510">
              <w:rPr>
                <w:rFonts w:asciiTheme="minorBidi" w:hAnsiTheme="minorBidi"/>
                <w:b/>
                <w:bCs/>
                <w:sz w:val="14"/>
                <w:szCs w:val="14"/>
              </w:rPr>
              <w:t>No. of participants</w:t>
            </w:r>
          </w:p>
        </w:tc>
        <w:tc>
          <w:tcPr>
            <w:tcW w:w="1488" w:type="dxa"/>
          </w:tcPr>
          <w:p w:rsidR="00EB53C7" w:rsidRPr="00C62510" w:rsidRDefault="00EB53C7" w:rsidP="00BA7315">
            <w:pPr>
              <w:rPr>
                <w:rFonts w:asciiTheme="minorBidi" w:hAnsiTheme="minorBidi"/>
                <w:b/>
                <w:bCs/>
                <w:sz w:val="14"/>
                <w:szCs w:val="14"/>
              </w:rPr>
            </w:pPr>
            <w:r w:rsidRPr="00C62510">
              <w:rPr>
                <w:rFonts w:asciiTheme="minorBidi" w:hAnsiTheme="minorBidi"/>
                <w:b/>
                <w:bCs/>
                <w:sz w:val="14"/>
                <w:szCs w:val="14"/>
              </w:rPr>
              <w:t>Outcome (primary or secondary)</w:t>
            </w:r>
          </w:p>
        </w:tc>
        <w:tc>
          <w:tcPr>
            <w:tcW w:w="2241" w:type="dxa"/>
          </w:tcPr>
          <w:p w:rsidR="00EB53C7" w:rsidRPr="00C62510" w:rsidRDefault="00EB53C7" w:rsidP="00BA7315">
            <w:pPr>
              <w:rPr>
                <w:rFonts w:asciiTheme="minorBidi" w:hAnsiTheme="minorBidi"/>
                <w:b/>
                <w:bCs/>
                <w:sz w:val="14"/>
                <w:szCs w:val="14"/>
              </w:rPr>
            </w:pPr>
            <w:r w:rsidRPr="00C62510">
              <w:rPr>
                <w:rFonts w:asciiTheme="minorBidi" w:hAnsiTheme="minorBidi"/>
                <w:b/>
                <w:bCs/>
                <w:sz w:val="14"/>
                <w:szCs w:val="14"/>
              </w:rPr>
              <w:t>Scale</w:t>
            </w:r>
          </w:p>
        </w:tc>
        <w:tc>
          <w:tcPr>
            <w:tcW w:w="3827" w:type="dxa"/>
          </w:tcPr>
          <w:p w:rsidR="00EB53C7" w:rsidRPr="00C62510" w:rsidRDefault="00EB53C7" w:rsidP="00BA7315">
            <w:pPr>
              <w:rPr>
                <w:rFonts w:asciiTheme="minorBidi" w:hAnsiTheme="minorBidi"/>
                <w:b/>
                <w:bCs/>
                <w:sz w:val="14"/>
                <w:szCs w:val="14"/>
              </w:rPr>
            </w:pPr>
            <w:r w:rsidRPr="00C62510">
              <w:rPr>
                <w:rFonts w:asciiTheme="minorBidi" w:hAnsiTheme="minorBidi"/>
                <w:b/>
                <w:bCs/>
                <w:sz w:val="14"/>
                <w:szCs w:val="14"/>
              </w:rPr>
              <w:t>Result for each outcome</w:t>
            </w:r>
          </w:p>
        </w:tc>
      </w:tr>
      <w:tr w:rsidR="00EB53C7" w:rsidRPr="00C62510" w:rsidTr="00BA7315">
        <w:trPr>
          <w:trHeight w:val="689"/>
        </w:trPr>
        <w:tc>
          <w:tcPr>
            <w:tcW w:w="1043" w:type="dxa"/>
            <w:vMerge w:val="restart"/>
          </w:tcPr>
          <w:p w:rsidR="00EB53C7" w:rsidRPr="00C62510" w:rsidRDefault="00EB53C7" w:rsidP="00BA7315">
            <w:pPr>
              <w:rPr>
                <w:rFonts w:asciiTheme="minorBidi" w:hAnsiTheme="minorBidi"/>
                <w:sz w:val="14"/>
                <w:szCs w:val="14"/>
              </w:rPr>
            </w:pPr>
            <w:proofErr w:type="spellStart"/>
            <w:r w:rsidRPr="00C62510">
              <w:rPr>
                <w:rFonts w:asciiTheme="minorBidi" w:hAnsiTheme="minorBidi"/>
                <w:sz w:val="14"/>
                <w:szCs w:val="14"/>
              </w:rPr>
              <w:t>Eman</w:t>
            </w:r>
            <w:proofErr w:type="spellEnd"/>
            <w:r w:rsidRPr="00C62510">
              <w:rPr>
                <w:rFonts w:asciiTheme="minorBidi" w:hAnsiTheme="minorBidi"/>
                <w:sz w:val="14"/>
                <w:szCs w:val="14"/>
              </w:rPr>
              <w:t xml:space="preserve"> S. </w:t>
            </w:r>
            <w:proofErr w:type="spellStart"/>
            <w:r w:rsidRPr="00C62510">
              <w:rPr>
                <w:rFonts w:asciiTheme="minorBidi" w:hAnsiTheme="minorBidi"/>
                <w:sz w:val="14"/>
                <w:szCs w:val="14"/>
              </w:rPr>
              <w:t>Solimana</w:t>
            </w:r>
            <w:proofErr w:type="spellEnd"/>
          </w:p>
        </w:tc>
        <w:tc>
          <w:tcPr>
            <w:tcW w:w="1035" w:type="dxa"/>
            <w:vMerge w:val="restart"/>
          </w:tcPr>
          <w:p w:rsidR="00EB53C7" w:rsidRPr="00C62510" w:rsidRDefault="00EB53C7" w:rsidP="00BA7315">
            <w:pPr>
              <w:rPr>
                <w:rFonts w:asciiTheme="minorBidi" w:hAnsiTheme="minorBidi"/>
                <w:sz w:val="14"/>
                <w:szCs w:val="14"/>
              </w:rPr>
            </w:pPr>
            <w:r w:rsidRPr="00C62510">
              <w:rPr>
                <w:rFonts w:asciiTheme="minorBidi" w:hAnsiTheme="minorBidi"/>
                <w:sz w:val="14"/>
                <w:szCs w:val="14"/>
              </w:rPr>
              <w:t>116 patients and their caregivers.</w:t>
            </w: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Severity of symptoms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(did not specify)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Positive and Negative Syndrome Scale (PANSS)</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 xml:space="preserve">There is a statistically significant difference between group A patients, who </w:t>
            </w:r>
            <w:proofErr w:type="gramStart"/>
            <w:r w:rsidRPr="00C62510">
              <w:rPr>
                <w:rFonts w:asciiTheme="minorBidi" w:hAnsiTheme="minorBidi"/>
                <w:sz w:val="14"/>
                <w:szCs w:val="14"/>
              </w:rPr>
              <w:t xml:space="preserve">received </w:t>
            </w:r>
            <w:r>
              <w:rPr>
                <w:rFonts w:asciiTheme="minorBidi" w:hAnsiTheme="minorBidi"/>
                <w:sz w:val="14"/>
                <w:szCs w:val="14"/>
              </w:rPr>
              <w:t xml:space="preserve"> </w:t>
            </w:r>
            <w:r w:rsidRPr="00C62510">
              <w:rPr>
                <w:rFonts w:asciiTheme="minorBidi" w:hAnsiTheme="minorBidi"/>
                <w:sz w:val="14"/>
                <w:szCs w:val="14"/>
              </w:rPr>
              <w:t>PCSPP</w:t>
            </w:r>
            <w:proofErr w:type="gramEnd"/>
            <w:r w:rsidRPr="00C62510">
              <w:rPr>
                <w:rFonts w:asciiTheme="minorBidi" w:hAnsiTheme="minorBidi"/>
                <w:sz w:val="14"/>
                <w:szCs w:val="14"/>
              </w:rPr>
              <w:t>, and group B patients, who received TAU, as regards positive, negative, general psychopathology symptoms, and total scores, with a higher score toward TAU.</w:t>
            </w:r>
          </w:p>
        </w:tc>
      </w:tr>
      <w:tr w:rsidR="00EB53C7" w:rsidRPr="00C62510" w:rsidTr="00BA7315">
        <w:trPr>
          <w:trHeight w:val="941"/>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Quality of life</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(did not specify)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World Health Organization Quality of Life Questionnaire-short version (</w:t>
            </w:r>
            <w:proofErr w:type="spellStart"/>
            <w:r w:rsidRPr="00C62510">
              <w:rPr>
                <w:rFonts w:asciiTheme="minorBidi" w:hAnsiTheme="minorBidi"/>
                <w:sz w:val="14"/>
                <w:szCs w:val="14"/>
              </w:rPr>
              <w:t>WHOQoL</w:t>
            </w:r>
            <w:proofErr w:type="spellEnd"/>
            <w:r w:rsidRPr="00C62510">
              <w:rPr>
                <w:rFonts w:asciiTheme="minorBidi" w:hAnsiTheme="minorBidi"/>
                <w:sz w:val="14"/>
                <w:szCs w:val="14"/>
              </w:rPr>
              <w:t>-BREF) (Arabic version) M4</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 xml:space="preserve">There is a statistically significant difference between group A and group B regarding question 1, question 2, domain 1 (physical), domain 2 (psychological), domain 3 (social relation), and domain 4 (environment) measured by </w:t>
            </w:r>
            <w:proofErr w:type="spellStart"/>
            <w:r w:rsidRPr="00C62510">
              <w:rPr>
                <w:rFonts w:asciiTheme="minorBidi" w:hAnsiTheme="minorBidi"/>
                <w:sz w:val="14"/>
                <w:szCs w:val="14"/>
              </w:rPr>
              <w:t>WHOQoL</w:t>
            </w:r>
            <w:proofErr w:type="spellEnd"/>
            <w:r w:rsidRPr="00C62510">
              <w:rPr>
                <w:rFonts w:asciiTheme="minorBidi" w:hAnsiTheme="minorBidi"/>
                <w:sz w:val="14"/>
                <w:szCs w:val="14"/>
              </w:rPr>
              <w:t xml:space="preserve"> scale, with a higher score in patients who received PCSPP.</w:t>
            </w:r>
          </w:p>
        </w:tc>
      </w:tr>
      <w:tr w:rsidR="00EB53C7" w:rsidRPr="00C62510" w:rsidTr="00BA7315">
        <w:trPr>
          <w:trHeight w:val="924"/>
        </w:trPr>
        <w:tc>
          <w:tcPr>
            <w:tcW w:w="1043" w:type="dxa"/>
            <w:vMerge w:val="restart"/>
          </w:tcPr>
          <w:p w:rsidR="00EB53C7" w:rsidRPr="00C62510" w:rsidRDefault="00EB53C7" w:rsidP="00BA7315">
            <w:pPr>
              <w:rPr>
                <w:rFonts w:asciiTheme="minorBidi" w:hAnsiTheme="minorBidi"/>
                <w:sz w:val="14"/>
                <w:szCs w:val="14"/>
              </w:rPr>
            </w:pPr>
            <w:proofErr w:type="spellStart"/>
            <w:r w:rsidRPr="00C62510">
              <w:rPr>
                <w:rFonts w:asciiTheme="minorBidi" w:hAnsiTheme="minorBidi"/>
                <w:sz w:val="14"/>
                <w:szCs w:val="14"/>
              </w:rPr>
              <w:t>Hisham</w:t>
            </w:r>
            <w:proofErr w:type="spellEnd"/>
            <w:r w:rsidRPr="00C62510">
              <w:rPr>
                <w:rFonts w:asciiTheme="minorBidi" w:hAnsiTheme="minorBidi"/>
                <w:sz w:val="14"/>
                <w:szCs w:val="14"/>
              </w:rPr>
              <w:t xml:space="preserve"> Rami</w:t>
            </w:r>
          </w:p>
        </w:tc>
        <w:tc>
          <w:tcPr>
            <w:tcW w:w="1035" w:type="dxa"/>
            <w:vMerge w:val="restart"/>
          </w:tcPr>
          <w:p w:rsidR="00EB53C7" w:rsidRPr="00C62510" w:rsidRDefault="00EB53C7" w:rsidP="00BA7315">
            <w:pPr>
              <w:rPr>
                <w:rFonts w:asciiTheme="minorBidi" w:hAnsiTheme="minorBidi"/>
                <w:sz w:val="14"/>
                <w:szCs w:val="14"/>
              </w:rPr>
            </w:pPr>
            <w:r w:rsidRPr="00C62510">
              <w:rPr>
                <w:rFonts w:asciiTheme="minorBidi" w:hAnsiTheme="minorBidi"/>
                <w:sz w:val="14"/>
                <w:szCs w:val="14"/>
              </w:rPr>
              <w:t>60 patients and their caregivers</w:t>
            </w: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rate of improvement of clinical variables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(primary)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Positive and Negative Syndrome Scale (PANSS)</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Statistically significant difference (p &lt;.05) between pre- and post-treatment scores in patients with schizophrenia in the case group receiving the BFPEP on the PANSS</w:t>
            </w:r>
          </w:p>
        </w:tc>
      </w:tr>
      <w:tr w:rsidR="00EB53C7" w:rsidRPr="00C62510" w:rsidTr="00BA7315">
        <w:trPr>
          <w:trHeight w:val="705"/>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social functions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(primary)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Social Functioning Questionnaire (SFQ)</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Statistically significant difference (p &lt;.05) between pre- and post-treatment scores in patients with schizophrenia in the case group receiving the BFPEP on the SFQ and all of their subscales, indicating better social functioning at post-treatment.</w:t>
            </w:r>
          </w:p>
        </w:tc>
      </w:tr>
      <w:tr w:rsidR="00EB53C7" w:rsidRPr="00C62510" w:rsidTr="00BA7315">
        <w:trPr>
          <w:trHeight w:val="932"/>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adherence to medications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(primary)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 xml:space="preserve">Drug Attitude Inventory (DAI) (Hogan, </w:t>
            </w:r>
            <w:proofErr w:type="spellStart"/>
            <w:r w:rsidRPr="00C62510">
              <w:rPr>
                <w:rFonts w:asciiTheme="minorBidi" w:hAnsiTheme="minorBidi"/>
                <w:sz w:val="14"/>
                <w:szCs w:val="14"/>
              </w:rPr>
              <w:t>Awad</w:t>
            </w:r>
            <w:proofErr w:type="spellEnd"/>
            <w:r w:rsidRPr="00C62510">
              <w:rPr>
                <w:rFonts w:asciiTheme="minorBidi" w:hAnsiTheme="minorBidi"/>
                <w:sz w:val="14"/>
                <w:szCs w:val="14"/>
              </w:rPr>
              <w:t xml:space="preserve"> &amp; Eastwood, 1983)</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Found a statistically significant difference (p &lt;.05) between patients with schizophrenia in the case group receiving the BFPEP and patients with schizophrenia in the control group receiving STU regarding intervention outcome measures on the DAI10 indicating better drug attitude</w:t>
            </w:r>
          </w:p>
        </w:tc>
      </w:tr>
      <w:tr w:rsidR="00EB53C7" w:rsidRPr="00C62510" w:rsidTr="00BA7315">
        <w:trPr>
          <w:trHeight w:val="705"/>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quality of life of the patients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(primary)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Quality of Life scale (QLS) (</w:t>
            </w:r>
            <w:proofErr w:type="spellStart"/>
            <w:r w:rsidRPr="00C62510">
              <w:rPr>
                <w:rFonts w:asciiTheme="minorBidi" w:hAnsiTheme="minorBidi"/>
                <w:sz w:val="14"/>
                <w:szCs w:val="14"/>
              </w:rPr>
              <w:t>Heinrichs</w:t>
            </w:r>
            <w:proofErr w:type="spellEnd"/>
            <w:r w:rsidRPr="00C62510">
              <w:rPr>
                <w:rFonts w:asciiTheme="minorBidi" w:hAnsiTheme="minorBidi"/>
                <w:sz w:val="14"/>
                <w:szCs w:val="14"/>
              </w:rPr>
              <w:t>, Hanlon &amp; Carpenter, 1984)</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Better quality of life at post-treatment in the intervention group receiving the BFPEP compared to STU</w:t>
            </w:r>
          </w:p>
        </w:tc>
      </w:tr>
      <w:tr w:rsidR="00EB53C7" w:rsidRPr="00C62510" w:rsidTr="00BA7315">
        <w:trPr>
          <w:trHeight w:val="697"/>
        </w:trPr>
        <w:tc>
          <w:tcPr>
            <w:tcW w:w="1043" w:type="dxa"/>
            <w:vMerge w:val="restart"/>
          </w:tcPr>
          <w:p w:rsidR="00EB53C7" w:rsidRPr="00C62510" w:rsidRDefault="00EB53C7" w:rsidP="00BA7315">
            <w:pPr>
              <w:rPr>
                <w:rFonts w:asciiTheme="minorBidi" w:hAnsiTheme="minorBidi"/>
                <w:sz w:val="14"/>
                <w:szCs w:val="14"/>
              </w:rPr>
            </w:pPr>
            <w:r w:rsidRPr="00C62510">
              <w:rPr>
                <w:rFonts w:asciiTheme="minorBidi" w:eastAsia="Calibri" w:hAnsiTheme="minorBidi"/>
                <w:sz w:val="14"/>
                <w:szCs w:val="14"/>
              </w:rPr>
              <w:t>El-</w:t>
            </w:r>
            <w:proofErr w:type="spellStart"/>
            <w:r w:rsidRPr="00C62510">
              <w:rPr>
                <w:rFonts w:asciiTheme="minorBidi" w:eastAsia="Calibri" w:hAnsiTheme="minorBidi"/>
                <w:sz w:val="14"/>
                <w:szCs w:val="14"/>
              </w:rPr>
              <w:t>Shafei</w:t>
            </w:r>
            <w:proofErr w:type="spellEnd"/>
          </w:p>
        </w:tc>
        <w:tc>
          <w:tcPr>
            <w:tcW w:w="1035" w:type="dxa"/>
            <w:vMerge w:val="restart"/>
          </w:tcPr>
          <w:p w:rsidR="00EB53C7" w:rsidRPr="00C62510" w:rsidRDefault="00EB53C7" w:rsidP="00BA7315">
            <w:pPr>
              <w:rPr>
                <w:rFonts w:asciiTheme="minorBidi" w:hAnsiTheme="minorBidi"/>
                <w:sz w:val="14"/>
                <w:szCs w:val="14"/>
              </w:rPr>
            </w:pPr>
            <w:r w:rsidRPr="00C62510">
              <w:rPr>
                <w:rFonts w:asciiTheme="minorBidi" w:hAnsiTheme="minorBidi"/>
                <w:sz w:val="14"/>
                <w:szCs w:val="14"/>
              </w:rPr>
              <w:t>30 patients and their caregivers</w:t>
            </w: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clinical condition</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(did not specify)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Positive And Negative Syndrome Scale (PANSS)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(Kay, et al., 1987).</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A significant improvement on the total PANSS occurred in patients in the intervention and not the control group over time</w:t>
            </w:r>
          </w:p>
        </w:tc>
      </w:tr>
      <w:tr w:rsidR="00EB53C7" w:rsidRPr="00C62510" w:rsidTr="00BA7315">
        <w:trPr>
          <w:trHeight w:val="705"/>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level of social functioning</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(did not specify)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Social Functioning Questionnaire (SFQ)</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(Clifford 1987)</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 xml:space="preserve">Statistically significant improvement </w:t>
            </w:r>
            <w:proofErr w:type="gramStart"/>
            <w:r w:rsidRPr="00C62510">
              <w:rPr>
                <w:rFonts w:asciiTheme="minorBidi" w:hAnsiTheme="minorBidi"/>
                <w:sz w:val="14"/>
                <w:szCs w:val="14"/>
              </w:rPr>
              <w:t>was detected</w:t>
            </w:r>
            <w:proofErr w:type="gramEnd"/>
            <w:r w:rsidRPr="00C62510">
              <w:rPr>
                <w:rFonts w:asciiTheme="minorBidi" w:hAnsiTheme="minorBidi"/>
                <w:sz w:val="14"/>
                <w:szCs w:val="14"/>
              </w:rPr>
              <w:t xml:space="preserve"> in social functioning of patients in the case group compared to controls over time both on Total SFQ.</w:t>
            </w:r>
          </w:p>
        </w:tc>
      </w:tr>
      <w:tr w:rsidR="00EB53C7" w:rsidRPr="00C62510" w:rsidTr="00BA7315">
        <w:trPr>
          <w:trHeight w:val="697"/>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Medication compliance</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(did not specify)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Drug Attitude Inventory (DAI) (</w:t>
            </w:r>
            <w:proofErr w:type="spellStart"/>
            <w:r w:rsidRPr="00C62510">
              <w:rPr>
                <w:rFonts w:asciiTheme="minorBidi" w:hAnsiTheme="minorBidi"/>
                <w:sz w:val="14"/>
                <w:szCs w:val="14"/>
              </w:rPr>
              <w:t>Awad</w:t>
            </w:r>
            <w:proofErr w:type="spellEnd"/>
            <w:r w:rsidRPr="00C62510">
              <w:rPr>
                <w:rFonts w:asciiTheme="minorBidi" w:hAnsiTheme="minorBidi"/>
                <w:sz w:val="14"/>
                <w:szCs w:val="14"/>
              </w:rPr>
              <w:t>, 1993)</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A significant improvement in compliance and attitude towards psychotropic medications when using these measures as compared to controls</w:t>
            </w:r>
          </w:p>
        </w:tc>
      </w:tr>
      <w:tr w:rsidR="00EB53C7" w:rsidRPr="00C62510" w:rsidTr="00BA7315">
        <w:trPr>
          <w:trHeight w:val="932"/>
        </w:trPr>
        <w:tc>
          <w:tcPr>
            <w:tcW w:w="1043" w:type="dxa"/>
            <w:vMerge w:val="restart"/>
          </w:tcPr>
          <w:p w:rsidR="00EB53C7" w:rsidRPr="00C62510" w:rsidRDefault="00EB53C7" w:rsidP="00BA7315">
            <w:pPr>
              <w:rPr>
                <w:rFonts w:asciiTheme="minorBidi" w:hAnsiTheme="minorBidi"/>
                <w:sz w:val="14"/>
                <w:szCs w:val="14"/>
              </w:rPr>
            </w:pPr>
            <w:proofErr w:type="spellStart"/>
            <w:r w:rsidRPr="00C62510">
              <w:rPr>
                <w:rFonts w:asciiTheme="minorBidi" w:hAnsiTheme="minorBidi"/>
                <w:sz w:val="14"/>
                <w:szCs w:val="14"/>
              </w:rPr>
              <w:lastRenderedPageBreak/>
              <w:t>Abd</w:t>
            </w:r>
            <w:proofErr w:type="spellEnd"/>
            <w:r w:rsidRPr="00C62510">
              <w:rPr>
                <w:rFonts w:asciiTheme="minorBidi" w:hAnsiTheme="minorBidi"/>
                <w:sz w:val="14"/>
                <w:szCs w:val="14"/>
              </w:rPr>
              <w:t xml:space="preserve"> </w:t>
            </w:r>
            <w:proofErr w:type="spellStart"/>
            <w:r w:rsidRPr="00C62510">
              <w:rPr>
                <w:rFonts w:asciiTheme="minorBidi" w:hAnsiTheme="minorBidi"/>
                <w:sz w:val="14"/>
                <w:szCs w:val="14"/>
              </w:rPr>
              <w:t>Alhadi</w:t>
            </w:r>
            <w:proofErr w:type="spellEnd"/>
            <w:r w:rsidRPr="00C62510">
              <w:rPr>
                <w:rFonts w:asciiTheme="minorBidi" w:hAnsiTheme="minorBidi"/>
                <w:sz w:val="14"/>
                <w:szCs w:val="14"/>
              </w:rPr>
              <w:t xml:space="preserve"> Hasan</w:t>
            </w:r>
          </w:p>
        </w:tc>
        <w:tc>
          <w:tcPr>
            <w:tcW w:w="1035" w:type="dxa"/>
            <w:vMerge w:val="restart"/>
          </w:tcPr>
          <w:p w:rsidR="00EB53C7" w:rsidRPr="00C62510" w:rsidRDefault="00EB53C7" w:rsidP="00BA7315">
            <w:pPr>
              <w:rPr>
                <w:rFonts w:asciiTheme="minorBidi" w:hAnsiTheme="minorBidi"/>
                <w:sz w:val="14"/>
                <w:szCs w:val="14"/>
              </w:rPr>
            </w:pPr>
            <w:r w:rsidRPr="00C62510">
              <w:rPr>
                <w:rFonts w:asciiTheme="minorBidi" w:hAnsiTheme="minorBidi"/>
                <w:sz w:val="14"/>
                <w:szCs w:val="14"/>
              </w:rPr>
              <w:t>112 dyads of patients and their caregivers</w:t>
            </w: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knowledge of schizophrenia</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(primary)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Knowledge about Schizophrenia Questionnaire (KASQ)</w:t>
            </w:r>
          </w:p>
          <w:p w:rsidR="00EB53C7" w:rsidRPr="00C62510" w:rsidRDefault="00EB53C7" w:rsidP="00BA7315">
            <w:pPr>
              <w:rPr>
                <w:rFonts w:asciiTheme="minorBidi" w:hAnsiTheme="minorBidi"/>
                <w:sz w:val="14"/>
                <w:szCs w:val="14"/>
              </w:rPr>
            </w:pP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Participants in the intervention group had statistically significant improvements in KASQ scores at post-treatment and three-month follow-up</w:t>
            </w:r>
          </w:p>
        </w:tc>
      </w:tr>
      <w:tr w:rsidR="00EB53C7" w:rsidRPr="00C62510" w:rsidTr="00BA7315">
        <w:trPr>
          <w:trHeight w:val="705"/>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schizophrenia symptoms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(secondary)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 xml:space="preserve">Positive and Negative Syndrome Scale (PANSS) for </w:t>
            </w:r>
            <w:proofErr w:type="spellStart"/>
            <w:r w:rsidRPr="00C62510">
              <w:rPr>
                <w:rFonts w:asciiTheme="minorBidi" w:hAnsiTheme="minorBidi"/>
                <w:sz w:val="14"/>
                <w:szCs w:val="14"/>
              </w:rPr>
              <w:t>PDwS</w:t>
            </w:r>
            <w:proofErr w:type="spellEnd"/>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PANSS scores show that intervention was associated with a reduction in symptom severity at post-treatment and three-month follow-up.</w:t>
            </w:r>
          </w:p>
        </w:tc>
      </w:tr>
      <w:tr w:rsidR="00EB53C7" w:rsidRPr="00C62510" w:rsidTr="00BA7315">
        <w:trPr>
          <w:trHeight w:val="932"/>
        </w:trPr>
        <w:tc>
          <w:tcPr>
            <w:tcW w:w="1043" w:type="dxa"/>
            <w:vMerge/>
          </w:tcPr>
          <w:p w:rsidR="00EB53C7" w:rsidRPr="00C62510" w:rsidRDefault="00EB53C7" w:rsidP="00BA7315">
            <w:pPr>
              <w:rPr>
                <w:rFonts w:asciiTheme="minorBidi" w:hAnsiTheme="minorBidi"/>
                <w:sz w:val="14"/>
                <w:szCs w:val="14"/>
              </w:rPr>
            </w:pPr>
          </w:p>
        </w:tc>
        <w:tc>
          <w:tcPr>
            <w:tcW w:w="1035" w:type="dxa"/>
            <w:vMerge/>
          </w:tcPr>
          <w:p w:rsidR="00EB53C7" w:rsidRPr="00C62510" w:rsidRDefault="00EB53C7" w:rsidP="00BA7315">
            <w:pPr>
              <w:rPr>
                <w:rFonts w:asciiTheme="minorBidi" w:hAnsiTheme="minorBidi"/>
                <w:sz w:val="14"/>
                <w:szCs w:val="14"/>
              </w:rPr>
            </w:pPr>
          </w:p>
        </w:tc>
        <w:tc>
          <w:tcPr>
            <w:tcW w:w="1488"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Family Burden of Care and quality of life</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(secondary)</w:t>
            </w:r>
          </w:p>
        </w:tc>
        <w:tc>
          <w:tcPr>
            <w:tcW w:w="2241"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Family Burden Interview Scale (FBIS)</w:t>
            </w:r>
          </w:p>
          <w:p w:rsidR="00EB53C7" w:rsidRPr="00C62510" w:rsidRDefault="00EB53C7" w:rsidP="00BA7315">
            <w:pPr>
              <w:rPr>
                <w:rFonts w:asciiTheme="minorBidi" w:hAnsiTheme="minorBidi"/>
                <w:sz w:val="14"/>
                <w:szCs w:val="14"/>
              </w:rPr>
            </w:pPr>
            <w:r w:rsidRPr="00C62510">
              <w:rPr>
                <w:rFonts w:asciiTheme="minorBidi" w:hAnsiTheme="minorBidi"/>
                <w:sz w:val="14"/>
                <w:szCs w:val="14"/>
              </w:rPr>
              <w:t xml:space="preserve">Schizophrenics’ </w:t>
            </w:r>
            <w:proofErr w:type="spellStart"/>
            <w:r w:rsidRPr="00C62510">
              <w:rPr>
                <w:rFonts w:asciiTheme="minorBidi" w:hAnsiTheme="minorBidi"/>
                <w:sz w:val="14"/>
                <w:szCs w:val="14"/>
              </w:rPr>
              <w:t>Carers’</w:t>
            </w:r>
            <w:proofErr w:type="spellEnd"/>
            <w:r w:rsidRPr="00C62510">
              <w:rPr>
                <w:rFonts w:asciiTheme="minorBidi" w:hAnsiTheme="minorBidi"/>
                <w:sz w:val="14"/>
                <w:szCs w:val="14"/>
              </w:rPr>
              <w:t xml:space="preserve"> Quality of Life Scale (S-</w:t>
            </w:r>
            <w:proofErr w:type="spellStart"/>
            <w:r w:rsidRPr="00C62510">
              <w:rPr>
                <w:rFonts w:asciiTheme="minorBidi" w:hAnsiTheme="minorBidi"/>
                <w:sz w:val="14"/>
                <w:szCs w:val="14"/>
              </w:rPr>
              <w:t>CQoL</w:t>
            </w:r>
            <w:proofErr w:type="spellEnd"/>
            <w:r w:rsidRPr="00C62510">
              <w:rPr>
                <w:rFonts w:asciiTheme="minorBidi" w:hAnsiTheme="minorBidi"/>
                <w:sz w:val="14"/>
                <w:szCs w:val="14"/>
              </w:rPr>
              <w:t>)</w:t>
            </w:r>
          </w:p>
        </w:tc>
        <w:tc>
          <w:tcPr>
            <w:tcW w:w="3827" w:type="dxa"/>
          </w:tcPr>
          <w:p w:rsidR="00EB53C7" w:rsidRPr="00C62510" w:rsidRDefault="00EB53C7" w:rsidP="00BA7315">
            <w:pPr>
              <w:rPr>
                <w:rFonts w:asciiTheme="minorBidi" w:hAnsiTheme="minorBidi"/>
                <w:sz w:val="14"/>
                <w:szCs w:val="14"/>
              </w:rPr>
            </w:pPr>
            <w:r w:rsidRPr="00C62510">
              <w:rPr>
                <w:rFonts w:asciiTheme="minorBidi" w:hAnsiTheme="minorBidi"/>
                <w:sz w:val="14"/>
                <w:szCs w:val="14"/>
              </w:rPr>
              <w:t>the group and time effect were statistically significant for all primary caregiver outcomes over different follow-up times</w:t>
            </w:r>
          </w:p>
        </w:tc>
      </w:tr>
    </w:tbl>
    <w:p w:rsidR="00EB53C7" w:rsidRDefault="00EB53C7" w:rsidP="004E14F0"/>
    <w:sectPr w:rsidR="00EB53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e Outline Pat">
    <w:panose1 w:val="0201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455F4"/>
    <w:multiLevelType w:val="hybridMultilevel"/>
    <w:tmpl w:val="9E640120"/>
    <w:lvl w:ilvl="0" w:tplc="E32A48C2">
      <w:start w:val="1"/>
      <w:numFmt w:val="decimal"/>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1" w15:restartNumberingAfterBreak="0">
    <w:nsid w:val="080E3CDB"/>
    <w:multiLevelType w:val="hybridMultilevel"/>
    <w:tmpl w:val="CEBE07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A025D4"/>
    <w:multiLevelType w:val="hybridMultilevel"/>
    <w:tmpl w:val="1376E638"/>
    <w:lvl w:ilvl="0" w:tplc="788E4B6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0D54476"/>
    <w:multiLevelType w:val="hybridMultilevel"/>
    <w:tmpl w:val="584CF256"/>
    <w:lvl w:ilvl="0" w:tplc="3EF011D4">
      <w:start w:val="1"/>
      <w:numFmt w:val="decimal"/>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4" w15:restartNumberingAfterBreak="0">
    <w:nsid w:val="6ECF37C3"/>
    <w:multiLevelType w:val="hybridMultilevel"/>
    <w:tmpl w:val="12140EC4"/>
    <w:lvl w:ilvl="0" w:tplc="A4D4C5F6">
      <w:start w:val="1"/>
      <w:numFmt w:val="decimal"/>
      <w:lvlText w:val="%1-"/>
      <w:lvlJc w:val="left"/>
      <w:pPr>
        <w:ind w:left="383" w:hanging="360"/>
      </w:pPr>
      <w:rPr>
        <w:rFonts w:hint="default"/>
      </w:rPr>
    </w:lvl>
    <w:lvl w:ilvl="1" w:tplc="08090019" w:tentative="1">
      <w:start w:val="1"/>
      <w:numFmt w:val="lowerLetter"/>
      <w:lvlText w:val="%2."/>
      <w:lvlJc w:val="left"/>
      <w:pPr>
        <w:ind w:left="1103" w:hanging="360"/>
      </w:pPr>
    </w:lvl>
    <w:lvl w:ilvl="2" w:tplc="0809001B" w:tentative="1">
      <w:start w:val="1"/>
      <w:numFmt w:val="lowerRoman"/>
      <w:lvlText w:val="%3."/>
      <w:lvlJc w:val="right"/>
      <w:pPr>
        <w:ind w:left="1823" w:hanging="180"/>
      </w:pPr>
    </w:lvl>
    <w:lvl w:ilvl="3" w:tplc="0809000F" w:tentative="1">
      <w:start w:val="1"/>
      <w:numFmt w:val="decimal"/>
      <w:lvlText w:val="%4."/>
      <w:lvlJc w:val="left"/>
      <w:pPr>
        <w:ind w:left="2543" w:hanging="360"/>
      </w:pPr>
    </w:lvl>
    <w:lvl w:ilvl="4" w:tplc="08090019" w:tentative="1">
      <w:start w:val="1"/>
      <w:numFmt w:val="lowerLetter"/>
      <w:lvlText w:val="%5."/>
      <w:lvlJc w:val="left"/>
      <w:pPr>
        <w:ind w:left="3263" w:hanging="360"/>
      </w:pPr>
    </w:lvl>
    <w:lvl w:ilvl="5" w:tplc="0809001B" w:tentative="1">
      <w:start w:val="1"/>
      <w:numFmt w:val="lowerRoman"/>
      <w:lvlText w:val="%6."/>
      <w:lvlJc w:val="right"/>
      <w:pPr>
        <w:ind w:left="3983" w:hanging="180"/>
      </w:pPr>
    </w:lvl>
    <w:lvl w:ilvl="6" w:tplc="0809000F" w:tentative="1">
      <w:start w:val="1"/>
      <w:numFmt w:val="decimal"/>
      <w:lvlText w:val="%7."/>
      <w:lvlJc w:val="left"/>
      <w:pPr>
        <w:ind w:left="4703" w:hanging="360"/>
      </w:pPr>
    </w:lvl>
    <w:lvl w:ilvl="7" w:tplc="08090019" w:tentative="1">
      <w:start w:val="1"/>
      <w:numFmt w:val="lowerLetter"/>
      <w:lvlText w:val="%8."/>
      <w:lvlJc w:val="left"/>
      <w:pPr>
        <w:ind w:left="5423" w:hanging="360"/>
      </w:pPr>
    </w:lvl>
    <w:lvl w:ilvl="8" w:tplc="0809001B" w:tentative="1">
      <w:start w:val="1"/>
      <w:numFmt w:val="lowerRoman"/>
      <w:lvlText w:val="%9."/>
      <w:lvlJc w:val="right"/>
      <w:pPr>
        <w:ind w:left="6143" w:hanging="180"/>
      </w:pPr>
    </w:lvl>
  </w:abstractNum>
  <w:abstractNum w:abstractNumId="5" w15:restartNumberingAfterBreak="0">
    <w:nsid w:val="78D72B8A"/>
    <w:multiLevelType w:val="hybridMultilevel"/>
    <w:tmpl w:val="3D7E7220"/>
    <w:lvl w:ilvl="0" w:tplc="227E90D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017"/>
    <w:rsid w:val="00346FAC"/>
    <w:rsid w:val="004E14F0"/>
    <w:rsid w:val="00717017"/>
    <w:rsid w:val="00725B2B"/>
    <w:rsid w:val="00B554EB"/>
    <w:rsid w:val="00B86850"/>
    <w:rsid w:val="00BA7315"/>
    <w:rsid w:val="00C10478"/>
    <w:rsid w:val="00CA3421"/>
    <w:rsid w:val="00D97206"/>
    <w:rsid w:val="00DF18C4"/>
    <w:rsid w:val="00EB53C7"/>
    <w:rsid w:val="00FA592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9D65"/>
  <w15:chartTrackingRefBased/>
  <w15:docId w15:val="{953B5445-7D35-4447-9742-AE019EA5B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3C7"/>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EB53C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2">
    <w:name w:val="Table Grid2"/>
    <w:basedOn w:val="TableNormal"/>
    <w:next w:val="TableGrid"/>
    <w:uiPriority w:val="39"/>
    <w:rsid w:val="00EB53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B53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B53C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heading">
    <w:name w:val="appendix_heading"/>
    <w:basedOn w:val="Heading2"/>
    <w:next w:val="Normal"/>
    <w:link w:val="appendixheadingChar"/>
    <w:qFormat/>
    <w:rsid w:val="00EB53C7"/>
    <w:pPr>
      <w:keepNext w:val="0"/>
      <w:keepLines w:val="0"/>
      <w:spacing w:before="0" w:after="240" w:line="276" w:lineRule="auto"/>
    </w:pPr>
    <w:rPr>
      <w:rFonts w:ascii="Arial" w:hAnsi="Arial" w:cs="Arial"/>
      <w:b/>
      <w:color w:val="000000" w:themeColor="text1"/>
      <w:sz w:val="24"/>
      <w:szCs w:val="40"/>
      <w:lang w:eastAsia="ar-SA"/>
    </w:rPr>
  </w:style>
  <w:style w:type="character" w:customStyle="1" w:styleId="appendixheadingChar">
    <w:name w:val="appendix_heading Char"/>
    <w:basedOn w:val="Heading2Char"/>
    <w:link w:val="appendixheading"/>
    <w:rsid w:val="00EB53C7"/>
    <w:rPr>
      <w:rFonts w:ascii="Arial" w:eastAsiaTheme="majorEastAsia" w:hAnsi="Arial" w:cs="Arial"/>
      <w:b/>
      <w:color w:val="000000" w:themeColor="text1"/>
      <w:sz w:val="24"/>
      <w:szCs w:val="40"/>
      <w:lang w:eastAsia="ar-SA"/>
    </w:rPr>
  </w:style>
  <w:style w:type="character" w:customStyle="1" w:styleId="Heading2Char">
    <w:name w:val="Heading 2 Char"/>
    <w:basedOn w:val="DefaultParagraphFont"/>
    <w:link w:val="Heading2"/>
    <w:uiPriority w:val="9"/>
    <w:semiHidden/>
    <w:rsid w:val="00EB53C7"/>
    <w:rPr>
      <w:rFonts w:asciiTheme="majorHAnsi" w:eastAsiaTheme="majorEastAsia" w:hAnsiTheme="majorHAnsi" w:cstheme="majorBidi"/>
      <w:color w:val="2E74B5" w:themeColor="accent1" w:themeShade="BF"/>
      <w:sz w:val="26"/>
      <w:szCs w:val="26"/>
    </w:rPr>
  </w:style>
  <w:style w:type="table" w:customStyle="1" w:styleId="TableGrid21">
    <w:name w:val="Table Grid21"/>
    <w:basedOn w:val="TableNormal"/>
    <w:next w:val="TableGrid"/>
    <w:uiPriority w:val="39"/>
    <w:rsid w:val="00B554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1574</Words>
  <Characters>8978</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aziza al-sawafi</dc:creator>
  <cp:keywords/>
  <dc:description/>
  <cp:lastModifiedBy>aziza al-sawafi</cp:lastModifiedBy>
  <cp:revision>9</cp:revision>
  <dcterms:created xsi:type="dcterms:W3CDTF">2020-01-15T05:54:00Z</dcterms:created>
  <dcterms:modified xsi:type="dcterms:W3CDTF">2020-02-09T08:55:00Z</dcterms:modified>
</cp:coreProperties>
</file>