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2315" w:rsidRPr="00C22315" w:rsidRDefault="00C22315" w:rsidP="00C22315">
      <w:pPr>
        <w:widowControl/>
        <w:snapToGrid w:val="0"/>
        <w:spacing w:after="200"/>
        <w:jc w:val="left"/>
        <w:rPr>
          <w:rFonts w:ascii="Arial" w:eastAsia="宋体" w:hAnsi="Arial" w:cs="Arial"/>
          <w:kern w:val="0"/>
          <w:sz w:val="22"/>
          <w:szCs w:val="22"/>
          <w:lang w:val="en-GB" w:eastAsia="en-US"/>
        </w:rPr>
      </w:pPr>
      <w:r w:rsidRPr="00C22315">
        <w:rPr>
          <w:rFonts w:ascii="Arial" w:eastAsia="宋体" w:hAnsi="Arial" w:cs="Arial"/>
          <w:noProof/>
          <w:kern w:val="0"/>
          <w:sz w:val="22"/>
          <w:szCs w:val="22"/>
          <w:lang w:val="en-GB" w:eastAsia="en-GB"/>
        </w:rPr>
        <w:drawing>
          <wp:anchor distT="0" distB="0" distL="114300" distR="114300" simplePos="0" relativeHeight="251659264" behindDoc="1" locked="0" layoutInCell="1" allowOverlap="1" wp14:anchorId="71838BFE" wp14:editId="5E9E74A6">
            <wp:simplePos x="0" y="0"/>
            <wp:positionH relativeFrom="column">
              <wp:posOffset>-946481</wp:posOffset>
            </wp:positionH>
            <wp:positionV relativeFrom="paragraph">
              <wp:posOffset>-589280</wp:posOffset>
            </wp:positionV>
            <wp:extent cx="2054225" cy="90424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RIVE-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54225" cy="904240"/>
                    </a:xfrm>
                    <a:prstGeom prst="rect">
                      <a:avLst/>
                    </a:prstGeom>
                  </pic:spPr>
                </pic:pic>
              </a:graphicData>
            </a:graphic>
            <wp14:sizeRelH relativeFrom="page">
              <wp14:pctWidth>0</wp14:pctWidth>
            </wp14:sizeRelH>
            <wp14:sizeRelV relativeFrom="page">
              <wp14:pctHeight>0</wp14:pctHeight>
            </wp14:sizeRelV>
          </wp:anchor>
        </w:drawing>
      </w:r>
    </w:p>
    <w:p w:rsidR="00C22315" w:rsidRPr="00C22315" w:rsidRDefault="00C22315" w:rsidP="00C22315">
      <w:pPr>
        <w:widowControl/>
        <w:autoSpaceDE w:val="0"/>
        <w:autoSpaceDN w:val="0"/>
        <w:adjustRightInd w:val="0"/>
        <w:snapToGrid w:val="0"/>
        <w:spacing w:before="60" w:after="60"/>
        <w:jc w:val="left"/>
        <w:rPr>
          <w:rFonts w:ascii="Arial" w:eastAsia="宋体" w:hAnsi="Arial" w:cs="Arial"/>
          <w:kern w:val="0"/>
          <w:sz w:val="16"/>
          <w:szCs w:val="36"/>
          <w:lang w:val="en-GB" w:eastAsia="en-US"/>
        </w:rPr>
      </w:pPr>
    </w:p>
    <w:p w:rsidR="00C22315" w:rsidRPr="00C22315" w:rsidRDefault="00C22315" w:rsidP="00C22315">
      <w:pPr>
        <w:widowControl/>
        <w:autoSpaceDE w:val="0"/>
        <w:autoSpaceDN w:val="0"/>
        <w:adjustRightInd w:val="0"/>
        <w:snapToGrid w:val="0"/>
        <w:spacing w:before="60" w:after="60"/>
        <w:jc w:val="left"/>
        <w:rPr>
          <w:rFonts w:ascii="Arial" w:eastAsia="宋体" w:hAnsi="Arial" w:cs="Arial"/>
          <w:kern w:val="0"/>
          <w:sz w:val="36"/>
          <w:szCs w:val="36"/>
          <w:lang w:val="en-GB" w:eastAsia="en-US"/>
        </w:rPr>
      </w:pPr>
      <w:r w:rsidRPr="00C22315">
        <w:rPr>
          <w:rFonts w:ascii="Arial" w:eastAsia="宋体" w:hAnsi="Arial" w:cs="Arial"/>
          <w:kern w:val="0"/>
          <w:sz w:val="36"/>
          <w:szCs w:val="36"/>
          <w:lang w:val="en-GB" w:eastAsia="en-US"/>
        </w:rPr>
        <w:t>The ARRIVE Guidelines Checklist</w:t>
      </w:r>
    </w:p>
    <w:p w:rsidR="00C22315" w:rsidRPr="00C22315" w:rsidRDefault="00C22315" w:rsidP="00C22315">
      <w:pPr>
        <w:widowControl/>
        <w:autoSpaceDE w:val="0"/>
        <w:autoSpaceDN w:val="0"/>
        <w:adjustRightInd w:val="0"/>
        <w:snapToGrid w:val="0"/>
        <w:spacing w:before="60" w:after="60"/>
        <w:jc w:val="left"/>
        <w:rPr>
          <w:rFonts w:ascii="Arial" w:eastAsia="宋体" w:hAnsi="Arial" w:cs="Arial"/>
          <w:kern w:val="0"/>
          <w:sz w:val="28"/>
          <w:szCs w:val="28"/>
          <w:lang w:val="en-GB" w:eastAsia="en-US"/>
        </w:rPr>
      </w:pPr>
      <w:r w:rsidRPr="00C22315">
        <w:rPr>
          <w:rFonts w:ascii="Arial" w:eastAsia="宋体" w:hAnsi="Arial" w:cs="Arial"/>
          <w:kern w:val="0"/>
          <w:sz w:val="28"/>
          <w:szCs w:val="28"/>
          <w:lang w:val="en-GB" w:eastAsia="en-US"/>
        </w:rPr>
        <w:t>Animal Research: Reporting In Vivo Experiments</w:t>
      </w:r>
    </w:p>
    <w:p w:rsidR="00C22315" w:rsidRPr="00C22315" w:rsidRDefault="00C22315" w:rsidP="00C22315">
      <w:pPr>
        <w:widowControl/>
        <w:autoSpaceDE w:val="0"/>
        <w:autoSpaceDN w:val="0"/>
        <w:adjustRightInd w:val="0"/>
        <w:snapToGrid w:val="0"/>
        <w:spacing w:before="60" w:after="60"/>
        <w:jc w:val="left"/>
        <w:rPr>
          <w:rFonts w:ascii="Arial" w:eastAsia="宋体" w:hAnsi="Arial" w:cs="Arial"/>
          <w:i/>
          <w:iCs/>
          <w:kern w:val="0"/>
          <w:sz w:val="20"/>
          <w:szCs w:val="20"/>
          <w:lang w:val="en-GB" w:eastAsia="en-US"/>
        </w:rPr>
      </w:pPr>
      <w:r w:rsidRPr="00C22315">
        <w:rPr>
          <w:rFonts w:ascii="Arial" w:eastAsia="宋体" w:hAnsi="Arial" w:cs="Arial"/>
          <w:kern w:val="0"/>
          <w:sz w:val="20"/>
          <w:szCs w:val="20"/>
          <w:lang w:val="en-GB" w:eastAsia="en-US"/>
        </w:rPr>
        <w:t>Carol Kilkenny</w:t>
      </w:r>
      <w:r w:rsidRPr="00C22315">
        <w:rPr>
          <w:rFonts w:ascii="Arial" w:eastAsia="宋体" w:hAnsi="Arial" w:cs="Arial"/>
          <w:kern w:val="0"/>
          <w:sz w:val="20"/>
          <w:szCs w:val="20"/>
          <w:vertAlign w:val="superscript"/>
          <w:lang w:val="en-GB" w:eastAsia="en-US"/>
        </w:rPr>
        <w:t>1</w:t>
      </w:r>
      <w:r w:rsidRPr="00C22315">
        <w:rPr>
          <w:rFonts w:ascii="Arial" w:eastAsia="宋体" w:hAnsi="Arial" w:cs="Arial"/>
          <w:kern w:val="0"/>
          <w:sz w:val="20"/>
          <w:szCs w:val="20"/>
          <w:lang w:val="en-GB" w:eastAsia="en-US"/>
        </w:rPr>
        <w:t>, William J Browne</w:t>
      </w:r>
      <w:r w:rsidRPr="00C22315">
        <w:rPr>
          <w:rFonts w:ascii="Arial" w:eastAsia="宋体" w:hAnsi="Arial" w:cs="Arial"/>
          <w:kern w:val="0"/>
          <w:sz w:val="20"/>
          <w:szCs w:val="20"/>
          <w:vertAlign w:val="superscript"/>
          <w:lang w:val="en-GB" w:eastAsia="en-US"/>
        </w:rPr>
        <w:t>2</w:t>
      </w:r>
      <w:r w:rsidRPr="00C22315">
        <w:rPr>
          <w:rFonts w:ascii="Arial" w:eastAsia="宋体" w:hAnsi="Arial" w:cs="Arial"/>
          <w:kern w:val="0"/>
          <w:sz w:val="20"/>
          <w:szCs w:val="20"/>
          <w:lang w:val="en-GB" w:eastAsia="en-US"/>
        </w:rPr>
        <w:t>, Innes C Cuthill</w:t>
      </w:r>
      <w:r w:rsidRPr="00C22315">
        <w:rPr>
          <w:rFonts w:ascii="Arial" w:eastAsia="宋体" w:hAnsi="Arial" w:cs="Arial"/>
          <w:kern w:val="0"/>
          <w:sz w:val="20"/>
          <w:szCs w:val="20"/>
          <w:vertAlign w:val="superscript"/>
          <w:lang w:val="en-GB" w:eastAsia="en-US"/>
        </w:rPr>
        <w:t>3</w:t>
      </w:r>
      <w:r w:rsidRPr="00C22315">
        <w:rPr>
          <w:rFonts w:ascii="Arial" w:eastAsia="宋体" w:hAnsi="Arial" w:cs="Arial"/>
          <w:kern w:val="0"/>
          <w:sz w:val="20"/>
          <w:szCs w:val="20"/>
          <w:lang w:val="en-GB" w:eastAsia="en-US"/>
        </w:rPr>
        <w:t>, Michael Emerson</w:t>
      </w:r>
      <w:r w:rsidRPr="00C22315">
        <w:rPr>
          <w:rFonts w:ascii="Arial" w:eastAsia="宋体" w:hAnsi="Arial" w:cs="Arial"/>
          <w:kern w:val="0"/>
          <w:sz w:val="20"/>
          <w:szCs w:val="20"/>
          <w:vertAlign w:val="superscript"/>
          <w:lang w:val="en-GB" w:eastAsia="en-US"/>
        </w:rPr>
        <w:t>4</w:t>
      </w:r>
      <w:r w:rsidRPr="00C22315">
        <w:rPr>
          <w:rFonts w:ascii="Arial" w:eastAsia="宋体" w:hAnsi="Arial" w:cs="Arial"/>
          <w:kern w:val="0"/>
          <w:sz w:val="20"/>
          <w:szCs w:val="20"/>
          <w:lang w:val="en-GB" w:eastAsia="en-US"/>
        </w:rPr>
        <w:t xml:space="preserve"> and Douglas G Altman</w:t>
      </w:r>
      <w:r w:rsidRPr="00C22315">
        <w:rPr>
          <w:rFonts w:ascii="Arial" w:eastAsia="宋体" w:hAnsi="Arial" w:cs="Arial"/>
          <w:kern w:val="0"/>
          <w:sz w:val="20"/>
          <w:szCs w:val="20"/>
          <w:vertAlign w:val="superscript"/>
          <w:lang w:val="en-GB" w:eastAsia="en-US"/>
        </w:rPr>
        <w:t>5</w:t>
      </w:r>
    </w:p>
    <w:p w:rsidR="00C22315" w:rsidRPr="00C22315" w:rsidRDefault="00C22315" w:rsidP="00C22315">
      <w:pPr>
        <w:widowControl/>
        <w:autoSpaceDE w:val="0"/>
        <w:autoSpaceDN w:val="0"/>
        <w:adjustRightInd w:val="0"/>
        <w:snapToGrid w:val="0"/>
        <w:spacing w:before="60" w:after="60"/>
        <w:jc w:val="left"/>
        <w:rPr>
          <w:rFonts w:ascii="Arial" w:eastAsia="宋体" w:hAnsi="Arial" w:cs="Arial"/>
          <w:i/>
          <w:iCs/>
          <w:kern w:val="0"/>
          <w:sz w:val="16"/>
          <w:szCs w:val="16"/>
          <w:lang w:val="en-GB" w:eastAsia="en-US"/>
        </w:rPr>
      </w:pPr>
      <w:r w:rsidRPr="00C22315">
        <w:rPr>
          <w:rFonts w:ascii="Arial" w:eastAsia="宋体" w:hAnsi="Arial" w:cs="Arial"/>
          <w:i/>
          <w:iCs/>
          <w:kern w:val="0"/>
          <w:sz w:val="16"/>
          <w:szCs w:val="16"/>
          <w:vertAlign w:val="superscript"/>
          <w:lang w:val="en-GB" w:eastAsia="en-US"/>
        </w:rPr>
        <w:t>1</w:t>
      </w:r>
      <w:r w:rsidRPr="00C22315">
        <w:rPr>
          <w:rFonts w:ascii="Arial" w:eastAsia="宋体" w:hAnsi="Arial" w:cs="Arial"/>
          <w:i/>
          <w:iCs/>
          <w:kern w:val="0"/>
          <w:sz w:val="16"/>
          <w:szCs w:val="16"/>
          <w:lang w:val="en-GB" w:eastAsia="en-US"/>
        </w:rPr>
        <w:t xml:space="preserve">The National Centre for the Replacement, Refinement and Reduction of Animals in Research, London, UK, </w:t>
      </w:r>
      <w:r w:rsidRPr="00C22315">
        <w:rPr>
          <w:rFonts w:ascii="Arial" w:eastAsia="宋体" w:hAnsi="Arial" w:cs="Arial"/>
          <w:i/>
          <w:iCs/>
          <w:kern w:val="0"/>
          <w:sz w:val="16"/>
          <w:szCs w:val="16"/>
          <w:vertAlign w:val="superscript"/>
          <w:lang w:val="en-GB" w:eastAsia="en-US"/>
        </w:rPr>
        <w:t>2</w:t>
      </w:r>
      <w:r w:rsidRPr="00C22315">
        <w:rPr>
          <w:rFonts w:ascii="Arial" w:eastAsia="宋体" w:hAnsi="Arial" w:cs="Arial"/>
          <w:i/>
          <w:iCs/>
          <w:kern w:val="0"/>
          <w:sz w:val="16"/>
          <w:szCs w:val="16"/>
          <w:lang w:val="en-GB" w:eastAsia="en-US"/>
        </w:rPr>
        <w:t xml:space="preserve">School of Veterinary Science, University of Bristol, Bristol, UK, </w:t>
      </w:r>
      <w:r w:rsidRPr="00C22315">
        <w:rPr>
          <w:rFonts w:ascii="Arial" w:eastAsia="宋体" w:hAnsi="Arial" w:cs="Arial"/>
          <w:i/>
          <w:iCs/>
          <w:kern w:val="0"/>
          <w:sz w:val="16"/>
          <w:szCs w:val="16"/>
          <w:vertAlign w:val="superscript"/>
          <w:lang w:val="en-GB" w:eastAsia="en-US"/>
        </w:rPr>
        <w:t>3</w:t>
      </w:r>
      <w:r w:rsidRPr="00C22315">
        <w:rPr>
          <w:rFonts w:ascii="Arial" w:eastAsia="宋体" w:hAnsi="Arial" w:cs="Arial"/>
          <w:i/>
          <w:iCs/>
          <w:kern w:val="0"/>
          <w:sz w:val="16"/>
          <w:szCs w:val="16"/>
          <w:lang w:val="en-GB" w:eastAsia="en-US"/>
        </w:rPr>
        <w:t xml:space="preserve">School of Biological Sciences, University of Bristol, Bristol, UK, </w:t>
      </w:r>
      <w:r w:rsidRPr="00C22315">
        <w:rPr>
          <w:rFonts w:ascii="Arial" w:eastAsia="宋体" w:hAnsi="Arial" w:cs="Arial"/>
          <w:i/>
          <w:iCs/>
          <w:kern w:val="0"/>
          <w:sz w:val="16"/>
          <w:szCs w:val="16"/>
          <w:vertAlign w:val="superscript"/>
          <w:lang w:val="en-GB" w:eastAsia="en-US"/>
        </w:rPr>
        <w:t>4</w:t>
      </w:r>
      <w:r w:rsidRPr="00C22315">
        <w:rPr>
          <w:rFonts w:ascii="Arial" w:eastAsia="宋体" w:hAnsi="Arial" w:cs="Arial"/>
          <w:i/>
          <w:iCs/>
          <w:kern w:val="0"/>
          <w:sz w:val="16"/>
          <w:szCs w:val="16"/>
          <w:lang w:val="en-GB" w:eastAsia="en-US"/>
        </w:rPr>
        <w:t xml:space="preserve">National Heart and Lung Institute, Imperial College London, UK, </w:t>
      </w:r>
      <w:r w:rsidRPr="00C22315">
        <w:rPr>
          <w:rFonts w:ascii="Arial" w:eastAsia="宋体" w:hAnsi="Arial" w:cs="Arial"/>
          <w:i/>
          <w:iCs/>
          <w:kern w:val="0"/>
          <w:sz w:val="16"/>
          <w:szCs w:val="16"/>
          <w:vertAlign w:val="superscript"/>
          <w:lang w:val="en-GB" w:eastAsia="en-US"/>
        </w:rPr>
        <w:t>5</w:t>
      </w:r>
      <w:r w:rsidRPr="00C22315">
        <w:rPr>
          <w:rFonts w:ascii="Arial" w:eastAsia="宋体" w:hAnsi="Arial" w:cs="Arial"/>
          <w:i/>
          <w:iCs/>
          <w:kern w:val="0"/>
          <w:sz w:val="16"/>
          <w:szCs w:val="16"/>
          <w:lang w:val="en-GB" w:eastAsia="en-US"/>
        </w:rPr>
        <w:t>Centre for Statistics in Medicine, University of Oxford, Oxford, UK.</w:t>
      </w:r>
    </w:p>
    <w:p w:rsidR="00C22315" w:rsidRPr="00C22315" w:rsidRDefault="00C22315" w:rsidP="00C22315">
      <w:pPr>
        <w:rPr>
          <w:lang w:val="en-GB"/>
        </w:rPr>
      </w:pPr>
    </w:p>
    <w:tbl>
      <w:tblPr>
        <w:tblW w:w="9396" w:type="dxa"/>
        <w:tblInd w:w="-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4"/>
        <w:gridCol w:w="608"/>
        <w:gridCol w:w="5425"/>
        <w:gridCol w:w="1389"/>
      </w:tblGrid>
      <w:tr w:rsidR="00C22315" w:rsidRPr="00BD04DD" w:rsidTr="002844B2">
        <w:trPr>
          <w:trHeight w:val="240"/>
        </w:trPr>
        <w:tc>
          <w:tcPr>
            <w:tcW w:w="1974" w:type="dxa"/>
            <w:shd w:val="clear" w:color="000000" w:fill="595959"/>
            <w:noWrap/>
            <w:vAlign w:val="center"/>
            <w:hideMark/>
          </w:tcPr>
          <w:p w:rsidR="00C22315" w:rsidRPr="00BD04DD" w:rsidRDefault="00C22315" w:rsidP="002844B2">
            <w:pPr>
              <w:widowControl/>
              <w:jc w:val="left"/>
              <w:rPr>
                <w:rFonts w:ascii="Times New Roman" w:eastAsia="DengXian" w:hAnsi="Times New Roman" w:cs="Times New Roman"/>
                <w:color w:val="FFFFFF"/>
                <w:kern w:val="0"/>
                <w:sz w:val="16"/>
                <w:szCs w:val="16"/>
              </w:rPr>
            </w:pPr>
            <w:r w:rsidRPr="00BD04DD">
              <w:rPr>
                <w:rFonts w:ascii="Times New Roman" w:eastAsia="DengXian" w:hAnsi="Times New Roman" w:cs="Times New Roman"/>
                <w:color w:val="FFFFFF"/>
                <w:kern w:val="0"/>
                <w:sz w:val="16"/>
                <w:szCs w:val="16"/>
              </w:rPr>
              <w:t xml:space="preserve">　</w:t>
            </w:r>
          </w:p>
        </w:tc>
        <w:tc>
          <w:tcPr>
            <w:tcW w:w="608" w:type="dxa"/>
            <w:shd w:val="clear" w:color="000000" w:fill="595959"/>
            <w:noWrap/>
            <w:vAlign w:val="center"/>
            <w:hideMark/>
          </w:tcPr>
          <w:p w:rsidR="00C22315" w:rsidRPr="00BD04DD" w:rsidRDefault="00C22315" w:rsidP="002844B2">
            <w:pPr>
              <w:widowControl/>
              <w:jc w:val="left"/>
              <w:rPr>
                <w:rFonts w:ascii="Times New Roman" w:eastAsia="DengXian" w:hAnsi="Times New Roman" w:cs="Times New Roman"/>
                <w:color w:val="FFFFFF"/>
                <w:kern w:val="0"/>
                <w:sz w:val="16"/>
                <w:szCs w:val="16"/>
              </w:rPr>
            </w:pPr>
            <w:r w:rsidRPr="00BD04DD">
              <w:rPr>
                <w:rFonts w:ascii="Times New Roman" w:eastAsia="DengXian" w:hAnsi="Times New Roman" w:cs="Times New Roman"/>
                <w:color w:val="FFFFFF"/>
                <w:kern w:val="0"/>
                <w:sz w:val="16"/>
                <w:szCs w:val="16"/>
              </w:rPr>
              <w:t>ITEM</w:t>
            </w:r>
          </w:p>
        </w:tc>
        <w:tc>
          <w:tcPr>
            <w:tcW w:w="5425" w:type="dxa"/>
            <w:shd w:val="clear" w:color="000000" w:fill="595959"/>
            <w:vAlign w:val="center"/>
            <w:hideMark/>
          </w:tcPr>
          <w:p w:rsidR="00C22315" w:rsidRPr="00BD04DD" w:rsidRDefault="00C22315" w:rsidP="002844B2">
            <w:pPr>
              <w:widowControl/>
              <w:jc w:val="left"/>
              <w:rPr>
                <w:rFonts w:ascii="Times New Roman" w:eastAsia="DengXian" w:hAnsi="Times New Roman" w:cs="Times New Roman"/>
                <w:color w:val="FFFFFF"/>
                <w:kern w:val="0"/>
                <w:sz w:val="16"/>
                <w:szCs w:val="16"/>
              </w:rPr>
            </w:pPr>
            <w:r w:rsidRPr="00BD04DD">
              <w:rPr>
                <w:rFonts w:ascii="Times New Roman" w:eastAsia="DengXian" w:hAnsi="Times New Roman" w:cs="Times New Roman"/>
                <w:color w:val="FFFFFF"/>
                <w:kern w:val="0"/>
                <w:sz w:val="16"/>
                <w:szCs w:val="16"/>
              </w:rPr>
              <w:t>RECOMMENDATION</w:t>
            </w:r>
          </w:p>
        </w:tc>
        <w:tc>
          <w:tcPr>
            <w:tcW w:w="1389" w:type="dxa"/>
            <w:shd w:val="clear" w:color="000000" w:fill="595959"/>
            <w:noWrap/>
            <w:vAlign w:val="center"/>
            <w:hideMark/>
          </w:tcPr>
          <w:p w:rsidR="00C22315" w:rsidRPr="00BD04DD" w:rsidRDefault="00C22315" w:rsidP="002844B2">
            <w:pPr>
              <w:widowControl/>
              <w:jc w:val="left"/>
              <w:rPr>
                <w:rFonts w:ascii="Times New Roman" w:eastAsia="DengXian" w:hAnsi="Times New Roman" w:cs="Times New Roman"/>
                <w:color w:val="FFFFFF"/>
                <w:kern w:val="0"/>
                <w:sz w:val="16"/>
                <w:szCs w:val="16"/>
              </w:rPr>
            </w:pPr>
            <w:r w:rsidRPr="00BD04DD">
              <w:rPr>
                <w:rFonts w:ascii="Times New Roman" w:eastAsia="DengXian" w:hAnsi="Times New Roman" w:cs="Times New Roman"/>
                <w:color w:val="FFFFFF"/>
                <w:kern w:val="0"/>
                <w:sz w:val="16"/>
                <w:szCs w:val="16"/>
              </w:rPr>
              <w:t>Section/Paragraph</w:t>
            </w:r>
          </w:p>
        </w:tc>
      </w:tr>
      <w:tr w:rsidR="00C22315" w:rsidRPr="00BD04DD" w:rsidTr="002844B2">
        <w:trPr>
          <w:trHeight w:val="24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Title</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1</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Characterization of the Intestinal Microbiota and Metabolites of Broiler Breeders with Different Egg Laying Rate</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1</w:t>
            </w:r>
          </w:p>
        </w:tc>
      </w:tr>
      <w:tr w:rsidR="00C22315" w:rsidRPr="00BD04DD" w:rsidTr="002844B2">
        <w:trPr>
          <w:trHeight w:val="360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Abstract</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2</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Background: The aim of the present study was to determine differences in the intestinal microbiota and metabolites of broiler breeders with different egg laying rate; and its possible relationships between intestinal microbiota and intestinal metabolites were also explored. </w:t>
            </w:r>
            <w:r w:rsidRPr="00BD04DD">
              <w:rPr>
                <w:rFonts w:ascii="Times New Roman" w:eastAsia="DengXian" w:hAnsi="Times New Roman" w:cs="Times New Roman"/>
                <w:color w:val="000000"/>
                <w:kern w:val="0"/>
                <w:sz w:val="16"/>
                <w:szCs w:val="16"/>
              </w:rPr>
              <w:br/>
              <w:t xml:space="preserve">Methods: A total of 200 AA+ parent broiler breeders (41-week-old) were separated into two groups according to their different egg laying rate: average reproductive group (AR: 77.26%±0.88%) and high reproductive group (HR: 86.67%±0.75%), with 10 replicates and 10 birds each 42-days study. </w:t>
            </w:r>
            <w:r w:rsidRPr="00BD04DD">
              <w:rPr>
                <w:rFonts w:ascii="Times New Roman" w:eastAsia="DengXian" w:hAnsi="Times New Roman" w:cs="Times New Roman"/>
                <w:color w:val="000000"/>
                <w:kern w:val="0"/>
                <w:sz w:val="16"/>
                <w:szCs w:val="16"/>
              </w:rPr>
              <w:br/>
              <w:t>Results: Feed conversion ratio (FCR), ovary cell apoptosis rate (</w:t>
            </w:r>
            <w:proofErr w:type="spellStart"/>
            <w:r w:rsidRPr="00BD04DD">
              <w:rPr>
                <w:rFonts w:ascii="Times New Roman" w:eastAsia="DengXian" w:hAnsi="Times New Roman" w:cs="Times New Roman"/>
                <w:color w:val="000000"/>
                <w:kern w:val="0"/>
                <w:sz w:val="16"/>
                <w:szCs w:val="16"/>
              </w:rPr>
              <w:t>ApoCR</w:t>
            </w:r>
            <w:proofErr w:type="spellEnd"/>
            <w:r w:rsidRPr="00BD04DD">
              <w:rPr>
                <w:rFonts w:ascii="Times New Roman" w:eastAsia="DengXian" w:hAnsi="Times New Roman" w:cs="Times New Roman"/>
                <w:color w:val="000000"/>
                <w:kern w:val="0"/>
                <w:sz w:val="16"/>
                <w:szCs w:val="16"/>
              </w:rPr>
              <w:t xml:space="preserve">) and abdominal fat pad weight percentage were lower (p &lt; 0.05), while the hatchability of qualified egg rate (HQR) was higher (p &lt; 0.05) in HR group than that in AR group. At phylum level, Firmicutes and Proteobacteria were the dominant bacteria in small intestines, while Bacteroidetes was dominant bacteria in cecum. At genus level, Lactobacillus was dominant in small intestines while Bacteroides were dominant in cecum. In HR </w:t>
            </w:r>
            <w:proofErr w:type="spellStart"/>
            <w:r w:rsidRPr="00BD04DD">
              <w:rPr>
                <w:rFonts w:ascii="Times New Roman" w:eastAsia="DengXian" w:hAnsi="Times New Roman" w:cs="Times New Roman"/>
                <w:color w:val="000000"/>
                <w:kern w:val="0"/>
                <w:sz w:val="16"/>
                <w:szCs w:val="16"/>
              </w:rPr>
              <w:t>Phascolarctobacterium</w:t>
            </w:r>
            <w:proofErr w:type="spellEnd"/>
            <w:r w:rsidRPr="00BD04DD">
              <w:rPr>
                <w:rFonts w:ascii="Times New Roman" w:eastAsia="DengXian" w:hAnsi="Times New Roman" w:cs="Times New Roman"/>
                <w:color w:val="000000"/>
                <w:kern w:val="0"/>
                <w:sz w:val="16"/>
                <w:szCs w:val="16"/>
              </w:rPr>
              <w:t xml:space="preserve"> were lower (p &lt; 0.05) in ileum. A positive correlation was observed between Actinobacteria in the small intestines and </w:t>
            </w:r>
            <w:proofErr w:type="spellStart"/>
            <w:r w:rsidRPr="00BD04DD">
              <w:rPr>
                <w:rFonts w:ascii="Times New Roman" w:eastAsia="DengXian" w:hAnsi="Times New Roman" w:cs="Times New Roman"/>
                <w:color w:val="000000"/>
                <w:kern w:val="0"/>
                <w:sz w:val="16"/>
                <w:szCs w:val="16"/>
              </w:rPr>
              <w:t>ApoCR</w:t>
            </w:r>
            <w:proofErr w:type="spellEnd"/>
            <w:r w:rsidRPr="00BD04DD">
              <w:rPr>
                <w:rFonts w:ascii="Times New Roman" w:eastAsia="DengXian" w:hAnsi="Times New Roman" w:cs="Times New Roman"/>
                <w:color w:val="000000"/>
                <w:kern w:val="0"/>
                <w:sz w:val="16"/>
                <w:szCs w:val="16"/>
              </w:rPr>
              <w:t xml:space="preserve"> (r = 0.34 &amp; p &lt; 0.05). A positive correlation was observed between FCR and </w:t>
            </w:r>
            <w:proofErr w:type="spellStart"/>
            <w:r w:rsidRPr="00BD04DD">
              <w:rPr>
                <w:rFonts w:ascii="Times New Roman" w:eastAsia="DengXian" w:hAnsi="Times New Roman" w:cs="Times New Roman"/>
                <w:color w:val="000000"/>
                <w:kern w:val="0"/>
                <w:sz w:val="16"/>
                <w:szCs w:val="16"/>
              </w:rPr>
              <w:t>Spirochaetes</w:t>
            </w:r>
            <w:proofErr w:type="spellEnd"/>
            <w:r w:rsidRPr="00BD04DD">
              <w:rPr>
                <w:rFonts w:ascii="Times New Roman" w:eastAsia="DengXian" w:hAnsi="Times New Roman" w:cs="Times New Roman"/>
                <w:color w:val="000000"/>
                <w:kern w:val="0"/>
                <w:sz w:val="16"/>
                <w:szCs w:val="16"/>
              </w:rPr>
              <w:t xml:space="preserve"> in cecum (r = 0.54 &amp; p &lt; 0.05). The metabolomics analysis on ileal digesta content revealed a higher concentration of Octadecanoic acid, 9,12-Octadecadienoic acid, 11-trans-Octadecenoic acid, d-Ribose and Inositol in HR broiler breeders. Moreover, inositol was enriched in "Phosphatidylinositol signaling system", "Inositol phosphate metabolism", "Ascorbate and </w:t>
            </w:r>
            <w:proofErr w:type="spellStart"/>
            <w:r w:rsidRPr="00BD04DD">
              <w:rPr>
                <w:rFonts w:ascii="Times New Roman" w:eastAsia="DengXian" w:hAnsi="Times New Roman" w:cs="Times New Roman"/>
                <w:color w:val="000000"/>
                <w:kern w:val="0"/>
                <w:sz w:val="16"/>
                <w:szCs w:val="16"/>
              </w:rPr>
              <w:t>aldarate</w:t>
            </w:r>
            <w:proofErr w:type="spellEnd"/>
            <w:r w:rsidRPr="00BD04DD">
              <w:rPr>
                <w:rFonts w:ascii="Times New Roman" w:eastAsia="DengXian" w:hAnsi="Times New Roman" w:cs="Times New Roman"/>
                <w:color w:val="000000"/>
                <w:kern w:val="0"/>
                <w:sz w:val="16"/>
                <w:szCs w:val="16"/>
              </w:rPr>
              <w:t xml:space="preserve"> metabolism", "Galactose metabolism", "ABC transporters", and Octadecanoic acid was enriched in "Fatty acid biosynthesis", "Biosynthesis of unsaturated fatty acids". </w:t>
            </w:r>
            <w:r w:rsidRPr="00BD04DD">
              <w:rPr>
                <w:rFonts w:ascii="Times New Roman" w:eastAsia="DengXian" w:hAnsi="Times New Roman" w:cs="Times New Roman"/>
                <w:color w:val="000000"/>
                <w:kern w:val="0"/>
                <w:sz w:val="16"/>
                <w:szCs w:val="16"/>
              </w:rPr>
              <w:br/>
              <w:t xml:space="preserve">Conclusions: Our results suggest that glycerol, inositol modulate energy partitioning in fat metabolism to influence reproductive performances. Microbiota, such as Actinobacteria (phylum), </w:t>
            </w:r>
            <w:proofErr w:type="spellStart"/>
            <w:r w:rsidRPr="00BD04DD">
              <w:rPr>
                <w:rFonts w:ascii="Times New Roman" w:eastAsia="DengXian" w:hAnsi="Times New Roman" w:cs="Times New Roman"/>
                <w:color w:val="000000"/>
                <w:kern w:val="0"/>
                <w:sz w:val="16"/>
                <w:szCs w:val="16"/>
              </w:rPr>
              <w:t>Spirochaetes</w:t>
            </w:r>
            <w:proofErr w:type="spellEnd"/>
            <w:r w:rsidRPr="00BD04DD">
              <w:rPr>
                <w:rFonts w:ascii="Times New Roman" w:eastAsia="DengXian" w:hAnsi="Times New Roman" w:cs="Times New Roman"/>
                <w:color w:val="000000"/>
                <w:kern w:val="0"/>
                <w:sz w:val="16"/>
                <w:szCs w:val="16"/>
              </w:rPr>
              <w:t xml:space="preserve"> (phylum), and </w:t>
            </w:r>
            <w:proofErr w:type="spellStart"/>
            <w:r w:rsidRPr="00BD04DD">
              <w:rPr>
                <w:rFonts w:ascii="Times New Roman" w:eastAsia="DengXian" w:hAnsi="Times New Roman" w:cs="Times New Roman"/>
                <w:color w:val="000000"/>
                <w:kern w:val="0"/>
                <w:sz w:val="16"/>
                <w:szCs w:val="16"/>
              </w:rPr>
              <w:t>Phascolarctobacterium</w:t>
            </w:r>
            <w:proofErr w:type="spellEnd"/>
            <w:r w:rsidRPr="00BD04DD">
              <w:rPr>
                <w:rFonts w:ascii="Times New Roman" w:eastAsia="DengXian" w:hAnsi="Times New Roman" w:cs="Times New Roman"/>
                <w:color w:val="000000"/>
                <w:kern w:val="0"/>
                <w:sz w:val="16"/>
                <w:szCs w:val="16"/>
              </w:rPr>
              <w:t xml:space="preserve"> (genus) may have negative relationship with broiler breeders’ reproductive performances.</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1</w:t>
            </w:r>
          </w:p>
        </w:tc>
      </w:tr>
      <w:tr w:rsidR="00C22315" w:rsidRPr="00BD04DD" w:rsidTr="002844B2">
        <w:trPr>
          <w:trHeight w:val="220"/>
        </w:trPr>
        <w:tc>
          <w:tcPr>
            <w:tcW w:w="1974" w:type="dxa"/>
            <w:shd w:val="clear" w:color="000000" w:fill="C00000"/>
            <w:noWrap/>
            <w:vAlign w:val="center"/>
            <w:hideMark/>
          </w:tcPr>
          <w:p w:rsidR="00C22315" w:rsidRPr="00BD04DD" w:rsidRDefault="00C22315" w:rsidP="002844B2">
            <w:pPr>
              <w:widowControl/>
              <w:jc w:val="left"/>
              <w:rPr>
                <w:rFonts w:ascii="Times New Roman" w:eastAsia="DengXian" w:hAnsi="Times New Roman" w:cs="Times New Roman"/>
                <w:color w:val="FFFFFF"/>
                <w:kern w:val="0"/>
                <w:sz w:val="16"/>
                <w:szCs w:val="16"/>
              </w:rPr>
            </w:pPr>
            <w:r w:rsidRPr="00BD04DD">
              <w:rPr>
                <w:rFonts w:ascii="Times New Roman" w:eastAsia="DengXian" w:hAnsi="Times New Roman" w:cs="Times New Roman"/>
                <w:color w:val="FFFFFF"/>
                <w:kern w:val="0"/>
                <w:sz w:val="16"/>
                <w:szCs w:val="16"/>
              </w:rPr>
              <w:t>INTRODUCTION</w:t>
            </w:r>
          </w:p>
        </w:tc>
        <w:tc>
          <w:tcPr>
            <w:tcW w:w="608" w:type="dxa"/>
            <w:shd w:val="clear" w:color="000000" w:fill="C00000"/>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000000" w:fill="C00000"/>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1389" w:type="dxa"/>
            <w:shd w:val="clear" w:color="000000" w:fill="C00000"/>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r>
      <w:tr w:rsidR="00C22315" w:rsidRPr="00BD04DD" w:rsidTr="002844B2">
        <w:trPr>
          <w:trHeight w:val="408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lastRenderedPageBreak/>
              <w:t>Background</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3</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Poultry is one of the most important sources of protein (meat and eggs) for human </w:t>
            </w:r>
            <w:proofErr w:type="gramStart"/>
            <w:r w:rsidRPr="00BD04DD">
              <w:rPr>
                <w:rFonts w:ascii="Times New Roman" w:eastAsia="DengXian" w:hAnsi="Times New Roman" w:cs="Times New Roman"/>
                <w:color w:val="000000"/>
                <w:kern w:val="0"/>
                <w:sz w:val="16"/>
                <w:szCs w:val="16"/>
              </w:rPr>
              <w:t>nutrition</w:t>
            </w:r>
            <w:r w:rsidRPr="00BE0B63">
              <w:rPr>
                <w:rFonts w:ascii="Times New Roman" w:eastAsia="DengXian" w:hAnsi="Times New Roman" w:cs="Times New Roman"/>
                <w:color w:val="000000"/>
                <w:kern w:val="0"/>
                <w:sz w:val="16"/>
                <w:szCs w:val="16"/>
                <w:highlight w:val="yellow"/>
              </w:rPr>
              <w:t>[</w:t>
            </w:r>
            <w:proofErr w:type="gramEnd"/>
            <w:r w:rsidRPr="00BD04DD">
              <w:rPr>
                <w:rFonts w:ascii="Times New Roman" w:eastAsia="DengXian" w:hAnsi="Times New Roman" w:cs="Times New Roman"/>
                <w:color w:val="000000"/>
                <w:kern w:val="0"/>
                <w:sz w:val="16"/>
                <w:szCs w:val="16"/>
              </w:rPr>
              <w:t xml:space="preserve">1]. Over the past years, a significant improvement in poultry production has resulted in extremely high level of efficiency in both broiler chickens and layer hens, with birds reaching 3 kg in body weight at 40 days of age and hens laying 500 eggs in 100 weeks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2]. </w:t>
            </w:r>
            <w:r w:rsidRPr="00BD04DD">
              <w:rPr>
                <w:rFonts w:ascii="Times New Roman" w:eastAsia="DengXian" w:hAnsi="Times New Roman" w:cs="Times New Roman"/>
                <w:color w:val="000000"/>
                <w:kern w:val="0"/>
                <w:sz w:val="16"/>
                <w:szCs w:val="16"/>
              </w:rPr>
              <w:br/>
              <w:t xml:space="preserve">  Accumulating evidences suggest that the intestinal microbiota could affect the poultry </w:t>
            </w:r>
            <w:proofErr w:type="gramStart"/>
            <w:r w:rsidRPr="00BD04DD">
              <w:rPr>
                <w:rFonts w:ascii="Times New Roman" w:eastAsia="DengXian" w:hAnsi="Times New Roman" w:cs="Times New Roman"/>
                <w:color w:val="000000"/>
                <w:kern w:val="0"/>
                <w:sz w:val="16"/>
                <w:szCs w:val="16"/>
              </w:rPr>
              <w:t>production</w:t>
            </w:r>
            <w:r w:rsidRPr="00BE0B63">
              <w:rPr>
                <w:rFonts w:ascii="Times New Roman" w:eastAsia="DengXian" w:hAnsi="Times New Roman" w:cs="Times New Roman"/>
                <w:color w:val="000000"/>
                <w:kern w:val="0"/>
                <w:sz w:val="16"/>
                <w:szCs w:val="16"/>
                <w:highlight w:val="yellow"/>
              </w:rPr>
              <w:t>[</w:t>
            </w:r>
            <w:proofErr w:type="gramEnd"/>
            <w:r w:rsidRPr="00BD04DD">
              <w:rPr>
                <w:rFonts w:ascii="Times New Roman" w:eastAsia="DengXian" w:hAnsi="Times New Roman" w:cs="Times New Roman"/>
                <w:color w:val="000000"/>
                <w:kern w:val="0"/>
                <w:sz w:val="16"/>
                <w:szCs w:val="16"/>
              </w:rPr>
              <w:t xml:space="preserve">3]. The microbiota is defined as the microbial community, including commensal, symbiotic and pathogenic microorganisms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4] which could interact with the host, resulting in the influence of metabolism, immunity and even behavior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5]. A normal and stable microbiota play a pivotal role in maintaining optimal gastrointestinal functionality, animal health, welfare and production performances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6] .</w:t>
            </w:r>
            <w:r w:rsidRPr="00BD04DD">
              <w:rPr>
                <w:rFonts w:ascii="Times New Roman" w:eastAsia="DengXian" w:hAnsi="Times New Roman" w:cs="Times New Roman"/>
                <w:color w:val="000000"/>
                <w:kern w:val="0"/>
                <w:sz w:val="16"/>
                <w:szCs w:val="16"/>
              </w:rPr>
              <w:br/>
              <w:t xml:space="preserve">  It has been reported that the microbiota can modulate the host’s digestive</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7-10] , endocrine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5], immune</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11, 12] and nervous systems function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13]. The gastrointestinal (GIT) microbiota contributes to the regulation of fat deposition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14] which in poultry seems to be independent of host genetics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15]. These observations are not surprising considering that microbial metabolites such as short-chain fatty acids have been implicated in the modulation of energy </w:t>
            </w:r>
            <w:proofErr w:type="gramStart"/>
            <w:r w:rsidRPr="00BD04DD">
              <w:rPr>
                <w:rFonts w:ascii="Times New Roman" w:eastAsia="DengXian" w:hAnsi="Times New Roman" w:cs="Times New Roman"/>
                <w:color w:val="000000"/>
                <w:kern w:val="0"/>
                <w:sz w:val="16"/>
                <w:szCs w:val="16"/>
              </w:rPr>
              <w:t>metabolism</w:t>
            </w:r>
            <w:r w:rsidRPr="00BE0B63">
              <w:rPr>
                <w:rFonts w:ascii="Times New Roman" w:eastAsia="DengXian" w:hAnsi="Times New Roman" w:cs="Times New Roman"/>
                <w:color w:val="000000"/>
                <w:kern w:val="0"/>
                <w:sz w:val="16"/>
                <w:szCs w:val="16"/>
                <w:highlight w:val="yellow"/>
              </w:rPr>
              <w:t>[</w:t>
            </w:r>
            <w:proofErr w:type="gramEnd"/>
            <w:r w:rsidRPr="00BD04DD">
              <w:rPr>
                <w:rFonts w:ascii="Times New Roman" w:eastAsia="DengXian" w:hAnsi="Times New Roman" w:cs="Times New Roman"/>
                <w:color w:val="000000"/>
                <w:kern w:val="0"/>
                <w:sz w:val="16"/>
                <w:szCs w:val="16"/>
              </w:rPr>
              <w:t xml:space="preserve">16] . </w:t>
            </w:r>
            <w:proofErr w:type="gramStart"/>
            <w:r w:rsidRPr="00BD04DD">
              <w:rPr>
                <w:rFonts w:ascii="Times New Roman" w:eastAsia="DengXian" w:hAnsi="Times New Roman" w:cs="Times New Roman"/>
                <w:color w:val="000000"/>
                <w:kern w:val="0"/>
                <w:sz w:val="16"/>
                <w:szCs w:val="16"/>
              </w:rPr>
              <w:t>Furthermore</w:t>
            </w:r>
            <w:proofErr w:type="gramEnd"/>
            <w:r w:rsidRPr="00BD04DD">
              <w:rPr>
                <w:rFonts w:ascii="Times New Roman" w:eastAsia="DengXian" w:hAnsi="Times New Roman" w:cs="Times New Roman"/>
                <w:color w:val="000000"/>
                <w:kern w:val="0"/>
                <w:sz w:val="16"/>
                <w:szCs w:val="16"/>
              </w:rPr>
              <w:t xml:space="preserve"> the microbiota can improve feed conversion efficiency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17] as a consequence of their ability to synthetize beneficial nutrients such as vitamins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18-20] and by improving the energy harvest from the diet, resulting in improved growth performances. Moreover, in addition to the well-known links between the GIT microbiota and the neuroendocrine function of the gut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21], it has been shown that dysbiosis of the GIT microbiota can result in the activation of the immune system which in turn raise serum insulin levels and androgen production disrupting ovarian function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22]. Indeed, in humans, polycystic ovary syndrome (PCOS) is associated with altered insulin sensitivity and hormonal imbalance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23]. Whether the GIT microbiota is involved in the regulation of ovarian activity in poultry is still not known. </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2-3</w:t>
            </w:r>
          </w:p>
        </w:tc>
      </w:tr>
      <w:tr w:rsidR="00C22315" w:rsidRPr="00BD04DD" w:rsidTr="002844B2">
        <w:trPr>
          <w:trHeight w:val="48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Objectives</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4</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In this study, we intended to explore the possible relationships between the GIT microbiota, intestinal metabolites and ovarian function in broiler breeders with different egg laying rate. The results will provide clarity of understanding of the effect of the GIT microbiota on broiler breeders' gastrointestinal functionality.</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3</w:t>
            </w:r>
          </w:p>
        </w:tc>
      </w:tr>
      <w:tr w:rsidR="00C22315" w:rsidRPr="00BD04DD" w:rsidTr="002844B2">
        <w:trPr>
          <w:trHeight w:val="220"/>
        </w:trPr>
        <w:tc>
          <w:tcPr>
            <w:tcW w:w="1974" w:type="dxa"/>
            <w:shd w:val="clear" w:color="000000" w:fill="375623"/>
            <w:noWrap/>
            <w:vAlign w:val="center"/>
            <w:hideMark/>
          </w:tcPr>
          <w:p w:rsidR="00C22315" w:rsidRPr="00BD04DD" w:rsidRDefault="00C22315" w:rsidP="002844B2">
            <w:pPr>
              <w:widowControl/>
              <w:jc w:val="left"/>
              <w:rPr>
                <w:rFonts w:ascii="Times New Roman" w:eastAsia="DengXian" w:hAnsi="Times New Roman" w:cs="Times New Roman"/>
                <w:color w:val="FFFFFF"/>
                <w:kern w:val="0"/>
                <w:sz w:val="16"/>
                <w:szCs w:val="16"/>
              </w:rPr>
            </w:pPr>
            <w:r w:rsidRPr="00BD04DD">
              <w:rPr>
                <w:rFonts w:ascii="Times New Roman" w:eastAsia="DengXian" w:hAnsi="Times New Roman" w:cs="Times New Roman"/>
                <w:color w:val="FFFFFF"/>
                <w:kern w:val="0"/>
                <w:sz w:val="16"/>
                <w:szCs w:val="16"/>
              </w:rPr>
              <w:t>METHODS</w:t>
            </w:r>
          </w:p>
        </w:tc>
        <w:tc>
          <w:tcPr>
            <w:tcW w:w="608" w:type="dxa"/>
            <w:shd w:val="clear" w:color="000000" w:fill="375623"/>
            <w:noWrap/>
            <w:vAlign w:val="center"/>
            <w:hideMark/>
          </w:tcPr>
          <w:p w:rsidR="00C22315" w:rsidRPr="00BD04DD" w:rsidRDefault="00C22315" w:rsidP="002844B2">
            <w:pPr>
              <w:widowControl/>
              <w:jc w:val="left"/>
              <w:rPr>
                <w:rFonts w:ascii="Times New Roman" w:eastAsia="DengXian" w:hAnsi="Times New Roman" w:cs="Times New Roman"/>
                <w:color w:val="FFFFFF"/>
                <w:kern w:val="0"/>
                <w:sz w:val="16"/>
                <w:szCs w:val="16"/>
              </w:rPr>
            </w:pPr>
            <w:r w:rsidRPr="00BD04DD">
              <w:rPr>
                <w:rFonts w:ascii="Times New Roman" w:eastAsia="DengXian" w:hAnsi="Times New Roman" w:cs="Times New Roman"/>
                <w:color w:val="FFFFFF"/>
                <w:kern w:val="0"/>
                <w:sz w:val="16"/>
                <w:szCs w:val="16"/>
              </w:rPr>
              <w:t xml:space="preserve">　</w:t>
            </w:r>
          </w:p>
        </w:tc>
        <w:tc>
          <w:tcPr>
            <w:tcW w:w="5425" w:type="dxa"/>
            <w:shd w:val="clear" w:color="000000" w:fill="375623"/>
            <w:vAlign w:val="center"/>
            <w:hideMark/>
          </w:tcPr>
          <w:p w:rsidR="00C22315" w:rsidRPr="00BD04DD" w:rsidRDefault="00C22315" w:rsidP="002844B2">
            <w:pPr>
              <w:widowControl/>
              <w:jc w:val="left"/>
              <w:rPr>
                <w:rFonts w:ascii="Times New Roman" w:eastAsia="DengXian" w:hAnsi="Times New Roman" w:cs="Times New Roman"/>
                <w:color w:val="FFFFFF"/>
                <w:kern w:val="0"/>
                <w:sz w:val="16"/>
                <w:szCs w:val="16"/>
              </w:rPr>
            </w:pPr>
            <w:r w:rsidRPr="00BD04DD">
              <w:rPr>
                <w:rFonts w:ascii="Times New Roman" w:eastAsia="DengXian" w:hAnsi="Times New Roman" w:cs="Times New Roman"/>
                <w:color w:val="FFFFFF"/>
                <w:kern w:val="0"/>
                <w:sz w:val="16"/>
                <w:szCs w:val="16"/>
              </w:rPr>
              <w:t xml:space="preserve">　</w:t>
            </w:r>
          </w:p>
        </w:tc>
        <w:tc>
          <w:tcPr>
            <w:tcW w:w="1389" w:type="dxa"/>
            <w:shd w:val="clear" w:color="000000" w:fill="375623"/>
            <w:noWrap/>
            <w:vAlign w:val="center"/>
            <w:hideMark/>
          </w:tcPr>
          <w:p w:rsidR="00C22315" w:rsidRPr="00BD04DD" w:rsidRDefault="00C22315" w:rsidP="002844B2">
            <w:pPr>
              <w:widowControl/>
              <w:jc w:val="left"/>
              <w:rPr>
                <w:rFonts w:ascii="Times New Roman" w:eastAsia="DengXian" w:hAnsi="Times New Roman" w:cs="Times New Roman"/>
                <w:color w:val="FFFFFF"/>
                <w:kern w:val="0"/>
                <w:sz w:val="16"/>
                <w:szCs w:val="16"/>
              </w:rPr>
            </w:pPr>
            <w:r w:rsidRPr="00BD04DD">
              <w:rPr>
                <w:rFonts w:ascii="Times New Roman" w:eastAsia="DengXian" w:hAnsi="Times New Roman" w:cs="Times New Roman"/>
                <w:color w:val="FFFFFF"/>
                <w:kern w:val="0"/>
                <w:sz w:val="16"/>
                <w:szCs w:val="16"/>
              </w:rPr>
              <w:t xml:space="preserve">　</w:t>
            </w:r>
          </w:p>
        </w:tc>
      </w:tr>
      <w:tr w:rsidR="00C22315" w:rsidRPr="00BD04DD" w:rsidTr="002844B2">
        <w:trPr>
          <w:trHeight w:val="24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Ethical statement</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5</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This experiment protocol used in the study was approved by the Animal Care and Use Committee of Sichuan Agricultural University.</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15</w:t>
            </w:r>
          </w:p>
        </w:tc>
      </w:tr>
      <w:tr w:rsidR="00C22315" w:rsidRPr="00BD04DD" w:rsidTr="002844B2">
        <w:trPr>
          <w:trHeight w:val="24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Study design</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2 groups 10 replicates of 10 birds</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3</w:t>
            </w:r>
          </w:p>
        </w:tc>
      </w:tr>
      <w:tr w:rsidR="00C22315" w:rsidRPr="00BD04DD" w:rsidTr="002844B2">
        <w:trPr>
          <w:trHeight w:val="480"/>
        </w:trPr>
        <w:tc>
          <w:tcPr>
            <w:tcW w:w="1974" w:type="dxa"/>
            <w:vMerge w:val="restart"/>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Experimental procedures</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Prepare for trial: 2688 birds' (37-week-old) production are recorded in 2 weeks, then choose 200 birds according to according to their different egg production rate (EPR; AR: 78.57%±0.00% vs. HR: 95.79%±0.43%) ,divided into two separate </w:t>
            </w:r>
            <w:proofErr w:type="spellStart"/>
            <w:r w:rsidRPr="00BD04DD">
              <w:rPr>
                <w:rFonts w:ascii="Times New Roman" w:eastAsia="DengXian" w:hAnsi="Times New Roman" w:cs="Times New Roman"/>
                <w:color w:val="000000"/>
                <w:kern w:val="0"/>
                <w:sz w:val="16"/>
                <w:szCs w:val="16"/>
              </w:rPr>
              <w:t>goups</w:t>
            </w:r>
            <w:proofErr w:type="spellEnd"/>
            <w:r w:rsidRPr="00BD04DD">
              <w:rPr>
                <w:rFonts w:ascii="Times New Roman" w:eastAsia="DengXian" w:hAnsi="Times New Roman" w:cs="Times New Roman"/>
                <w:color w:val="000000"/>
                <w:kern w:val="0"/>
                <w:sz w:val="16"/>
                <w:szCs w:val="16"/>
              </w:rPr>
              <w:t xml:space="preserve">, to  suit for new cages for 2 weeks. </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3</w:t>
            </w:r>
          </w:p>
        </w:tc>
      </w:tr>
      <w:tr w:rsidR="00C22315" w:rsidRPr="00BD04DD" w:rsidTr="002844B2">
        <w:trPr>
          <w:trHeight w:val="720"/>
        </w:trPr>
        <w:tc>
          <w:tcPr>
            <w:tcW w:w="1974" w:type="dxa"/>
            <w:vMerge/>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Trial: birds are ready for experiment at 41-week-old that are housing in cages with 2 birds per cage. Experiment last for 42 days. Broiler breeders were subjected to artificial insemination every 4 days. All birds were fed restrictedly </w:t>
            </w:r>
            <w:r w:rsidRPr="00BD04DD">
              <w:rPr>
                <w:rFonts w:ascii="Times New Roman" w:eastAsia="DengXian" w:hAnsi="Times New Roman" w:cs="Times New Roman"/>
                <w:color w:val="000000"/>
                <w:kern w:val="0"/>
                <w:sz w:val="16"/>
                <w:szCs w:val="16"/>
              </w:rPr>
              <w:lastRenderedPageBreak/>
              <w:t xml:space="preserve">with the same composition of diet at 162 gram per bird; Also recording the </w:t>
            </w:r>
            <w:proofErr w:type="spellStart"/>
            <w:r w:rsidRPr="00BD04DD">
              <w:rPr>
                <w:rFonts w:ascii="Times New Roman" w:eastAsia="DengXian" w:hAnsi="Times New Roman" w:cs="Times New Roman"/>
                <w:color w:val="000000"/>
                <w:kern w:val="0"/>
                <w:sz w:val="16"/>
                <w:szCs w:val="16"/>
              </w:rPr>
              <w:t>hatchablity</w:t>
            </w:r>
            <w:proofErr w:type="spellEnd"/>
            <w:r w:rsidRPr="00BD04DD">
              <w:rPr>
                <w:rFonts w:ascii="Times New Roman" w:eastAsia="DengXian" w:hAnsi="Times New Roman" w:cs="Times New Roman"/>
                <w:color w:val="000000"/>
                <w:kern w:val="0"/>
                <w:sz w:val="16"/>
                <w:szCs w:val="16"/>
              </w:rPr>
              <w:t xml:space="preserve"> at third and sixth week.</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lastRenderedPageBreak/>
              <w:t>page 3</w:t>
            </w:r>
          </w:p>
        </w:tc>
      </w:tr>
      <w:tr w:rsidR="00C22315" w:rsidRPr="00BD04DD" w:rsidTr="002844B2">
        <w:trPr>
          <w:trHeight w:val="24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Experimental animals</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Birds are AA+ parent broiler breeders, which sacrificed at average weight of AR: 4.08 kg vs HR: 4.15 kg.</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3</w:t>
            </w:r>
          </w:p>
        </w:tc>
      </w:tr>
      <w:tr w:rsidR="00C22315" w:rsidRPr="00BD04DD" w:rsidTr="002844B2">
        <w:trPr>
          <w:trHeight w:val="48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Housing and husbandry</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Birds are housed in same </w:t>
            </w:r>
            <w:proofErr w:type="spellStart"/>
            <w:r w:rsidRPr="00BD04DD">
              <w:rPr>
                <w:rFonts w:ascii="Times New Roman" w:eastAsia="DengXian" w:hAnsi="Times New Roman" w:cs="Times New Roman"/>
                <w:color w:val="000000"/>
                <w:kern w:val="0"/>
                <w:sz w:val="16"/>
                <w:szCs w:val="16"/>
              </w:rPr>
              <w:t>hight</w:t>
            </w:r>
            <w:proofErr w:type="spellEnd"/>
            <w:r w:rsidRPr="00BD04DD">
              <w:rPr>
                <w:rFonts w:ascii="Times New Roman" w:eastAsia="DengXian" w:hAnsi="Times New Roman" w:cs="Times New Roman"/>
                <w:color w:val="000000"/>
                <w:kern w:val="0"/>
                <w:sz w:val="16"/>
                <w:szCs w:val="16"/>
              </w:rPr>
              <w:t>-level-cages, made of iron, and the environmental temperature was maintained at 23℃; the daily lighting schedule was 16 h light and 8 h dark. Birds had ad libitum access to water. Checking the health and comfort of all birds everyday.</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3</w:t>
            </w:r>
          </w:p>
        </w:tc>
      </w:tr>
      <w:tr w:rsidR="00C22315" w:rsidRPr="00BD04DD" w:rsidTr="002844B2">
        <w:trPr>
          <w:trHeight w:val="24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Sample size</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The total number of </w:t>
            </w:r>
            <w:proofErr w:type="gramStart"/>
            <w:r w:rsidRPr="00BD04DD">
              <w:rPr>
                <w:rFonts w:ascii="Times New Roman" w:eastAsia="DengXian" w:hAnsi="Times New Roman" w:cs="Times New Roman"/>
                <w:color w:val="000000"/>
                <w:kern w:val="0"/>
                <w:sz w:val="16"/>
                <w:szCs w:val="16"/>
              </w:rPr>
              <w:t>animal</w:t>
            </w:r>
            <w:proofErr w:type="gramEnd"/>
            <w:r w:rsidRPr="00BD04DD">
              <w:rPr>
                <w:rFonts w:ascii="Times New Roman" w:eastAsia="DengXian" w:hAnsi="Times New Roman" w:cs="Times New Roman"/>
                <w:color w:val="000000"/>
                <w:kern w:val="0"/>
                <w:sz w:val="16"/>
                <w:szCs w:val="16"/>
              </w:rPr>
              <w:t xml:space="preserve"> are </w:t>
            </w:r>
            <w:proofErr w:type="spellStart"/>
            <w:r w:rsidRPr="00BD04DD">
              <w:rPr>
                <w:rFonts w:ascii="Times New Roman" w:eastAsia="DengXian" w:hAnsi="Times New Roman" w:cs="Times New Roman"/>
                <w:color w:val="000000"/>
                <w:kern w:val="0"/>
                <w:sz w:val="16"/>
                <w:szCs w:val="16"/>
              </w:rPr>
              <w:t>discribed</w:t>
            </w:r>
            <w:proofErr w:type="spellEnd"/>
            <w:r w:rsidRPr="00BD04DD">
              <w:rPr>
                <w:rFonts w:ascii="Times New Roman" w:eastAsia="DengXian" w:hAnsi="Times New Roman" w:cs="Times New Roman"/>
                <w:color w:val="000000"/>
                <w:kern w:val="0"/>
                <w:sz w:val="16"/>
                <w:szCs w:val="16"/>
              </w:rPr>
              <w:t xml:space="preserve"> above.</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3</w:t>
            </w:r>
          </w:p>
        </w:tc>
      </w:tr>
      <w:tr w:rsidR="00C22315" w:rsidRPr="00BD04DD" w:rsidTr="002844B2">
        <w:trPr>
          <w:trHeight w:val="480"/>
        </w:trPr>
        <w:tc>
          <w:tcPr>
            <w:tcW w:w="1974"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Allocating animals to experimental groups</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The cages within AR birds and HR birds are side by side. To be more specific, the first cage within 2 AR birds near to the second cage within 2 HR birds.</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3</w:t>
            </w:r>
          </w:p>
        </w:tc>
      </w:tr>
      <w:tr w:rsidR="00C22315" w:rsidRPr="00BD04DD" w:rsidTr="002844B2">
        <w:trPr>
          <w:trHeight w:val="24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Experimental outcomes</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Intestinal microbiota </w:t>
            </w:r>
            <w:proofErr w:type="gramStart"/>
            <w:r w:rsidRPr="00BD04DD">
              <w:rPr>
                <w:rFonts w:ascii="Times New Roman" w:eastAsia="DengXian" w:hAnsi="Times New Roman" w:cs="Times New Roman"/>
                <w:color w:val="000000"/>
                <w:kern w:val="0"/>
                <w:sz w:val="16"/>
                <w:szCs w:val="16"/>
              </w:rPr>
              <w:t>have</w:t>
            </w:r>
            <w:proofErr w:type="gramEnd"/>
            <w:r w:rsidRPr="00BD04DD">
              <w:rPr>
                <w:rFonts w:ascii="Times New Roman" w:eastAsia="DengXian" w:hAnsi="Times New Roman" w:cs="Times New Roman"/>
                <w:color w:val="000000"/>
                <w:kern w:val="0"/>
                <w:sz w:val="16"/>
                <w:szCs w:val="16"/>
              </w:rPr>
              <w:t xml:space="preserve"> relationship with reproductive </w:t>
            </w:r>
            <w:proofErr w:type="spellStart"/>
            <w:r w:rsidRPr="00BD04DD">
              <w:rPr>
                <w:rFonts w:ascii="Times New Roman" w:eastAsia="DengXian" w:hAnsi="Times New Roman" w:cs="Times New Roman"/>
                <w:color w:val="000000"/>
                <w:kern w:val="0"/>
                <w:sz w:val="16"/>
                <w:szCs w:val="16"/>
              </w:rPr>
              <w:t>performaces</w:t>
            </w:r>
            <w:proofErr w:type="spellEnd"/>
            <w:r w:rsidRPr="00BD04DD">
              <w:rPr>
                <w:rFonts w:ascii="Times New Roman" w:eastAsia="DengXian" w:hAnsi="Times New Roman" w:cs="Times New Roman"/>
                <w:color w:val="000000"/>
                <w:kern w:val="0"/>
                <w:sz w:val="16"/>
                <w:szCs w:val="16"/>
              </w:rPr>
              <w:t>, and the metabolites could influence it as well.</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r>
      <w:tr w:rsidR="00C22315" w:rsidRPr="00BD04DD" w:rsidTr="002844B2">
        <w:trPr>
          <w:trHeight w:val="72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Statistical methods</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Data was analyzed by independent-sample T-test in the SPSS version 25.0 statistical software package (IBM® SPSS® Statistics, New York, USA), differences among treatments were considered significant at p &lt; 0.05. Alpha indexes were analyzed by Wilcox rank sum test, differences among treatments were considered significant at p &lt; 0.05. Adonis test was based on Bray-Curtis distance, differences among treatments were considered significant at p &lt; 0.05.</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7</w:t>
            </w:r>
          </w:p>
        </w:tc>
      </w:tr>
      <w:tr w:rsidR="00C22315" w:rsidRPr="00BD04DD" w:rsidTr="002844B2">
        <w:trPr>
          <w:trHeight w:val="220"/>
        </w:trPr>
        <w:tc>
          <w:tcPr>
            <w:tcW w:w="1974" w:type="dxa"/>
            <w:shd w:val="clear" w:color="000000" w:fill="70AD47"/>
            <w:noWrap/>
            <w:vAlign w:val="center"/>
            <w:hideMark/>
          </w:tcPr>
          <w:p w:rsidR="00C22315" w:rsidRPr="00BD04DD" w:rsidRDefault="00C22315" w:rsidP="002844B2">
            <w:pPr>
              <w:widowControl/>
              <w:jc w:val="left"/>
              <w:rPr>
                <w:rFonts w:ascii="Times New Roman" w:eastAsia="DengXian" w:hAnsi="Times New Roman" w:cs="Times New Roman"/>
                <w:color w:val="FFFFFF"/>
                <w:kern w:val="0"/>
                <w:sz w:val="16"/>
                <w:szCs w:val="16"/>
              </w:rPr>
            </w:pPr>
            <w:r w:rsidRPr="00BD04DD">
              <w:rPr>
                <w:rFonts w:ascii="Times New Roman" w:eastAsia="DengXian" w:hAnsi="Times New Roman" w:cs="Times New Roman"/>
                <w:color w:val="FFFFFF"/>
                <w:kern w:val="0"/>
                <w:sz w:val="16"/>
                <w:szCs w:val="16"/>
              </w:rPr>
              <w:t>RERULTS</w:t>
            </w:r>
          </w:p>
        </w:tc>
        <w:tc>
          <w:tcPr>
            <w:tcW w:w="608" w:type="dxa"/>
            <w:shd w:val="clear" w:color="000000" w:fill="70AD47"/>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000000" w:fill="70AD47"/>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1389" w:type="dxa"/>
            <w:shd w:val="clear" w:color="000000" w:fill="70AD47"/>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r>
      <w:tr w:rsidR="00C22315" w:rsidRPr="00BD04DD" w:rsidTr="002844B2">
        <w:trPr>
          <w:trHeight w:val="4253"/>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Baseline data</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Reproductive Performance</w:t>
            </w:r>
            <w:r w:rsidRPr="00BD04DD">
              <w:rPr>
                <w:rFonts w:ascii="Times New Roman" w:eastAsia="DengXian" w:hAnsi="Times New Roman" w:cs="Times New Roman"/>
                <w:color w:val="000000"/>
                <w:kern w:val="0"/>
                <w:sz w:val="16"/>
                <w:szCs w:val="16"/>
              </w:rPr>
              <w:br/>
              <w:t xml:space="preserve"> Feed conversion ratio (FCR) was lower in the HR birds (p &lt; 0.05). As expected, the hatchability of qualified egg rate (HQR) was higher in the HR group (p &lt; 0.05) (Table 1).</w:t>
            </w:r>
            <w:r w:rsidRPr="00BD04DD">
              <w:rPr>
                <w:rFonts w:ascii="Times New Roman" w:eastAsia="DengXian" w:hAnsi="Times New Roman" w:cs="Times New Roman"/>
                <w:color w:val="000000"/>
                <w:kern w:val="0"/>
                <w:sz w:val="16"/>
                <w:szCs w:val="16"/>
              </w:rPr>
              <w:br/>
              <w:t>Digestive Organs</w:t>
            </w:r>
            <w:r w:rsidRPr="00BD04DD">
              <w:rPr>
                <w:rFonts w:ascii="Times New Roman" w:eastAsia="DengXian" w:hAnsi="Times New Roman" w:cs="Times New Roman"/>
                <w:color w:val="000000"/>
                <w:kern w:val="0"/>
                <w:sz w:val="16"/>
                <w:szCs w:val="16"/>
              </w:rPr>
              <w:br/>
              <w:t>Compared to the AR groups, birds in the HR group presented a lower abdominal fat content (p &lt; 0.05), however no differences were observed for chicken weight, relative weight of crop, proventriculus, gizzard, intestines (duodenum, jejunum, ileum, cecum)  and length of intestines. Ovary cell apoptosis rate (</w:t>
            </w:r>
            <w:proofErr w:type="spellStart"/>
            <w:r w:rsidRPr="00BD04DD">
              <w:rPr>
                <w:rFonts w:ascii="Times New Roman" w:eastAsia="DengXian" w:hAnsi="Times New Roman" w:cs="Times New Roman"/>
                <w:color w:val="000000"/>
                <w:kern w:val="0"/>
                <w:sz w:val="16"/>
                <w:szCs w:val="16"/>
              </w:rPr>
              <w:t>ApoCR</w:t>
            </w:r>
            <w:proofErr w:type="spellEnd"/>
            <w:r w:rsidRPr="00BD04DD">
              <w:rPr>
                <w:rFonts w:ascii="Times New Roman" w:eastAsia="DengXian" w:hAnsi="Times New Roman" w:cs="Times New Roman"/>
                <w:color w:val="000000"/>
                <w:kern w:val="0"/>
                <w:sz w:val="16"/>
                <w:szCs w:val="16"/>
              </w:rPr>
              <w:t>) in the ovaries of the HR birds was lower than to that observed in the AR group (p &lt; 0.05</w:t>
            </w:r>
            <w:proofErr w:type="gramStart"/>
            <w:r w:rsidRPr="00BD04DD">
              <w:rPr>
                <w:rFonts w:ascii="Times New Roman" w:eastAsia="DengXian" w:hAnsi="Times New Roman" w:cs="Times New Roman"/>
                <w:color w:val="000000"/>
                <w:kern w:val="0"/>
                <w:sz w:val="16"/>
                <w:szCs w:val="16"/>
              </w:rPr>
              <w:t>) .</w:t>
            </w:r>
            <w:proofErr w:type="gramEnd"/>
            <w:r w:rsidRPr="00BD04DD">
              <w:rPr>
                <w:rFonts w:ascii="Times New Roman" w:eastAsia="DengXian" w:hAnsi="Times New Roman" w:cs="Times New Roman"/>
                <w:color w:val="000000"/>
                <w:kern w:val="0"/>
                <w:sz w:val="16"/>
                <w:szCs w:val="16"/>
              </w:rPr>
              <w:t xml:space="preserve"> The Chao1 and ACE indexes were lower in duodenum and ileum of HR (p &lt; 0.05</w:t>
            </w:r>
            <w:proofErr w:type="gramStart"/>
            <w:r w:rsidRPr="00BD04DD">
              <w:rPr>
                <w:rFonts w:ascii="Times New Roman" w:eastAsia="DengXian" w:hAnsi="Times New Roman" w:cs="Times New Roman"/>
                <w:color w:val="000000"/>
                <w:kern w:val="0"/>
                <w:sz w:val="16"/>
                <w:szCs w:val="16"/>
              </w:rPr>
              <w:t>)  and</w:t>
            </w:r>
            <w:proofErr w:type="gramEnd"/>
            <w:r w:rsidRPr="00BD04DD">
              <w:rPr>
                <w:rFonts w:ascii="Times New Roman" w:eastAsia="DengXian" w:hAnsi="Times New Roman" w:cs="Times New Roman"/>
                <w:color w:val="000000"/>
                <w:kern w:val="0"/>
                <w:sz w:val="16"/>
                <w:szCs w:val="16"/>
              </w:rPr>
              <w:t xml:space="preserve"> Shannon index was lower in ileum of HR (p &lt; 0.05).                                                                                                                                             A total top 10 phyla and top 10 genera were based on the identified OTUs. At phylum level, Firmicutes, Proteobacteria in duodenum, Firmicutes, Cyanobacteria in jejunum and ileum, Firmicutes, Bacteroidetes in cecum were the predominant phyla. At genus level, Lactobacillus, </w:t>
            </w:r>
            <w:proofErr w:type="spellStart"/>
            <w:r w:rsidRPr="00BD04DD">
              <w:rPr>
                <w:rFonts w:ascii="Times New Roman" w:eastAsia="DengXian" w:hAnsi="Times New Roman" w:cs="Times New Roman"/>
                <w:color w:val="000000"/>
                <w:kern w:val="0"/>
                <w:sz w:val="16"/>
                <w:szCs w:val="16"/>
              </w:rPr>
              <w:t>Unidentified_Chloroplast</w:t>
            </w:r>
            <w:proofErr w:type="spellEnd"/>
            <w:r w:rsidRPr="00BD04DD">
              <w:rPr>
                <w:rFonts w:ascii="Times New Roman" w:eastAsia="DengXian" w:hAnsi="Times New Roman" w:cs="Times New Roman"/>
                <w:color w:val="000000"/>
                <w:kern w:val="0"/>
                <w:sz w:val="16"/>
                <w:szCs w:val="16"/>
              </w:rPr>
              <w:t xml:space="preserve">, Helicobacter, Bacteroides and </w:t>
            </w:r>
            <w:proofErr w:type="spellStart"/>
            <w:r w:rsidRPr="00BD04DD">
              <w:rPr>
                <w:rFonts w:ascii="Times New Roman" w:eastAsia="DengXian" w:hAnsi="Times New Roman" w:cs="Times New Roman"/>
                <w:color w:val="000000"/>
                <w:kern w:val="0"/>
                <w:sz w:val="16"/>
                <w:szCs w:val="16"/>
              </w:rPr>
              <w:t>Phyllobacterium</w:t>
            </w:r>
            <w:proofErr w:type="spellEnd"/>
            <w:r w:rsidRPr="00BD04DD">
              <w:rPr>
                <w:rFonts w:ascii="Times New Roman" w:eastAsia="DengXian" w:hAnsi="Times New Roman" w:cs="Times New Roman"/>
                <w:color w:val="000000"/>
                <w:kern w:val="0"/>
                <w:sz w:val="16"/>
                <w:szCs w:val="16"/>
              </w:rPr>
              <w:t xml:space="preserve"> in duodenum, </w:t>
            </w:r>
            <w:proofErr w:type="spellStart"/>
            <w:r w:rsidRPr="00BD04DD">
              <w:rPr>
                <w:rFonts w:ascii="Times New Roman" w:eastAsia="DengXian" w:hAnsi="Times New Roman" w:cs="Times New Roman"/>
                <w:color w:val="000000"/>
                <w:kern w:val="0"/>
                <w:sz w:val="16"/>
                <w:szCs w:val="16"/>
              </w:rPr>
              <w:t>jejumum</w:t>
            </w:r>
            <w:proofErr w:type="spellEnd"/>
            <w:r w:rsidRPr="00BD04DD">
              <w:rPr>
                <w:rFonts w:ascii="Times New Roman" w:eastAsia="DengXian" w:hAnsi="Times New Roman" w:cs="Times New Roman"/>
                <w:color w:val="000000"/>
                <w:kern w:val="0"/>
                <w:sz w:val="16"/>
                <w:szCs w:val="16"/>
              </w:rPr>
              <w:t xml:space="preserve"> and ileum, Lactobacillus, Fusobacterium, Bacteroides and </w:t>
            </w:r>
            <w:proofErr w:type="spellStart"/>
            <w:r w:rsidRPr="00BD04DD">
              <w:rPr>
                <w:rFonts w:ascii="Times New Roman" w:eastAsia="DengXian" w:hAnsi="Times New Roman" w:cs="Times New Roman"/>
                <w:color w:val="000000"/>
                <w:kern w:val="0"/>
                <w:sz w:val="16"/>
                <w:szCs w:val="16"/>
              </w:rPr>
              <w:t>Rikenellaceae</w:t>
            </w:r>
            <w:proofErr w:type="spellEnd"/>
            <w:r w:rsidRPr="00BD04DD">
              <w:rPr>
                <w:rFonts w:ascii="Times New Roman" w:eastAsia="DengXian" w:hAnsi="Times New Roman" w:cs="Times New Roman"/>
                <w:color w:val="000000"/>
                <w:kern w:val="0"/>
                <w:sz w:val="16"/>
                <w:szCs w:val="16"/>
              </w:rPr>
              <w:t xml:space="preserve"> in cecum were the predominant genera. With the T-test, in ileum </w:t>
            </w:r>
            <w:proofErr w:type="spellStart"/>
            <w:r w:rsidRPr="00BD04DD">
              <w:rPr>
                <w:rFonts w:ascii="Times New Roman" w:eastAsia="DengXian" w:hAnsi="Times New Roman" w:cs="Times New Roman"/>
                <w:color w:val="000000"/>
                <w:kern w:val="0"/>
                <w:sz w:val="16"/>
                <w:szCs w:val="16"/>
              </w:rPr>
              <w:t>Pyhllobacterium</w:t>
            </w:r>
            <w:proofErr w:type="spellEnd"/>
            <w:r w:rsidRPr="00BD04DD">
              <w:rPr>
                <w:rFonts w:ascii="Times New Roman" w:eastAsia="DengXian" w:hAnsi="Times New Roman" w:cs="Times New Roman"/>
                <w:color w:val="000000"/>
                <w:kern w:val="0"/>
                <w:sz w:val="16"/>
                <w:szCs w:val="16"/>
              </w:rPr>
              <w:t xml:space="preserve"> and </w:t>
            </w:r>
            <w:proofErr w:type="spellStart"/>
            <w:r w:rsidRPr="00BD04DD">
              <w:rPr>
                <w:rFonts w:ascii="Times New Roman" w:eastAsia="DengXian" w:hAnsi="Times New Roman" w:cs="Times New Roman"/>
                <w:color w:val="000000"/>
                <w:kern w:val="0"/>
                <w:sz w:val="16"/>
                <w:szCs w:val="16"/>
              </w:rPr>
              <w:t>Phascolarctobacterium</w:t>
            </w:r>
            <w:proofErr w:type="spellEnd"/>
            <w:r w:rsidRPr="00BD04DD">
              <w:rPr>
                <w:rFonts w:ascii="Times New Roman" w:eastAsia="DengXian" w:hAnsi="Times New Roman" w:cs="Times New Roman"/>
                <w:color w:val="000000"/>
                <w:kern w:val="0"/>
                <w:sz w:val="16"/>
                <w:szCs w:val="16"/>
              </w:rPr>
              <w:t xml:space="preserve"> were lower (p &lt; 0.05) in HR, in cecum Ruminiclostridium_5 was lower (p &lt; 0.05) and Precotellaceae_UCG-001 was higher (p &lt; 0.05) in HR.</w:t>
            </w:r>
            <w:r w:rsidRPr="00BD04DD">
              <w:rPr>
                <w:rFonts w:ascii="Times New Roman" w:eastAsia="DengXian" w:hAnsi="Times New Roman" w:cs="Times New Roman"/>
                <w:color w:val="000000"/>
                <w:kern w:val="0"/>
                <w:sz w:val="16"/>
                <w:szCs w:val="16"/>
              </w:rPr>
              <w:br/>
              <w:t xml:space="preserve">  The principal coordinate analysis (</w:t>
            </w:r>
            <w:proofErr w:type="spellStart"/>
            <w:r w:rsidRPr="00BD04DD">
              <w:rPr>
                <w:rFonts w:ascii="Times New Roman" w:eastAsia="DengXian" w:hAnsi="Times New Roman" w:cs="Times New Roman"/>
                <w:color w:val="000000"/>
                <w:kern w:val="0"/>
                <w:sz w:val="16"/>
                <w:szCs w:val="16"/>
              </w:rPr>
              <w:t>PCoA</w:t>
            </w:r>
            <w:proofErr w:type="spellEnd"/>
            <w:r w:rsidRPr="00BD04DD">
              <w:rPr>
                <w:rFonts w:ascii="Times New Roman" w:eastAsia="DengXian" w:hAnsi="Times New Roman" w:cs="Times New Roman"/>
                <w:color w:val="000000"/>
                <w:kern w:val="0"/>
                <w:sz w:val="16"/>
                <w:szCs w:val="16"/>
              </w:rPr>
              <w:t xml:space="preserve">) based on weighted </w:t>
            </w:r>
            <w:proofErr w:type="spellStart"/>
            <w:r w:rsidRPr="00BD04DD">
              <w:rPr>
                <w:rFonts w:ascii="Times New Roman" w:eastAsia="DengXian" w:hAnsi="Times New Roman" w:cs="Times New Roman"/>
                <w:color w:val="000000"/>
                <w:kern w:val="0"/>
                <w:sz w:val="16"/>
                <w:szCs w:val="16"/>
              </w:rPr>
              <w:t>unifrac</w:t>
            </w:r>
            <w:proofErr w:type="spellEnd"/>
            <w:r w:rsidRPr="00BD04DD">
              <w:rPr>
                <w:rFonts w:ascii="Times New Roman" w:eastAsia="DengXian" w:hAnsi="Times New Roman" w:cs="Times New Roman"/>
                <w:color w:val="000000"/>
                <w:kern w:val="0"/>
                <w:sz w:val="16"/>
                <w:szCs w:val="16"/>
              </w:rPr>
              <w:t xml:space="preserve"> distance was applied to examine differences in taxonomic community composition and </w:t>
            </w:r>
            <w:r w:rsidRPr="00BD04DD">
              <w:rPr>
                <w:rFonts w:ascii="Times New Roman" w:eastAsia="DengXian" w:hAnsi="Times New Roman" w:cs="Times New Roman"/>
                <w:color w:val="000000"/>
                <w:kern w:val="0"/>
                <w:sz w:val="16"/>
                <w:szCs w:val="16"/>
              </w:rPr>
              <w:lastRenderedPageBreak/>
              <w:t xml:space="preserve">structure in the duodenum, jejunum, ileum and cecum. The </w:t>
            </w:r>
            <w:proofErr w:type="spellStart"/>
            <w:r w:rsidRPr="00BD04DD">
              <w:rPr>
                <w:rFonts w:ascii="Times New Roman" w:eastAsia="DengXian" w:hAnsi="Times New Roman" w:cs="Times New Roman"/>
                <w:color w:val="000000"/>
                <w:kern w:val="0"/>
                <w:sz w:val="16"/>
                <w:szCs w:val="16"/>
              </w:rPr>
              <w:t>PCoA</w:t>
            </w:r>
            <w:proofErr w:type="spellEnd"/>
            <w:r w:rsidRPr="00BD04DD">
              <w:rPr>
                <w:rFonts w:ascii="Times New Roman" w:eastAsia="DengXian" w:hAnsi="Times New Roman" w:cs="Times New Roman"/>
                <w:color w:val="000000"/>
                <w:kern w:val="0"/>
                <w:sz w:val="16"/>
                <w:szCs w:val="16"/>
              </w:rPr>
              <w:t xml:space="preserve"> analysis indicates that the bacterial community composition of the duodenum, jejunum, ileum and cecum of the HR birds can be separated from that of the AR group, however this separation did not reach significant difference .</w:t>
            </w:r>
            <w:r w:rsidRPr="00BD04DD">
              <w:rPr>
                <w:rFonts w:ascii="Times New Roman" w:eastAsia="DengXian" w:hAnsi="Times New Roman" w:cs="Times New Roman"/>
                <w:color w:val="000000"/>
                <w:kern w:val="0"/>
                <w:sz w:val="16"/>
                <w:szCs w:val="16"/>
              </w:rPr>
              <w:br/>
              <w:t xml:space="preserve">  Spearman correlation analysis was employed to explore correlations between microbiota richness and performance parameters (EPR, FCR, HQR and </w:t>
            </w:r>
            <w:proofErr w:type="spellStart"/>
            <w:r w:rsidRPr="00BD04DD">
              <w:rPr>
                <w:rFonts w:ascii="Times New Roman" w:eastAsia="DengXian" w:hAnsi="Times New Roman" w:cs="Times New Roman"/>
                <w:color w:val="000000"/>
                <w:kern w:val="0"/>
                <w:sz w:val="16"/>
                <w:szCs w:val="16"/>
              </w:rPr>
              <w:t>ApoCR</w:t>
            </w:r>
            <w:proofErr w:type="spellEnd"/>
            <w:r w:rsidRPr="00BD04DD">
              <w:rPr>
                <w:rFonts w:ascii="Times New Roman" w:eastAsia="DengXian" w:hAnsi="Times New Roman" w:cs="Times New Roman"/>
                <w:color w:val="000000"/>
                <w:kern w:val="0"/>
                <w:sz w:val="16"/>
                <w:szCs w:val="16"/>
              </w:rPr>
              <w:t xml:space="preserve">) measured in this study. At phylum level, Actinobacteria in the small intestines were positively correlated with </w:t>
            </w:r>
            <w:proofErr w:type="spellStart"/>
            <w:r w:rsidRPr="00BD04DD">
              <w:rPr>
                <w:rFonts w:ascii="Times New Roman" w:eastAsia="DengXian" w:hAnsi="Times New Roman" w:cs="Times New Roman"/>
                <w:color w:val="000000"/>
                <w:kern w:val="0"/>
                <w:sz w:val="16"/>
                <w:szCs w:val="16"/>
              </w:rPr>
              <w:t>ApoCR</w:t>
            </w:r>
            <w:proofErr w:type="spellEnd"/>
            <w:r w:rsidRPr="00BD04DD">
              <w:rPr>
                <w:rFonts w:ascii="Times New Roman" w:eastAsia="DengXian" w:hAnsi="Times New Roman" w:cs="Times New Roman"/>
                <w:color w:val="000000"/>
                <w:kern w:val="0"/>
                <w:sz w:val="16"/>
                <w:szCs w:val="16"/>
              </w:rPr>
              <w:t xml:space="preserve">. </w:t>
            </w:r>
            <w:proofErr w:type="spellStart"/>
            <w:r w:rsidRPr="00BD04DD">
              <w:rPr>
                <w:rFonts w:ascii="Times New Roman" w:eastAsia="DengXian" w:hAnsi="Times New Roman" w:cs="Times New Roman"/>
                <w:color w:val="000000"/>
                <w:kern w:val="0"/>
                <w:sz w:val="16"/>
                <w:szCs w:val="16"/>
              </w:rPr>
              <w:t>Euryarchaeota</w:t>
            </w:r>
            <w:proofErr w:type="spellEnd"/>
            <w:r w:rsidRPr="00BD04DD">
              <w:rPr>
                <w:rFonts w:ascii="Times New Roman" w:eastAsia="DengXian" w:hAnsi="Times New Roman" w:cs="Times New Roman"/>
                <w:color w:val="000000"/>
                <w:kern w:val="0"/>
                <w:sz w:val="16"/>
                <w:szCs w:val="16"/>
              </w:rPr>
              <w:t xml:space="preserve"> in the small intestines were negatively correlated with EPR and HQR and positively correlated with FCR. At genus level, </w:t>
            </w:r>
            <w:proofErr w:type="spellStart"/>
            <w:r w:rsidRPr="00BD04DD">
              <w:rPr>
                <w:rFonts w:ascii="Times New Roman" w:eastAsia="DengXian" w:hAnsi="Times New Roman" w:cs="Times New Roman"/>
                <w:color w:val="000000"/>
                <w:kern w:val="0"/>
                <w:sz w:val="16"/>
                <w:szCs w:val="16"/>
              </w:rPr>
              <w:t>Phyllobacterium</w:t>
            </w:r>
            <w:proofErr w:type="spellEnd"/>
            <w:r w:rsidRPr="00BD04DD">
              <w:rPr>
                <w:rFonts w:ascii="Times New Roman" w:eastAsia="DengXian" w:hAnsi="Times New Roman" w:cs="Times New Roman"/>
                <w:color w:val="000000"/>
                <w:kern w:val="0"/>
                <w:sz w:val="16"/>
                <w:szCs w:val="16"/>
              </w:rPr>
              <w:t xml:space="preserve">, </w:t>
            </w:r>
            <w:proofErr w:type="spellStart"/>
            <w:r w:rsidRPr="00BD04DD">
              <w:rPr>
                <w:rFonts w:ascii="Times New Roman" w:eastAsia="DengXian" w:hAnsi="Times New Roman" w:cs="Times New Roman"/>
                <w:color w:val="000000"/>
                <w:kern w:val="0"/>
                <w:sz w:val="16"/>
                <w:szCs w:val="16"/>
              </w:rPr>
              <w:t>Romboutsia</w:t>
            </w:r>
            <w:proofErr w:type="spellEnd"/>
            <w:r w:rsidRPr="00BD04DD">
              <w:rPr>
                <w:rFonts w:ascii="Times New Roman" w:eastAsia="DengXian" w:hAnsi="Times New Roman" w:cs="Times New Roman"/>
                <w:color w:val="000000"/>
                <w:kern w:val="0"/>
                <w:sz w:val="16"/>
                <w:szCs w:val="16"/>
              </w:rPr>
              <w:t xml:space="preserve">, </w:t>
            </w:r>
            <w:proofErr w:type="spellStart"/>
            <w:r w:rsidRPr="00BD04DD">
              <w:rPr>
                <w:rFonts w:ascii="Times New Roman" w:eastAsia="DengXian" w:hAnsi="Times New Roman" w:cs="Times New Roman"/>
                <w:color w:val="000000"/>
                <w:kern w:val="0"/>
                <w:sz w:val="16"/>
                <w:szCs w:val="16"/>
              </w:rPr>
              <w:t>Megamonas</w:t>
            </w:r>
            <w:proofErr w:type="spellEnd"/>
            <w:r w:rsidRPr="00BD04DD">
              <w:rPr>
                <w:rFonts w:ascii="Times New Roman" w:eastAsia="DengXian" w:hAnsi="Times New Roman" w:cs="Times New Roman"/>
                <w:color w:val="000000"/>
                <w:kern w:val="0"/>
                <w:sz w:val="16"/>
                <w:szCs w:val="16"/>
              </w:rPr>
              <w:t xml:space="preserve">, Coprococcus_1 in the small intestines were negatively correlated with EPR; </w:t>
            </w:r>
            <w:proofErr w:type="spellStart"/>
            <w:r w:rsidRPr="00BD04DD">
              <w:rPr>
                <w:rFonts w:ascii="Times New Roman" w:eastAsia="DengXian" w:hAnsi="Times New Roman" w:cs="Times New Roman"/>
                <w:color w:val="000000"/>
                <w:kern w:val="0"/>
                <w:sz w:val="16"/>
                <w:szCs w:val="16"/>
              </w:rPr>
              <w:t>Phyllobacterium</w:t>
            </w:r>
            <w:proofErr w:type="spellEnd"/>
            <w:r w:rsidRPr="00BD04DD">
              <w:rPr>
                <w:rFonts w:ascii="Times New Roman" w:eastAsia="DengXian" w:hAnsi="Times New Roman" w:cs="Times New Roman"/>
                <w:color w:val="000000"/>
                <w:kern w:val="0"/>
                <w:sz w:val="16"/>
                <w:szCs w:val="16"/>
              </w:rPr>
              <w:t xml:space="preserve"> in the small intestines were positively correlated with </w:t>
            </w:r>
            <w:proofErr w:type="gramStart"/>
            <w:r w:rsidRPr="00BD04DD">
              <w:rPr>
                <w:rFonts w:ascii="Times New Roman" w:eastAsia="DengXian" w:hAnsi="Times New Roman" w:cs="Times New Roman"/>
                <w:color w:val="000000"/>
                <w:kern w:val="0"/>
                <w:sz w:val="16"/>
                <w:szCs w:val="16"/>
              </w:rPr>
              <w:t>FCR .</w:t>
            </w:r>
            <w:proofErr w:type="gramEnd"/>
            <w:r w:rsidRPr="00BD04DD">
              <w:rPr>
                <w:rFonts w:ascii="Times New Roman" w:eastAsia="DengXian" w:hAnsi="Times New Roman" w:cs="Times New Roman"/>
                <w:color w:val="000000"/>
                <w:kern w:val="0"/>
                <w:sz w:val="16"/>
                <w:szCs w:val="16"/>
              </w:rPr>
              <w:t xml:space="preserve"> At phylum level, </w:t>
            </w:r>
            <w:proofErr w:type="spellStart"/>
            <w:r w:rsidRPr="00BD04DD">
              <w:rPr>
                <w:rFonts w:ascii="Times New Roman" w:eastAsia="DengXian" w:hAnsi="Times New Roman" w:cs="Times New Roman"/>
                <w:color w:val="000000"/>
                <w:kern w:val="0"/>
                <w:sz w:val="16"/>
                <w:szCs w:val="16"/>
              </w:rPr>
              <w:t>Spirochaetes</w:t>
            </w:r>
            <w:proofErr w:type="spellEnd"/>
            <w:r w:rsidRPr="00BD04DD">
              <w:rPr>
                <w:rFonts w:ascii="Times New Roman" w:eastAsia="DengXian" w:hAnsi="Times New Roman" w:cs="Times New Roman"/>
                <w:color w:val="000000"/>
                <w:kern w:val="0"/>
                <w:sz w:val="16"/>
                <w:szCs w:val="16"/>
              </w:rPr>
              <w:t xml:space="preserve"> in the cecum was positive correlated with FCR while Planctomycetes in the cecum was negatively correlated with HQR. At genus level, </w:t>
            </w:r>
            <w:proofErr w:type="spellStart"/>
            <w:r w:rsidRPr="00BD04DD">
              <w:rPr>
                <w:rFonts w:ascii="Times New Roman" w:eastAsia="DengXian" w:hAnsi="Times New Roman" w:cs="Times New Roman"/>
                <w:color w:val="000000"/>
                <w:kern w:val="0"/>
                <w:sz w:val="16"/>
                <w:szCs w:val="16"/>
              </w:rPr>
              <w:t>Sphaerochaeta</w:t>
            </w:r>
            <w:proofErr w:type="spellEnd"/>
            <w:r w:rsidRPr="00BD04DD">
              <w:rPr>
                <w:rFonts w:ascii="Times New Roman" w:eastAsia="DengXian" w:hAnsi="Times New Roman" w:cs="Times New Roman"/>
                <w:color w:val="000000"/>
                <w:kern w:val="0"/>
                <w:sz w:val="16"/>
                <w:szCs w:val="16"/>
              </w:rPr>
              <w:t xml:space="preserve"> in the cecum was negatively correlated with </w:t>
            </w:r>
            <w:proofErr w:type="gramStart"/>
            <w:r w:rsidRPr="00BD04DD">
              <w:rPr>
                <w:rFonts w:ascii="Times New Roman" w:eastAsia="DengXian" w:hAnsi="Times New Roman" w:cs="Times New Roman"/>
                <w:color w:val="000000"/>
                <w:kern w:val="0"/>
                <w:sz w:val="16"/>
                <w:szCs w:val="16"/>
              </w:rPr>
              <w:t>EPR .</w:t>
            </w:r>
            <w:proofErr w:type="gramEnd"/>
            <w:r w:rsidRPr="00BD04DD">
              <w:rPr>
                <w:rFonts w:ascii="Times New Roman" w:eastAsia="DengXian" w:hAnsi="Times New Roman" w:cs="Times New Roman"/>
                <w:color w:val="000000"/>
                <w:kern w:val="0"/>
                <w:sz w:val="16"/>
                <w:szCs w:val="16"/>
              </w:rPr>
              <w:t xml:space="preserve"> </w:t>
            </w:r>
            <w:r w:rsidRPr="00BD04DD">
              <w:rPr>
                <w:rFonts w:ascii="Times New Roman" w:eastAsia="DengXian" w:hAnsi="Times New Roman" w:cs="Times New Roman"/>
                <w:color w:val="000000"/>
                <w:kern w:val="0"/>
                <w:sz w:val="16"/>
                <w:szCs w:val="16"/>
              </w:rPr>
              <w:br/>
              <w:t>Metabolites and KEGG Pathways</w:t>
            </w:r>
            <w:r w:rsidRPr="00BD04DD">
              <w:rPr>
                <w:rFonts w:ascii="Times New Roman" w:eastAsia="DengXian" w:hAnsi="Times New Roman" w:cs="Times New Roman"/>
                <w:color w:val="000000"/>
                <w:kern w:val="0"/>
                <w:sz w:val="16"/>
                <w:szCs w:val="16"/>
              </w:rPr>
              <w:br/>
              <w:t xml:space="preserve">A total of 71 metabolites were identified in both ileal and </w:t>
            </w:r>
            <w:proofErr w:type="spellStart"/>
            <w:r w:rsidRPr="00BD04DD">
              <w:rPr>
                <w:rFonts w:ascii="Times New Roman" w:eastAsia="DengXian" w:hAnsi="Times New Roman" w:cs="Times New Roman"/>
                <w:color w:val="000000"/>
                <w:kern w:val="0"/>
                <w:sz w:val="16"/>
                <w:szCs w:val="16"/>
              </w:rPr>
              <w:t>caecal</w:t>
            </w:r>
            <w:proofErr w:type="spellEnd"/>
            <w:r w:rsidRPr="00BD04DD">
              <w:rPr>
                <w:rFonts w:ascii="Times New Roman" w:eastAsia="DengXian" w:hAnsi="Times New Roman" w:cs="Times New Roman"/>
                <w:color w:val="000000"/>
                <w:kern w:val="0"/>
                <w:sz w:val="16"/>
                <w:szCs w:val="16"/>
              </w:rPr>
              <w:t xml:space="preserve"> samples. Ileal metabolites presented a higher level of expression than the </w:t>
            </w:r>
            <w:proofErr w:type="spellStart"/>
            <w:r w:rsidRPr="00BD04DD">
              <w:rPr>
                <w:rFonts w:ascii="Times New Roman" w:eastAsia="DengXian" w:hAnsi="Times New Roman" w:cs="Times New Roman"/>
                <w:color w:val="000000"/>
                <w:kern w:val="0"/>
                <w:sz w:val="16"/>
                <w:szCs w:val="16"/>
              </w:rPr>
              <w:t>caecal</w:t>
            </w:r>
            <w:proofErr w:type="spellEnd"/>
            <w:r w:rsidRPr="00BD04DD">
              <w:rPr>
                <w:rFonts w:ascii="Times New Roman" w:eastAsia="DengXian" w:hAnsi="Times New Roman" w:cs="Times New Roman"/>
                <w:color w:val="000000"/>
                <w:kern w:val="0"/>
                <w:sz w:val="16"/>
                <w:szCs w:val="16"/>
              </w:rPr>
              <w:t xml:space="preserve"> ones. In the ileum Octadecanoic acid, 9,12-Octadecadienoic acid, 11-trans-Octadecenoic acid, d-Ribose and inositol were expressed at higher level in the HR birds, according to their VIP values in the PLS-DA model (VIP &gt; 1) and p-value from Student's t-test (p &lt; 0.05). In the cecum, we observed that inositol was lower in the HR birds). A ROC analysis was carried out to determine the ability of the identified ileal metabolites to discriminate between the AR and HR groups. The heatmap reports the ileal metabolites ranked in order of their AUC values, and indicated that the five metabolites were effective in discriminating between the HR and AR birds. The KEGG pathway database was utilized to analyze the metabolic pathways relating to the five metabolites identified in the ileum. We observed that inositol was enriched in the "Phosphatidylinositol signaling system", "Inositol phosphate metabolism", "Ascorbate and </w:t>
            </w:r>
            <w:proofErr w:type="spellStart"/>
            <w:r w:rsidRPr="00BD04DD">
              <w:rPr>
                <w:rFonts w:ascii="Times New Roman" w:eastAsia="DengXian" w:hAnsi="Times New Roman" w:cs="Times New Roman"/>
                <w:color w:val="000000"/>
                <w:kern w:val="0"/>
                <w:sz w:val="16"/>
                <w:szCs w:val="16"/>
              </w:rPr>
              <w:t>aldarate</w:t>
            </w:r>
            <w:proofErr w:type="spellEnd"/>
            <w:r w:rsidRPr="00BD04DD">
              <w:rPr>
                <w:rFonts w:ascii="Times New Roman" w:eastAsia="DengXian" w:hAnsi="Times New Roman" w:cs="Times New Roman"/>
                <w:color w:val="000000"/>
                <w:kern w:val="0"/>
                <w:sz w:val="16"/>
                <w:szCs w:val="16"/>
              </w:rPr>
              <w:t xml:space="preserve"> metabolism", "Galactose metabolism", "ABC transporters", while octadecanoic acid was enriched in the "Fatty acid biosynthesis", "Biosynthesis of unsaturated fatty acids" pathways.</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lastRenderedPageBreak/>
              <w:t>page 7-10</w:t>
            </w:r>
          </w:p>
        </w:tc>
      </w:tr>
      <w:tr w:rsidR="00C22315" w:rsidRPr="00BD04DD" w:rsidTr="002844B2">
        <w:trPr>
          <w:trHeight w:val="48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Numbers </w:t>
            </w:r>
            <w:proofErr w:type="spellStart"/>
            <w:r w:rsidRPr="00BD04DD">
              <w:rPr>
                <w:rFonts w:ascii="Times New Roman" w:eastAsia="DengXian" w:hAnsi="Times New Roman" w:cs="Times New Roman"/>
                <w:color w:val="000000"/>
                <w:kern w:val="0"/>
                <w:sz w:val="16"/>
                <w:szCs w:val="16"/>
              </w:rPr>
              <w:t>analysed</w:t>
            </w:r>
            <w:proofErr w:type="spellEnd"/>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10 birds in each group are in reproductive </w:t>
            </w:r>
            <w:proofErr w:type="spellStart"/>
            <w:r w:rsidRPr="00BD04DD">
              <w:rPr>
                <w:rFonts w:ascii="Times New Roman" w:eastAsia="DengXian" w:hAnsi="Times New Roman" w:cs="Times New Roman"/>
                <w:color w:val="000000"/>
                <w:kern w:val="0"/>
                <w:sz w:val="16"/>
                <w:szCs w:val="16"/>
              </w:rPr>
              <w:t>performace</w:t>
            </w:r>
            <w:proofErr w:type="spellEnd"/>
            <w:r w:rsidRPr="00BD04DD">
              <w:rPr>
                <w:rFonts w:ascii="Times New Roman" w:eastAsia="DengXian" w:hAnsi="Times New Roman" w:cs="Times New Roman"/>
                <w:color w:val="000000"/>
                <w:kern w:val="0"/>
                <w:sz w:val="16"/>
                <w:szCs w:val="16"/>
              </w:rPr>
              <w:t xml:space="preserve"> </w:t>
            </w:r>
            <w:proofErr w:type="spellStart"/>
            <w:proofErr w:type="gramStart"/>
            <w:r w:rsidRPr="00BD04DD">
              <w:rPr>
                <w:rFonts w:ascii="Times New Roman" w:eastAsia="DengXian" w:hAnsi="Times New Roman" w:cs="Times New Roman"/>
                <w:color w:val="000000"/>
                <w:kern w:val="0"/>
                <w:sz w:val="16"/>
                <w:szCs w:val="16"/>
              </w:rPr>
              <w:t>analysis,digestive</w:t>
            </w:r>
            <w:proofErr w:type="spellEnd"/>
            <w:proofErr w:type="gramEnd"/>
            <w:r w:rsidRPr="00BD04DD">
              <w:rPr>
                <w:rFonts w:ascii="Times New Roman" w:eastAsia="DengXian" w:hAnsi="Times New Roman" w:cs="Times New Roman"/>
                <w:color w:val="000000"/>
                <w:kern w:val="0"/>
                <w:sz w:val="16"/>
                <w:szCs w:val="16"/>
              </w:rPr>
              <w:t xml:space="preserve"> organs analysis, and ovary apoptosis analysis; 8 birds' intestinal microbiota in each group is in microbiota analysis; 6 birds' metabolites in each groups are in metabolite analysis.</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7-10</w:t>
            </w:r>
          </w:p>
        </w:tc>
      </w:tr>
      <w:tr w:rsidR="00C22315" w:rsidRPr="00BD04DD" w:rsidTr="002844B2">
        <w:trPr>
          <w:trHeight w:val="24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Outcomes and estimation</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All results are </w:t>
            </w:r>
            <w:proofErr w:type="spellStart"/>
            <w:r w:rsidRPr="00BD04DD">
              <w:rPr>
                <w:rFonts w:ascii="Times New Roman" w:eastAsia="DengXian" w:hAnsi="Times New Roman" w:cs="Times New Roman"/>
                <w:color w:val="000000"/>
                <w:kern w:val="0"/>
                <w:sz w:val="16"/>
                <w:szCs w:val="16"/>
              </w:rPr>
              <w:t>discribed</w:t>
            </w:r>
            <w:proofErr w:type="spellEnd"/>
            <w:r w:rsidRPr="00BD04DD">
              <w:rPr>
                <w:rFonts w:ascii="Times New Roman" w:eastAsia="DengXian" w:hAnsi="Times New Roman" w:cs="Times New Roman"/>
                <w:color w:val="000000"/>
                <w:kern w:val="0"/>
                <w:sz w:val="16"/>
                <w:szCs w:val="16"/>
              </w:rPr>
              <w:t xml:space="preserve"> above, also could be check in manuscript.</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22-31</w:t>
            </w:r>
          </w:p>
        </w:tc>
      </w:tr>
      <w:tr w:rsidR="00C22315" w:rsidRPr="00BD04DD" w:rsidTr="002844B2">
        <w:trPr>
          <w:trHeight w:val="24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Advent events</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not applicable</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r>
      <w:tr w:rsidR="00C22315" w:rsidRPr="00BD04DD" w:rsidTr="002844B2">
        <w:trPr>
          <w:trHeight w:val="220"/>
        </w:trPr>
        <w:tc>
          <w:tcPr>
            <w:tcW w:w="1974" w:type="dxa"/>
            <w:shd w:val="clear" w:color="000000" w:fill="7030A0"/>
            <w:noWrap/>
            <w:vAlign w:val="center"/>
            <w:hideMark/>
          </w:tcPr>
          <w:p w:rsidR="00C22315" w:rsidRPr="00BD04DD" w:rsidRDefault="00C22315" w:rsidP="002844B2">
            <w:pPr>
              <w:widowControl/>
              <w:jc w:val="left"/>
              <w:rPr>
                <w:rFonts w:ascii="Times New Roman" w:eastAsia="DengXian" w:hAnsi="Times New Roman" w:cs="Times New Roman"/>
                <w:color w:val="FFFFFF"/>
                <w:kern w:val="0"/>
                <w:sz w:val="16"/>
                <w:szCs w:val="16"/>
              </w:rPr>
            </w:pPr>
            <w:r w:rsidRPr="00BD04DD">
              <w:rPr>
                <w:rFonts w:ascii="Times New Roman" w:eastAsia="DengXian" w:hAnsi="Times New Roman" w:cs="Times New Roman"/>
                <w:color w:val="FFFFFF"/>
                <w:kern w:val="0"/>
                <w:sz w:val="16"/>
                <w:szCs w:val="16"/>
              </w:rPr>
              <w:t>DISCUSSION</w:t>
            </w:r>
          </w:p>
        </w:tc>
        <w:tc>
          <w:tcPr>
            <w:tcW w:w="608" w:type="dxa"/>
            <w:shd w:val="clear" w:color="000000" w:fill="7030A0"/>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000000" w:fill="7030A0"/>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1389" w:type="dxa"/>
            <w:shd w:val="clear" w:color="000000" w:fill="7030A0"/>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r>
      <w:tr w:rsidR="00C22315" w:rsidRPr="00BD04DD" w:rsidTr="002844B2">
        <w:trPr>
          <w:trHeight w:val="8192"/>
        </w:trPr>
        <w:tc>
          <w:tcPr>
            <w:tcW w:w="1974"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lastRenderedPageBreak/>
              <w:t>Interpretation/ scientific implications</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The main function of the GIT is to digest feed and absorb nutrients. In the small intestine (duodenum, jejunum and ileum), the host absorbs mostly the nutrients of dietary origin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37], while in the cecum, the host absorbs nutrients that product by microbial fermentation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38, 39]. It is well accepted that productive and reproductive performances are influenced by absorption and utilization of nutrients in poultry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40, 41]. In the present study, even though both AR and HR birds were fed the same diet, we observed that abdominal fat was lower in the HR birds, but both body and organ weight was not different from that of AR birds (Table 2). Moreover, FCR was lower in HR birds (Table 1), which suggests that energy and nutrients were used for production purposes rather than being diverted to abdominal fat depots as observed in the HR birds. It has been reported that changes in ovarian function are accompanied by increased abdominal adiposity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42-46] and that body fat is negatively correlated with fertility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47]. These observations support our findings that </w:t>
            </w:r>
            <w:proofErr w:type="spellStart"/>
            <w:r w:rsidRPr="00BD04DD">
              <w:rPr>
                <w:rFonts w:ascii="Times New Roman" w:eastAsia="DengXian" w:hAnsi="Times New Roman" w:cs="Times New Roman"/>
                <w:color w:val="000000"/>
                <w:kern w:val="0"/>
                <w:sz w:val="16"/>
                <w:szCs w:val="16"/>
              </w:rPr>
              <w:t>ApoCR</w:t>
            </w:r>
            <w:proofErr w:type="spellEnd"/>
            <w:r w:rsidRPr="00BD04DD">
              <w:rPr>
                <w:rFonts w:ascii="Times New Roman" w:eastAsia="DengXian" w:hAnsi="Times New Roman" w:cs="Times New Roman"/>
                <w:color w:val="000000"/>
                <w:kern w:val="0"/>
                <w:sz w:val="16"/>
                <w:szCs w:val="16"/>
              </w:rPr>
              <w:t xml:space="preserve"> was higher in the AR birds.</w:t>
            </w:r>
            <w:r w:rsidRPr="00BD04DD">
              <w:rPr>
                <w:rFonts w:ascii="Times New Roman" w:eastAsia="DengXian" w:hAnsi="Times New Roman" w:cs="Times New Roman"/>
                <w:color w:val="000000"/>
                <w:kern w:val="0"/>
                <w:sz w:val="16"/>
                <w:szCs w:val="16"/>
              </w:rPr>
              <w:br/>
              <w:t xml:space="preserve">In the present study, with the KEGG enrichment pathway analysis, we found that in "Fatty acid biosynthesis" and "Biosynthesis of unsaturated fatty acids" pathways, </w:t>
            </w:r>
            <w:proofErr w:type="spellStart"/>
            <w:r w:rsidRPr="00BD04DD">
              <w:rPr>
                <w:rFonts w:ascii="Times New Roman" w:eastAsia="DengXian" w:hAnsi="Times New Roman" w:cs="Times New Roman"/>
                <w:color w:val="000000"/>
                <w:kern w:val="0"/>
                <w:sz w:val="16"/>
                <w:szCs w:val="16"/>
              </w:rPr>
              <w:t>hexadecanoic</w:t>
            </w:r>
            <w:proofErr w:type="spellEnd"/>
            <w:r w:rsidRPr="00BD04DD">
              <w:rPr>
                <w:rFonts w:ascii="Times New Roman" w:eastAsia="DengXian" w:hAnsi="Times New Roman" w:cs="Times New Roman"/>
                <w:color w:val="000000"/>
                <w:kern w:val="0"/>
                <w:sz w:val="16"/>
                <w:szCs w:val="16"/>
              </w:rPr>
              <w:t xml:space="preserve"> acid (palmitic acid) was lower while octadecanoic acid (stearic acid) was higher in the HR birds (Supplementary Fig 1, Fig 2, Additional File 2). In agreement with our observations are the finding of </w:t>
            </w:r>
            <w:proofErr w:type="spellStart"/>
            <w:r w:rsidRPr="00BD04DD">
              <w:rPr>
                <w:rFonts w:ascii="Times New Roman" w:eastAsia="DengXian" w:hAnsi="Times New Roman" w:cs="Times New Roman"/>
                <w:color w:val="000000"/>
                <w:kern w:val="0"/>
                <w:sz w:val="16"/>
                <w:szCs w:val="16"/>
              </w:rPr>
              <w:t>Xie</w:t>
            </w:r>
            <w:proofErr w:type="spellEnd"/>
            <w:r w:rsidRPr="00BD04DD">
              <w:rPr>
                <w:rFonts w:ascii="Times New Roman" w:eastAsia="DengXian" w:hAnsi="Times New Roman" w:cs="Times New Roman"/>
                <w:color w:val="000000"/>
                <w:kern w:val="0"/>
                <w:sz w:val="16"/>
                <w:szCs w:val="16"/>
              </w:rPr>
              <w:t xml:space="preserve"> et al (2012) where broiler hens had increased abdominal fat pad weight and reduced egg production. it has been observed that high concentrations of palmitic acid can be toxic to granulosa cells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48]. Palmitic acid is a saturated fatty acid that can induce cellular apoptosis and exert cytotoxic effect as it is a precursor of the complex lipid ceramide, which has been reported to induce apoptosis in granulosa cells of hens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49]. Palmitic acid can also induce cellular apoptosis through a ceramide-independent pathway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50]. Finally, palmitic acid and stearic acid could induce apoptosis in human ovarian granulosa cells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51]. In our study we observed higher stearic acid expression in the HR birds, however in light of the lower </w:t>
            </w:r>
            <w:proofErr w:type="spellStart"/>
            <w:r w:rsidRPr="00BD04DD">
              <w:rPr>
                <w:rFonts w:ascii="Times New Roman" w:eastAsia="DengXian" w:hAnsi="Times New Roman" w:cs="Times New Roman"/>
                <w:color w:val="000000"/>
                <w:kern w:val="0"/>
                <w:sz w:val="16"/>
                <w:szCs w:val="16"/>
              </w:rPr>
              <w:t>ApoCR</w:t>
            </w:r>
            <w:proofErr w:type="spellEnd"/>
            <w:r w:rsidRPr="00BD04DD">
              <w:rPr>
                <w:rFonts w:ascii="Times New Roman" w:eastAsia="DengXian" w:hAnsi="Times New Roman" w:cs="Times New Roman"/>
                <w:color w:val="000000"/>
                <w:kern w:val="0"/>
                <w:sz w:val="16"/>
                <w:szCs w:val="16"/>
              </w:rPr>
              <w:t xml:space="preserve"> and levels of palmitic acid observed in this group, it is likely that the higher stearic acid expression was not sufficient to exert any negative effect on ovarian function in the HR broiler breeders. We observed that in the "Inositol phosphate metabolism" and "Galactose metabolism" pathways, glycerol was lower while inositol (D-myo-inositol) was higher in the HR birds. Glycerol can be converted into glycerol-3-phosphate and </w:t>
            </w:r>
            <w:proofErr w:type="spellStart"/>
            <w:r w:rsidRPr="00BD04DD">
              <w:rPr>
                <w:rFonts w:ascii="Times New Roman" w:eastAsia="DengXian" w:hAnsi="Times New Roman" w:cs="Times New Roman"/>
                <w:color w:val="000000"/>
                <w:kern w:val="0"/>
                <w:sz w:val="16"/>
                <w:szCs w:val="16"/>
              </w:rPr>
              <w:t>glyceric</w:t>
            </w:r>
            <w:proofErr w:type="spellEnd"/>
            <w:r w:rsidRPr="00BD04DD">
              <w:rPr>
                <w:rFonts w:ascii="Times New Roman" w:eastAsia="DengXian" w:hAnsi="Times New Roman" w:cs="Times New Roman"/>
                <w:color w:val="000000"/>
                <w:kern w:val="0"/>
                <w:sz w:val="16"/>
                <w:szCs w:val="16"/>
              </w:rPr>
              <w:t xml:space="preserve"> acid via glycolysis to supply energy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52] which probably was diverted to the abdominal fat depots in the AR birds. In the "Inositol phosphate metabolism" pathway, phosphatidyl-1D-myo-inositol, an intermediate in inositol phosphate metabolism, was also indirectly linked to the "Glycerophospholipid metabolism", which plays an important role in fat metabolism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53]. Although in present study, we observed that inositol was lower in the cecum of the HR </w:t>
            </w:r>
            <w:proofErr w:type="gramStart"/>
            <w:r w:rsidRPr="00BD04DD">
              <w:rPr>
                <w:rFonts w:ascii="Times New Roman" w:eastAsia="DengXian" w:hAnsi="Times New Roman" w:cs="Times New Roman"/>
                <w:color w:val="000000"/>
                <w:kern w:val="0"/>
                <w:sz w:val="16"/>
                <w:szCs w:val="16"/>
              </w:rPr>
              <w:t>birds ,</w:t>
            </w:r>
            <w:proofErr w:type="gramEnd"/>
            <w:r w:rsidRPr="00BD04DD">
              <w:rPr>
                <w:rFonts w:ascii="Times New Roman" w:eastAsia="DengXian" w:hAnsi="Times New Roman" w:cs="Times New Roman"/>
                <w:color w:val="000000"/>
                <w:kern w:val="0"/>
                <w:sz w:val="16"/>
                <w:szCs w:val="16"/>
              </w:rPr>
              <w:t xml:space="preserve"> the overall expression of inositol in the GIT of HR birds was higher than that observed in the AR birds. Overall, our findings suggest that intestinal metabolites play a significant role in fat metabolism though by modulating energy partitioning which can </w:t>
            </w:r>
            <w:r w:rsidRPr="00BD04DD">
              <w:rPr>
                <w:rFonts w:ascii="Times New Roman" w:eastAsia="DengXian" w:hAnsi="Times New Roman" w:cs="Times New Roman"/>
                <w:color w:val="000000"/>
                <w:kern w:val="0"/>
                <w:sz w:val="16"/>
                <w:szCs w:val="16"/>
              </w:rPr>
              <w:lastRenderedPageBreak/>
              <w:t>subsequently influence reproductive performances.</w:t>
            </w:r>
            <w:r w:rsidRPr="00BD04DD">
              <w:rPr>
                <w:rFonts w:ascii="Times New Roman" w:eastAsia="DengXian" w:hAnsi="Times New Roman" w:cs="Times New Roman"/>
                <w:color w:val="000000"/>
                <w:kern w:val="0"/>
                <w:sz w:val="16"/>
                <w:szCs w:val="16"/>
              </w:rPr>
              <w:br/>
              <w:t xml:space="preserve">The nutritional requirements of the gastrointestinal microbiota are species-dependent as bacteria need different dietary substrates for their growth and metabolic </w:t>
            </w:r>
            <w:proofErr w:type="gramStart"/>
            <w:r w:rsidRPr="00BD04DD">
              <w:rPr>
                <w:rFonts w:ascii="Times New Roman" w:eastAsia="DengXian" w:hAnsi="Times New Roman" w:cs="Times New Roman"/>
                <w:color w:val="000000"/>
                <w:kern w:val="0"/>
                <w:sz w:val="16"/>
                <w:szCs w:val="16"/>
              </w:rPr>
              <w:t>activity</w:t>
            </w:r>
            <w:r w:rsidRPr="00BE0B63">
              <w:rPr>
                <w:rFonts w:ascii="Times New Roman" w:eastAsia="DengXian" w:hAnsi="Times New Roman" w:cs="Times New Roman"/>
                <w:color w:val="000000"/>
                <w:kern w:val="0"/>
                <w:sz w:val="16"/>
                <w:szCs w:val="16"/>
                <w:highlight w:val="yellow"/>
              </w:rPr>
              <w:t>[</w:t>
            </w:r>
            <w:proofErr w:type="gramEnd"/>
            <w:r w:rsidRPr="00BD04DD">
              <w:rPr>
                <w:rFonts w:ascii="Times New Roman" w:eastAsia="DengXian" w:hAnsi="Times New Roman" w:cs="Times New Roman"/>
                <w:color w:val="000000"/>
                <w:kern w:val="0"/>
                <w:sz w:val="16"/>
                <w:szCs w:val="16"/>
              </w:rPr>
              <w:t xml:space="preserve">39] . </w:t>
            </w:r>
            <w:proofErr w:type="gramStart"/>
            <w:r w:rsidRPr="00BD04DD">
              <w:rPr>
                <w:rFonts w:ascii="Times New Roman" w:eastAsia="DengXian" w:hAnsi="Times New Roman" w:cs="Times New Roman"/>
                <w:color w:val="000000"/>
                <w:kern w:val="0"/>
                <w:sz w:val="16"/>
                <w:szCs w:val="16"/>
              </w:rPr>
              <w:t>Therefore</w:t>
            </w:r>
            <w:proofErr w:type="gramEnd"/>
            <w:r w:rsidRPr="00BD04DD">
              <w:rPr>
                <w:rFonts w:ascii="Times New Roman" w:eastAsia="DengXian" w:hAnsi="Times New Roman" w:cs="Times New Roman"/>
                <w:color w:val="000000"/>
                <w:kern w:val="0"/>
                <w:sz w:val="16"/>
                <w:szCs w:val="16"/>
              </w:rPr>
              <w:t xml:space="preserve"> it is obvious that in the gastrointestinal there is a resources competition between the microbiota and the host. In present study, we observed that the duodenum and jejunum microbiota of AR birds has more richness than that of the HR </w:t>
            </w:r>
            <w:proofErr w:type="gramStart"/>
            <w:r w:rsidRPr="00BD04DD">
              <w:rPr>
                <w:rFonts w:ascii="Times New Roman" w:eastAsia="DengXian" w:hAnsi="Times New Roman" w:cs="Times New Roman"/>
                <w:color w:val="000000"/>
                <w:kern w:val="0"/>
                <w:sz w:val="16"/>
                <w:szCs w:val="16"/>
              </w:rPr>
              <w:t>ones ,</w:t>
            </w:r>
            <w:proofErr w:type="gramEnd"/>
            <w:r w:rsidRPr="00BD04DD">
              <w:rPr>
                <w:rFonts w:ascii="Times New Roman" w:eastAsia="DengXian" w:hAnsi="Times New Roman" w:cs="Times New Roman"/>
                <w:color w:val="000000"/>
                <w:kern w:val="0"/>
                <w:sz w:val="16"/>
                <w:szCs w:val="16"/>
              </w:rPr>
              <w:t xml:space="preserve"> and the ileum microbiota was more diverse in the AR birds than in the HR one. The </w:t>
            </w:r>
            <w:proofErr w:type="gramStart"/>
            <w:r w:rsidRPr="00BD04DD">
              <w:rPr>
                <w:rFonts w:ascii="Times New Roman" w:eastAsia="DengXian" w:hAnsi="Times New Roman" w:cs="Times New Roman"/>
                <w:color w:val="000000"/>
                <w:kern w:val="0"/>
                <w:sz w:val="16"/>
                <w:szCs w:val="16"/>
              </w:rPr>
              <w:t>above mentioned</w:t>
            </w:r>
            <w:proofErr w:type="gramEnd"/>
            <w:r w:rsidRPr="00BD04DD">
              <w:rPr>
                <w:rFonts w:ascii="Times New Roman" w:eastAsia="DengXian" w:hAnsi="Times New Roman" w:cs="Times New Roman"/>
                <w:color w:val="000000"/>
                <w:kern w:val="0"/>
                <w:sz w:val="16"/>
                <w:szCs w:val="16"/>
              </w:rPr>
              <w:t xml:space="preserve"> higher diversity and richness of bacteria in the AR birds could have resulted in an increased nutrients competition with the host and the microbiota in the small intestines; the higher FCR observed in the AR birds could support this hypothesis. In present study, Firmicutes and Proteobacteria were the dominant phyla in the small intestines while Bacteroidetes was the dominant bacteria in the cecum. Lactobacillus was the dominant genus in the small intestines while Bacteroides was the dominant genus in the cecum. Similar observations have been made in broiler chickens and laying hens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54, 55]. Diet is a </w:t>
            </w:r>
            <w:proofErr w:type="gramStart"/>
            <w:r w:rsidRPr="00BD04DD">
              <w:rPr>
                <w:rFonts w:ascii="Times New Roman" w:eastAsia="DengXian" w:hAnsi="Times New Roman" w:cs="Times New Roman"/>
                <w:color w:val="000000"/>
                <w:kern w:val="0"/>
                <w:sz w:val="16"/>
                <w:szCs w:val="16"/>
              </w:rPr>
              <w:t>well known</w:t>
            </w:r>
            <w:proofErr w:type="gramEnd"/>
            <w:r w:rsidRPr="00BD04DD">
              <w:rPr>
                <w:rFonts w:ascii="Times New Roman" w:eastAsia="DengXian" w:hAnsi="Times New Roman" w:cs="Times New Roman"/>
                <w:color w:val="000000"/>
                <w:kern w:val="0"/>
                <w:sz w:val="16"/>
                <w:szCs w:val="16"/>
              </w:rPr>
              <w:t xml:space="preserve"> factor that can influence the microbiota composition and metabolic activity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56, 57]. For example, an altered abundance of </w:t>
            </w:r>
            <w:proofErr w:type="spellStart"/>
            <w:r w:rsidRPr="00BD04DD">
              <w:rPr>
                <w:rFonts w:ascii="Times New Roman" w:eastAsia="DengXian" w:hAnsi="Times New Roman" w:cs="Times New Roman"/>
                <w:color w:val="000000"/>
                <w:kern w:val="0"/>
                <w:sz w:val="16"/>
                <w:szCs w:val="16"/>
              </w:rPr>
              <w:t>Bacteriodetes</w:t>
            </w:r>
            <w:proofErr w:type="spellEnd"/>
            <w:r w:rsidRPr="00BD04DD">
              <w:rPr>
                <w:rFonts w:ascii="Times New Roman" w:eastAsia="DengXian" w:hAnsi="Times New Roman" w:cs="Times New Roman"/>
                <w:color w:val="000000"/>
                <w:kern w:val="0"/>
                <w:sz w:val="16"/>
                <w:szCs w:val="16"/>
              </w:rPr>
              <w:t xml:space="preserve"> and Firmicutes has been observed in animals fed a high fat diet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58-60], however as the same diet was to the fed AR and HR birds this could probably explain the lack of differences in bacterial communities between the two groups. Indeed, while the </w:t>
            </w:r>
            <w:proofErr w:type="spellStart"/>
            <w:r w:rsidRPr="00BD04DD">
              <w:rPr>
                <w:rFonts w:ascii="Times New Roman" w:eastAsia="DengXian" w:hAnsi="Times New Roman" w:cs="Times New Roman"/>
                <w:color w:val="000000"/>
                <w:kern w:val="0"/>
                <w:sz w:val="16"/>
                <w:szCs w:val="16"/>
              </w:rPr>
              <w:t>PCoA</w:t>
            </w:r>
            <w:proofErr w:type="spellEnd"/>
            <w:r w:rsidRPr="00BD04DD">
              <w:rPr>
                <w:rFonts w:ascii="Times New Roman" w:eastAsia="DengXian" w:hAnsi="Times New Roman" w:cs="Times New Roman"/>
                <w:color w:val="000000"/>
                <w:kern w:val="0"/>
                <w:sz w:val="16"/>
                <w:szCs w:val="16"/>
              </w:rPr>
              <w:t xml:space="preserve"> analysis suggested that there might be distinct bacteria communities along the different segments of the gastrointestinal tract of AR and HR birds, these were not significant. It is worth noting that we observed a higher relative abundance of </w:t>
            </w:r>
            <w:proofErr w:type="spellStart"/>
            <w:r w:rsidRPr="00BD04DD">
              <w:rPr>
                <w:rFonts w:ascii="Times New Roman" w:eastAsia="DengXian" w:hAnsi="Times New Roman" w:cs="Times New Roman"/>
                <w:color w:val="000000"/>
                <w:kern w:val="0"/>
                <w:sz w:val="16"/>
                <w:szCs w:val="16"/>
              </w:rPr>
              <w:t>Phascolarctobacterium</w:t>
            </w:r>
            <w:proofErr w:type="spellEnd"/>
            <w:r w:rsidRPr="00BD04DD">
              <w:rPr>
                <w:rFonts w:ascii="Times New Roman" w:eastAsia="DengXian" w:hAnsi="Times New Roman" w:cs="Times New Roman"/>
                <w:color w:val="000000"/>
                <w:kern w:val="0"/>
                <w:sz w:val="16"/>
                <w:szCs w:val="16"/>
              </w:rPr>
              <w:t xml:space="preserve"> in the ileum of AR birds. A higher abundance of </w:t>
            </w:r>
            <w:proofErr w:type="spellStart"/>
            <w:r w:rsidRPr="00BD04DD">
              <w:rPr>
                <w:rFonts w:ascii="Times New Roman" w:eastAsia="DengXian" w:hAnsi="Times New Roman" w:cs="Times New Roman"/>
                <w:color w:val="000000"/>
                <w:kern w:val="0"/>
                <w:sz w:val="16"/>
                <w:szCs w:val="16"/>
              </w:rPr>
              <w:t>Phascolarctobacterium</w:t>
            </w:r>
            <w:proofErr w:type="spellEnd"/>
            <w:r w:rsidRPr="00BD04DD">
              <w:rPr>
                <w:rFonts w:ascii="Times New Roman" w:eastAsia="DengXian" w:hAnsi="Times New Roman" w:cs="Times New Roman"/>
                <w:color w:val="000000"/>
                <w:kern w:val="0"/>
                <w:sz w:val="16"/>
                <w:szCs w:val="16"/>
              </w:rPr>
              <w:t xml:space="preserve"> has been correlated with elevated oxidative stress in sows during late gestation and at parturition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61]. </w:t>
            </w:r>
            <w:proofErr w:type="gramStart"/>
            <w:r w:rsidRPr="00BD04DD">
              <w:rPr>
                <w:rFonts w:ascii="Times New Roman" w:eastAsia="DengXian" w:hAnsi="Times New Roman" w:cs="Times New Roman"/>
                <w:color w:val="000000"/>
                <w:kern w:val="0"/>
                <w:sz w:val="16"/>
                <w:szCs w:val="16"/>
              </w:rPr>
              <w:t>Moreover</w:t>
            </w:r>
            <w:proofErr w:type="gramEnd"/>
            <w:r w:rsidRPr="00BD04DD">
              <w:rPr>
                <w:rFonts w:ascii="Times New Roman" w:eastAsia="DengXian" w:hAnsi="Times New Roman" w:cs="Times New Roman"/>
                <w:color w:val="000000"/>
                <w:kern w:val="0"/>
                <w:sz w:val="16"/>
                <w:szCs w:val="16"/>
              </w:rPr>
              <w:t xml:space="preserve"> the higher abundance of </w:t>
            </w:r>
            <w:proofErr w:type="spellStart"/>
            <w:r w:rsidRPr="00BD04DD">
              <w:rPr>
                <w:rFonts w:ascii="Times New Roman" w:eastAsia="DengXian" w:hAnsi="Times New Roman" w:cs="Times New Roman"/>
                <w:color w:val="000000"/>
                <w:kern w:val="0"/>
                <w:sz w:val="16"/>
                <w:szCs w:val="16"/>
              </w:rPr>
              <w:t>Phascolarctobacterium</w:t>
            </w:r>
            <w:proofErr w:type="spellEnd"/>
            <w:r w:rsidRPr="00BD04DD">
              <w:rPr>
                <w:rFonts w:ascii="Times New Roman" w:eastAsia="DengXian" w:hAnsi="Times New Roman" w:cs="Times New Roman"/>
                <w:color w:val="000000"/>
                <w:kern w:val="0"/>
                <w:sz w:val="16"/>
                <w:szCs w:val="16"/>
              </w:rPr>
              <w:t xml:space="preserve"> has been linked to intestinal inflammation and pathology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62]. Finally, </w:t>
            </w:r>
            <w:proofErr w:type="spellStart"/>
            <w:r w:rsidRPr="00BD04DD">
              <w:rPr>
                <w:rFonts w:ascii="Times New Roman" w:eastAsia="DengXian" w:hAnsi="Times New Roman" w:cs="Times New Roman"/>
                <w:color w:val="000000"/>
                <w:kern w:val="0"/>
                <w:sz w:val="16"/>
                <w:szCs w:val="16"/>
              </w:rPr>
              <w:t>Phascolarctobacterium</w:t>
            </w:r>
            <w:proofErr w:type="spellEnd"/>
            <w:r w:rsidRPr="00BD04DD">
              <w:rPr>
                <w:rFonts w:ascii="Times New Roman" w:eastAsia="DengXian" w:hAnsi="Times New Roman" w:cs="Times New Roman"/>
                <w:color w:val="000000"/>
                <w:kern w:val="0"/>
                <w:sz w:val="16"/>
                <w:szCs w:val="16"/>
              </w:rPr>
              <w:t xml:space="preserve"> seems to be correlated with increased body weight and fat </w:t>
            </w:r>
            <w:proofErr w:type="gramStart"/>
            <w:r w:rsidRPr="00BD04DD">
              <w:rPr>
                <w:rFonts w:ascii="Times New Roman" w:eastAsia="DengXian" w:hAnsi="Times New Roman" w:cs="Times New Roman"/>
                <w:color w:val="000000"/>
                <w:kern w:val="0"/>
                <w:sz w:val="16"/>
                <w:szCs w:val="16"/>
              </w:rPr>
              <w:t>mass, and</w:t>
            </w:r>
            <w:proofErr w:type="gramEnd"/>
            <w:r w:rsidRPr="00BD04DD">
              <w:rPr>
                <w:rFonts w:ascii="Times New Roman" w:eastAsia="DengXian" w:hAnsi="Times New Roman" w:cs="Times New Roman"/>
                <w:color w:val="000000"/>
                <w:kern w:val="0"/>
                <w:sz w:val="16"/>
                <w:szCs w:val="16"/>
              </w:rPr>
              <w:t xml:space="preserve"> altered metabolic profile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63]. Therefore, in present study, the higher abundance of </w:t>
            </w:r>
            <w:proofErr w:type="spellStart"/>
            <w:r w:rsidRPr="00BD04DD">
              <w:rPr>
                <w:rFonts w:ascii="Times New Roman" w:eastAsia="DengXian" w:hAnsi="Times New Roman" w:cs="Times New Roman"/>
                <w:color w:val="000000"/>
                <w:kern w:val="0"/>
                <w:sz w:val="16"/>
                <w:szCs w:val="16"/>
              </w:rPr>
              <w:t>Phascolarctobacterium</w:t>
            </w:r>
            <w:proofErr w:type="spellEnd"/>
            <w:r w:rsidRPr="00BD04DD">
              <w:rPr>
                <w:rFonts w:ascii="Times New Roman" w:eastAsia="DengXian" w:hAnsi="Times New Roman" w:cs="Times New Roman"/>
                <w:color w:val="000000"/>
                <w:kern w:val="0"/>
                <w:sz w:val="16"/>
                <w:szCs w:val="16"/>
              </w:rPr>
              <w:t xml:space="preserve"> observed in the AR birds might be linked to the lower production and reproductive performances observed in the AR birds. </w:t>
            </w:r>
            <w:r w:rsidRPr="00BD04DD">
              <w:rPr>
                <w:rFonts w:ascii="Times New Roman" w:eastAsia="DengXian" w:hAnsi="Times New Roman" w:cs="Times New Roman"/>
                <w:color w:val="000000"/>
                <w:kern w:val="0"/>
                <w:sz w:val="16"/>
                <w:szCs w:val="16"/>
              </w:rPr>
              <w:br/>
              <w:t xml:space="preserve">  It has been reported that the microbiota can also metabolize steroids and produce hormones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64, 65]. For example, Actinobacteria can regulate the sterols: sterol uptake, eliminate the aliphatic side chain at C17, oxidize the steroid nucleus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66] and synthetize testosterone </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67, 68]. In our study, Actinobacteria abundance in the small intestines was positively correlated with </w:t>
            </w:r>
            <w:proofErr w:type="spellStart"/>
            <w:r w:rsidRPr="00BD04DD">
              <w:rPr>
                <w:rFonts w:ascii="Times New Roman" w:eastAsia="DengXian" w:hAnsi="Times New Roman" w:cs="Times New Roman"/>
                <w:color w:val="000000"/>
                <w:kern w:val="0"/>
                <w:sz w:val="16"/>
                <w:szCs w:val="16"/>
              </w:rPr>
              <w:t>ApoCR</w:t>
            </w:r>
            <w:proofErr w:type="spellEnd"/>
            <w:r w:rsidRPr="00BD04DD">
              <w:rPr>
                <w:rFonts w:ascii="Times New Roman" w:eastAsia="DengXian" w:hAnsi="Times New Roman" w:cs="Times New Roman"/>
                <w:color w:val="000000"/>
                <w:kern w:val="0"/>
                <w:sz w:val="16"/>
                <w:szCs w:val="16"/>
              </w:rPr>
              <w:t xml:space="preserve">, suggesting that the increased apoptosis cell rate in ovaries could be ascribed to a modification in steroids metabolism induced by the increased abundance of Actinobacteria. </w:t>
            </w:r>
            <w:r w:rsidRPr="00BD04DD">
              <w:rPr>
                <w:rFonts w:ascii="Times New Roman" w:eastAsia="DengXian" w:hAnsi="Times New Roman" w:cs="Times New Roman"/>
                <w:color w:val="000000"/>
                <w:kern w:val="0"/>
                <w:sz w:val="16"/>
                <w:szCs w:val="16"/>
              </w:rPr>
              <w:br/>
              <w:t xml:space="preserve">  In our study we observed that </w:t>
            </w:r>
            <w:proofErr w:type="spellStart"/>
            <w:r w:rsidRPr="00BD04DD">
              <w:rPr>
                <w:rFonts w:ascii="Times New Roman" w:eastAsia="DengXian" w:hAnsi="Times New Roman" w:cs="Times New Roman"/>
                <w:color w:val="000000"/>
                <w:kern w:val="0"/>
                <w:sz w:val="16"/>
                <w:szCs w:val="16"/>
              </w:rPr>
              <w:t>Spirochaetes</w:t>
            </w:r>
            <w:proofErr w:type="spellEnd"/>
            <w:r w:rsidRPr="00BD04DD">
              <w:rPr>
                <w:rFonts w:ascii="Times New Roman" w:eastAsia="DengXian" w:hAnsi="Times New Roman" w:cs="Times New Roman"/>
                <w:color w:val="000000"/>
                <w:kern w:val="0"/>
                <w:sz w:val="16"/>
                <w:szCs w:val="16"/>
              </w:rPr>
              <w:t xml:space="preserve"> (</w:t>
            </w:r>
            <w:proofErr w:type="spellStart"/>
            <w:r w:rsidRPr="00BD04DD">
              <w:rPr>
                <w:rFonts w:ascii="Times New Roman" w:eastAsia="DengXian" w:hAnsi="Times New Roman" w:cs="Times New Roman"/>
                <w:color w:val="000000"/>
                <w:kern w:val="0"/>
                <w:sz w:val="16"/>
                <w:szCs w:val="16"/>
              </w:rPr>
              <w:t>phlum</w:t>
            </w:r>
            <w:proofErr w:type="spellEnd"/>
            <w:r w:rsidRPr="00BD04DD">
              <w:rPr>
                <w:rFonts w:ascii="Times New Roman" w:eastAsia="DengXian" w:hAnsi="Times New Roman" w:cs="Times New Roman"/>
                <w:color w:val="000000"/>
                <w:kern w:val="0"/>
                <w:sz w:val="16"/>
                <w:szCs w:val="16"/>
              </w:rPr>
              <w:t xml:space="preserve">) abundance in the cecum was positively correlated with FCR. </w:t>
            </w:r>
            <w:proofErr w:type="spellStart"/>
            <w:r w:rsidRPr="00BD04DD">
              <w:rPr>
                <w:rFonts w:ascii="Times New Roman" w:eastAsia="DengXian" w:hAnsi="Times New Roman" w:cs="Times New Roman"/>
                <w:color w:val="000000"/>
                <w:kern w:val="0"/>
                <w:sz w:val="16"/>
                <w:szCs w:val="16"/>
              </w:rPr>
              <w:t>Spirochaetes</w:t>
            </w:r>
            <w:proofErr w:type="spellEnd"/>
            <w:r w:rsidRPr="00BD04DD">
              <w:rPr>
                <w:rFonts w:ascii="Times New Roman" w:eastAsia="DengXian" w:hAnsi="Times New Roman" w:cs="Times New Roman"/>
                <w:color w:val="000000"/>
                <w:kern w:val="0"/>
                <w:sz w:val="16"/>
                <w:szCs w:val="16"/>
              </w:rPr>
              <w:t xml:space="preserve"> are responsible for infectious typhlitis in </w:t>
            </w:r>
            <w:proofErr w:type="gramStart"/>
            <w:r w:rsidRPr="00BD04DD">
              <w:rPr>
                <w:rFonts w:ascii="Times New Roman" w:eastAsia="DengXian" w:hAnsi="Times New Roman" w:cs="Times New Roman"/>
                <w:color w:val="000000"/>
                <w:kern w:val="0"/>
                <w:sz w:val="16"/>
                <w:szCs w:val="16"/>
              </w:rPr>
              <w:t>hens</w:t>
            </w:r>
            <w:r w:rsidRPr="00BE0B63">
              <w:rPr>
                <w:rFonts w:ascii="Times New Roman" w:eastAsia="DengXian" w:hAnsi="Times New Roman" w:cs="Times New Roman"/>
                <w:color w:val="000000"/>
                <w:kern w:val="0"/>
                <w:sz w:val="16"/>
                <w:szCs w:val="16"/>
                <w:highlight w:val="yellow"/>
              </w:rPr>
              <w:t>[</w:t>
            </w:r>
            <w:proofErr w:type="gramEnd"/>
            <w:r w:rsidRPr="00BD04DD">
              <w:rPr>
                <w:rFonts w:ascii="Times New Roman" w:eastAsia="DengXian" w:hAnsi="Times New Roman" w:cs="Times New Roman"/>
                <w:color w:val="000000"/>
                <w:kern w:val="0"/>
                <w:sz w:val="16"/>
                <w:szCs w:val="16"/>
              </w:rPr>
              <w:t>69] which is characterized by decreased egg production and increased the feed consumption</w:t>
            </w:r>
            <w:r w:rsidRPr="00BE0B63">
              <w:rPr>
                <w:rFonts w:ascii="Times New Roman" w:eastAsia="DengXian" w:hAnsi="Times New Roman" w:cs="Times New Roman"/>
                <w:color w:val="000000"/>
                <w:kern w:val="0"/>
                <w:sz w:val="16"/>
                <w:szCs w:val="16"/>
                <w:highlight w:val="yellow"/>
              </w:rPr>
              <w:t>[</w:t>
            </w:r>
            <w:r w:rsidRPr="00BD04DD">
              <w:rPr>
                <w:rFonts w:ascii="Times New Roman" w:eastAsia="DengXian" w:hAnsi="Times New Roman" w:cs="Times New Roman"/>
                <w:color w:val="000000"/>
                <w:kern w:val="0"/>
                <w:sz w:val="16"/>
                <w:szCs w:val="16"/>
              </w:rPr>
              <w:t xml:space="preserve">70] . Broiler breeders infected by </w:t>
            </w:r>
            <w:proofErr w:type="spellStart"/>
            <w:r w:rsidRPr="00BD04DD">
              <w:rPr>
                <w:rFonts w:ascii="Times New Roman" w:eastAsia="DengXian" w:hAnsi="Times New Roman" w:cs="Times New Roman"/>
                <w:color w:val="000000"/>
                <w:kern w:val="0"/>
                <w:sz w:val="16"/>
                <w:szCs w:val="16"/>
              </w:rPr>
              <w:t>Spirochaetes</w:t>
            </w:r>
            <w:proofErr w:type="spellEnd"/>
            <w:r w:rsidRPr="00BD04DD">
              <w:rPr>
                <w:rFonts w:ascii="Times New Roman" w:eastAsia="DengXian" w:hAnsi="Times New Roman" w:cs="Times New Roman"/>
                <w:color w:val="000000"/>
                <w:kern w:val="0"/>
                <w:sz w:val="16"/>
                <w:szCs w:val="16"/>
              </w:rPr>
              <w:t xml:space="preserve"> </w:t>
            </w:r>
            <w:r w:rsidRPr="00BD04DD">
              <w:rPr>
                <w:rFonts w:ascii="Times New Roman" w:eastAsia="DengXian" w:hAnsi="Times New Roman" w:cs="Times New Roman"/>
                <w:color w:val="000000"/>
                <w:kern w:val="0"/>
                <w:sz w:val="16"/>
                <w:szCs w:val="16"/>
              </w:rPr>
              <w:lastRenderedPageBreak/>
              <w:t xml:space="preserve">had poorer feed conversion and the impact of the disease was also extended to their offspring, with chicks being weak, slow growing and with impaired gastrointestinal </w:t>
            </w:r>
            <w:proofErr w:type="gramStart"/>
            <w:r w:rsidRPr="00BD04DD">
              <w:rPr>
                <w:rFonts w:ascii="Times New Roman" w:eastAsia="DengXian" w:hAnsi="Times New Roman" w:cs="Times New Roman"/>
                <w:color w:val="000000"/>
                <w:kern w:val="0"/>
                <w:sz w:val="16"/>
                <w:szCs w:val="16"/>
              </w:rPr>
              <w:t>functionality</w:t>
            </w:r>
            <w:r w:rsidRPr="00BE0B63">
              <w:rPr>
                <w:rFonts w:ascii="Times New Roman" w:eastAsia="DengXian" w:hAnsi="Times New Roman" w:cs="Times New Roman"/>
                <w:color w:val="000000"/>
                <w:kern w:val="0"/>
                <w:sz w:val="16"/>
                <w:szCs w:val="16"/>
                <w:highlight w:val="yellow"/>
              </w:rPr>
              <w:t>[</w:t>
            </w:r>
            <w:proofErr w:type="gramEnd"/>
            <w:r w:rsidRPr="00BD04DD">
              <w:rPr>
                <w:rFonts w:ascii="Times New Roman" w:eastAsia="DengXian" w:hAnsi="Times New Roman" w:cs="Times New Roman"/>
                <w:color w:val="000000"/>
                <w:kern w:val="0"/>
                <w:sz w:val="16"/>
                <w:szCs w:val="16"/>
              </w:rPr>
              <w:t xml:space="preserve">71] . In this study, the lower productive and reproductive performances observed in the AR birds could be partially ascribed to the higher relative abundance of </w:t>
            </w:r>
            <w:proofErr w:type="spellStart"/>
            <w:r w:rsidRPr="00BD04DD">
              <w:rPr>
                <w:rFonts w:ascii="Times New Roman" w:eastAsia="DengXian" w:hAnsi="Times New Roman" w:cs="Times New Roman"/>
                <w:color w:val="000000"/>
                <w:kern w:val="0"/>
                <w:sz w:val="16"/>
                <w:szCs w:val="16"/>
              </w:rPr>
              <w:t>Spirochaetes</w:t>
            </w:r>
            <w:proofErr w:type="spellEnd"/>
            <w:r w:rsidRPr="00BD04DD">
              <w:rPr>
                <w:rFonts w:ascii="Times New Roman" w:eastAsia="DengXian" w:hAnsi="Times New Roman" w:cs="Times New Roman"/>
                <w:color w:val="000000"/>
                <w:kern w:val="0"/>
                <w:sz w:val="16"/>
                <w:szCs w:val="16"/>
              </w:rPr>
              <w:t xml:space="preserve"> in the cecum of the AR birds.</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lastRenderedPageBreak/>
              <w:t>page 10-14</w:t>
            </w:r>
          </w:p>
        </w:tc>
      </w:tr>
      <w:tr w:rsidR="00C22315" w:rsidRPr="00BD04DD" w:rsidTr="002844B2">
        <w:trPr>
          <w:trHeight w:val="24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proofErr w:type="spellStart"/>
            <w:r w:rsidRPr="00BD04DD">
              <w:rPr>
                <w:rFonts w:ascii="Times New Roman" w:eastAsia="DengXian" w:hAnsi="Times New Roman" w:cs="Times New Roman"/>
                <w:color w:val="000000"/>
                <w:kern w:val="0"/>
                <w:sz w:val="16"/>
                <w:szCs w:val="16"/>
              </w:rPr>
              <w:lastRenderedPageBreak/>
              <w:t>Generalisability</w:t>
            </w:r>
            <w:proofErr w:type="spellEnd"/>
            <w:r w:rsidRPr="00BD04DD">
              <w:rPr>
                <w:rFonts w:ascii="Times New Roman" w:eastAsia="DengXian" w:hAnsi="Times New Roman" w:cs="Times New Roman"/>
                <w:color w:val="000000"/>
                <w:kern w:val="0"/>
                <w:sz w:val="16"/>
                <w:szCs w:val="16"/>
              </w:rPr>
              <w:t>/ translation</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Not applicable</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r>
      <w:tr w:rsidR="00C22315" w:rsidRPr="00BD04DD" w:rsidTr="002844B2">
        <w:trPr>
          <w:trHeight w:val="240"/>
        </w:trPr>
        <w:tc>
          <w:tcPr>
            <w:tcW w:w="1974"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Funding</w:t>
            </w:r>
          </w:p>
        </w:tc>
        <w:tc>
          <w:tcPr>
            <w:tcW w:w="608"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 xml:space="preserve">　</w:t>
            </w:r>
          </w:p>
        </w:tc>
        <w:tc>
          <w:tcPr>
            <w:tcW w:w="5425" w:type="dxa"/>
            <w:shd w:val="clear" w:color="auto" w:fill="auto"/>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This project was financially supported by National Key R&amp;D Program of China (2017YFD0500500), Broiler Industry Chain Program (2016NZ003-02).</w:t>
            </w:r>
          </w:p>
        </w:tc>
        <w:tc>
          <w:tcPr>
            <w:tcW w:w="1389" w:type="dxa"/>
            <w:shd w:val="clear" w:color="auto" w:fill="auto"/>
            <w:noWrap/>
            <w:vAlign w:val="center"/>
            <w:hideMark/>
          </w:tcPr>
          <w:p w:rsidR="00C22315" w:rsidRPr="00BD04DD" w:rsidRDefault="00C22315" w:rsidP="002844B2">
            <w:pPr>
              <w:widowControl/>
              <w:jc w:val="left"/>
              <w:rPr>
                <w:rFonts w:ascii="Times New Roman" w:eastAsia="DengXian" w:hAnsi="Times New Roman" w:cs="Times New Roman"/>
                <w:color w:val="000000"/>
                <w:kern w:val="0"/>
                <w:sz w:val="16"/>
                <w:szCs w:val="16"/>
              </w:rPr>
            </w:pPr>
            <w:r w:rsidRPr="00BD04DD">
              <w:rPr>
                <w:rFonts w:ascii="Times New Roman" w:eastAsia="DengXian" w:hAnsi="Times New Roman" w:cs="Times New Roman"/>
                <w:color w:val="000000"/>
                <w:kern w:val="0"/>
                <w:sz w:val="16"/>
                <w:szCs w:val="16"/>
              </w:rPr>
              <w:t>Page 15</w:t>
            </w:r>
          </w:p>
        </w:tc>
      </w:tr>
    </w:tbl>
    <w:p w:rsidR="00C22315" w:rsidRDefault="00C22315" w:rsidP="00C22315">
      <w:pPr>
        <w:rPr>
          <w:rFonts w:hint="eastAsia"/>
        </w:rPr>
      </w:pPr>
    </w:p>
    <w:p w:rsidR="00D76841" w:rsidRPr="00BD04DD" w:rsidRDefault="00D76841" w:rsidP="00D76841">
      <w:pPr>
        <w:pStyle w:val="1"/>
        <w:adjustRightInd w:val="0"/>
        <w:snapToGrid w:val="0"/>
        <w:rPr>
          <w:rFonts w:eastAsiaTheme="minorEastAsia" w:cs="Times New Roman"/>
          <w:color w:val="auto"/>
          <w:sz w:val="24"/>
          <w:szCs w:val="24"/>
          <w:lang w:val="haw-US"/>
        </w:rPr>
      </w:pPr>
      <w:r w:rsidRPr="00BD04DD">
        <w:rPr>
          <w:rFonts w:cs="Times New Roman"/>
          <w:color w:val="auto"/>
          <w:sz w:val="24"/>
          <w:szCs w:val="24"/>
        </w:rPr>
        <w:t>References</w:t>
      </w:r>
    </w:p>
    <w:p w:rsidR="00D76841" w:rsidRPr="00BD04DD" w:rsidRDefault="00D76841" w:rsidP="00D76841">
      <w:pPr>
        <w:pStyle w:val="EndNoteBibliography"/>
        <w:adjustRightInd w:val="0"/>
        <w:snapToGrid w:val="0"/>
        <w:ind w:left="720" w:hanging="720"/>
        <w:rPr>
          <w:noProof/>
          <w:sz w:val="24"/>
          <w:szCs w:val="24"/>
        </w:rPr>
      </w:pPr>
      <w:r w:rsidRPr="00BD04DD">
        <w:rPr>
          <w:noProof/>
          <w:color w:val="auto"/>
          <w:sz w:val="24"/>
          <w:szCs w:val="24"/>
        </w:rPr>
        <w:fldChar w:fldCharType="begin"/>
      </w:r>
      <w:r w:rsidRPr="00BE0B63">
        <w:rPr>
          <w:noProof/>
          <w:color w:val="auto"/>
          <w:sz w:val="24"/>
          <w:szCs w:val="24"/>
        </w:rPr>
        <w:instrText xml:space="preserve"> ADDIN EN.REFLIST </w:instrText>
      </w:r>
      <w:r w:rsidRPr="00BD04DD">
        <w:rPr>
          <w:noProof/>
          <w:color w:val="auto"/>
          <w:sz w:val="24"/>
          <w:szCs w:val="24"/>
        </w:rPr>
        <w:fldChar w:fldCharType="separate"/>
      </w:r>
      <w:r w:rsidRPr="00BD04DD">
        <w:rPr>
          <w:noProof/>
          <w:sz w:val="24"/>
          <w:szCs w:val="24"/>
        </w:rPr>
        <w:t>1.</w:t>
      </w:r>
      <w:r w:rsidRPr="00BD04DD">
        <w:rPr>
          <w:noProof/>
          <w:sz w:val="24"/>
          <w:szCs w:val="24"/>
        </w:rPr>
        <w:tab/>
        <w:t>Mazanko MS, Gorlov IF, Prazdnova EV, Makarenko MS, Usatov AV, Bren AB et al. Bacillus probiotic supplementations improve laying performance, egg quality, hatching of laying hens, and sperm quality of roosters. Probiotics Antimicro.</w:t>
      </w:r>
      <w:r w:rsidRPr="00BD04DD">
        <w:rPr>
          <w:i/>
          <w:noProof/>
          <w:sz w:val="24"/>
          <w:szCs w:val="24"/>
        </w:rPr>
        <w:t xml:space="preserve"> </w:t>
      </w:r>
      <w:r w:rsidRPr="00BD04DD">
        <w:rPr>
          <w:noProof/>
          <w:sz w:val="24"/>
          <w:szCs w:val="24"/>
        </w:rPr>
        <w:t>2018; 10(2):367-373</w:t>
      </w:r>
      <w:r w:rsidRPr="00BD04DD">
        <w:rPr>
          <w:rFonts w:eastAsia="PingFang SC"/>
          <w:noProof/>
          <w:sz w:val="24"/>
          <w:szCs w:val="24"/>
        </w:rPr>
        <w:t>.</w:t>
      </w:r>
      <w:r w:rsidRPr="00BD04DD">
        <w:rPr>
          <w:noProof/>
          <w:sz w:val="24"/>
          <w:szCs w:val="24"/>
        </w:rPr>
        <w:t xml:space="preserve"> </w:t>
      </w:r>
      <w:hyperlink r:id="rId7" w:history="1">
        <w:r w:rsidRPr="00BD04DD">
          <w:rPr>
            <w:rStyle w:val="a3"/>
            <w:noProof/>
            <w:sz w:val="24"/>
            <w:szCs w:val="24"/>
          </w:rPr>
          <w:t>https://doi.org/10.1007/s12602-017-9369-4</w:t>
        </w:r>
      </w:hyperlink>
    </w:p>
    <w:p w:rsidR="00D76841" w:rsidRPr="004173BA" w:rsidRDefault="00D76841" w:rsidP="00D76841">
      <w:pPr>
        <w:pStyle w:val="EndNoteBibliography"/>
        <w:adjustRightInd w:val="0"/>
        <w:snapToGrid w:val="0"/>
        <w:ind w:left="720" w:hanging="720"/>
        <w:rPr>
          <w:noProof/>
          <w:sz w:val="24"/>
          <w:szCs w:val="24"/>
          <w:lang w:val="haw-US"/>
        </w:rPr>
      </w:pPr>
      <w:r w:rsidRPr="00BD04DD">
        <w:rPr>
          <w:noProof/>
          <w:sz w:val="24"/>
          <w:szCs w:val="24"/>
        </w:rPr>
        <w:t>2.</w:t>
      </w:r>
      <w:r w:rsidRPr="00BD04DD">
        <w:rPr>
          <w:noProof/>
          <w:sz w:val="24"/>
          <w:szCs w:val="24"/>
        </w:rPr>
        <w:tab/>
        <w:t>Leeson S. Future considerations in poultry nutrition. Poult Sci.</w:t>
      </w:r>
      <w:r w:rsidRPr="00BD04DD">
        <w:rPr>
          <w:i/>
          <w:noProof/>
          <w:sz w:val="24"/>
          <w:szCs w:val="24"/>
        </w:rPr>
        <w:t xml:space="preserve"> </w:t>
      </w:r>
      <w:r w:rsidRPr="00BD04DD">
        <w:rPr>
          <w:noProof/>
          <w:sz w:val="24"/>
          <w:szCs w:val="24"/>
        </w:rPr>
        <w:t>2012; 91(6):1281</w:t>
      </w:r>
      <w:r w:rsidRPr="00BD04DD">
        <w:rPr>
          <w:rFonts w:eastAsia="PingFang SC"/>
          <w:noProof/>
          <w:sz w:val="24"/>
          <w:szCs w:val="24"/>
        </w:rPr>
        <w:t>.</w:t>
      </w:r>
      <w:r w:rsidRPr="00BD04DD">
        <w:rPr>
          <w:noProof/>
          <w:sz w:val="24"/>
          <w:szCs w:val="24"/>
        </w:rPr>
        <w:t xml:space="preserve"> </w:t>
      </w:r>
      <w:hyperlink r:id="rId8" w:history="1">
        <w:r w:rsidRPr="00BD04DD">
          <w:rPr>
            <w:rStyle w:val="a3"/>
            <w:noProof/>
            <w:sz w:val="24"/>
            <w:szCs w:val="24"/>
          </w:rPr>
          <w:t>https://doi.org/10.3382/ps.2012-02373</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3.</w:t>
      </w:r>
      <w:r w:rsidRPr="00BD04DD">
        <w:rPr>
          <w:noProof/>
          <w:sz w:val="24"/>
          <w:szCs w:val="24"/>
        </w:rPr>
        <w:tab/>
        <w:t>Bortoluzzi C, Pedroso AA, Mallo JJ, Puyalto M, Kim WK, Applegate TJ. Sodium butyrate improved performance while modulating the cecal microbiota and regulating the expression of intestinal immune-related genes of broiler chickens. Poult Sci.</w:t>
      </w:r>
      <w:r w:rsidRPr="00BD04DD">
        <w:rPr>
          <w:i/>
          <w:noProof/>
          <w:sz w:val="24"/>
          <w:szCs w:val="24"/>
        </w:rPr>
        <w:t xml:space="preserve"> </w:t>
      </w:r>
      <w:r w:rsidRPr="00BD04DD">
        <w:rPr>
          <w:noProof/>
          <w:sz w:val="24"/>
          <w:szCs w:val="24"/>
        </w:rPr>
        <w:t>2017; 96(11):3981-3993</w:t>
      </w:r>
      <w:r w:rsidRPr="00BD04DD">
        <w:rPr>
          <w:rFonts w:eastAsia="PingFang SC"/>
          <w:noProof/>
          <w:sz w:val="24"/>
          <w:szCs w:val="24"/>
        </w:rPr>
        <w:t>.</w:t>
      </w:r>
      <w:r w:rsidRPr="00BD04DD">
        <w:rPr>
          <w:noProof/>
          <w:sz w:val="24"/>
          <w:szCs w:val="24"/>
        </w:rPr>
        <w:t xml:space="preserve"> </w:t>
      </w:r>
      <w:hyperlink r:id="rId9" w:history="1">
        <w:r w:rsidRPr="00BD04DD">
          <w:rPr>
            <w:rStyle w:val="a3"/>
            <w:noProof/>
            <w:sz w:val="24"/>
            <w:szCs w:val="24"/>
          </w:rPr>
          <w:t>https://doi.org/10.3382/ps/pex218</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4.</w:t>
      </w:r>
      <w:r w:rsidRPr="00BD04DD">
        <w:rPr>
          <w:noProof/>
          <w:sz w:val="24"/>
          <w:szCs w:val="24"/>
        </w:rPr>
        <w:tab/>
        <w:t>Clavijo V, Florez MJV. The gastrointestinal microbiome and its association with the control of pathogens in broiler chicken production: A review. Poult Sci.</w:t>
      </w:r>
      <w:r w:rsidRPr="00BD04DD">
        <w:rPr>
          <w:i/>
          <w:noProof/>
          <w:sz w:val="24"/>
          <w:szCs w:val="24"/>
        </w:rPr>
        <w:t xml:space="preserve"> </w:t>
      </w:r>
      <w:r w:rsidRPr="00BD04DD">
        <w:rPr>
          <w:noProof/>
          <w:sz w:val="24"/>
          <w:szCs w:val="24"/>
        </w:rPr>
        <w:t>2018; 97(3):1006-1021</w:t>
      </w:r>
      <w:r w:rsidRPr="00BD04DD">
        <w:rPr>
          <w:rFonts w:eastAsia="PingFang SC"/>
          <w:noProof/>
          <w:sz w:val="24"/>
          <w:szCs w:val="24"/>
        </w:rPr>
        <w:t>.</w:t>
      </w:r>
      <w:r w:rsidRPr="00BD04DD">
        <w:rPr>
          <w:noProof/>
          <w:sz w:val="24"/>
          <w:szCs w:val="24"/>
        </w:rPr>
        <w:t xml:space="preserve"> </w:t>
      </w:r>
      <w:hyperlink r:id="rId10" w:history="1">
        <w:r w:rsidRPr="00BD04DD">
          <w:rPr>
            <w:rStyle w:val="a3"/>
            <w:noProof/>
            <w:sz w:val="24"/>
            <w:szCs w:val="24"/>
          </w:rPr>
          <w:t>https://doi.org/10.3382/ps/pex359</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lastRenderedPageBreak/>
        <w:t>5.</w:t>
      </w:r>
      <w:r w:rsidRPr="00BD04DD">
        <w:rPr>
          <w:noProof/>
          <w:sz w:val="24"/>
          <w:szCs w:val="24"/>
        </w:rPr>
        <w:tab/>
        <w:t>Hadar N, Debelius JW, Rob K, Omry K. Microbial endocrinology: the interplay between the microbiota and the endocrine system. Fems Microbiol Rev.</w:t>
      </w:r>
      <w:r w:rsidRPr="00BD04DD">
        <w:rPr>
          <w:i/>
          <w:noProof/>
          <w:sz w:val="24"/>
          <w:szCs w:val="24"/>
        </w:rPr>
        <w:t xml:space="preserve"> </w:t>
      </w:r>
      <w:r w:rsidRPr="00BD04DD">
        <w:rPr>
          <w:noProof/>
          <w:sz w:val="24"/>
          <w:szCs w:val="24"/>
        </w:rPr>
        <w:t>2015; 39(4):509-521</w:t>
      </w:r>
      <w:r w:rsidRPr="00BD04DD">
        <w:rPr>
          <w:rFonts w:eastAsia="PingFang SC"/>
          <w:noProof/>
          <w:sz w:val="24"/>
          <w:szCs w:val="24"/>
        </w:rPr>
        <w:t>.</w:t>
      </w:r>
      <w:r w:rsidRPr="00BD04DD">
        <w:rPr>
          <w:noProof/>
          <w:sz w:val="24"/>
          <w:szCs w:val="24"/>
        </w:rPr>
        <w:t xml:space="preserve"> </w:t>
      </w:r>
      <w:hyperlink r:id="rId11" w:history="1">
        <w:r w:rsidRPr="00BD04DD">
          <w:rPr>
            <w:rStyle w:val="a3"/>
            <w:noProof/>
            <w:sz w:val="24"/>
            <w:szCs w:val="24"/>
          </w:rPr>
          <w:t>https://doi.org/10.1093/femsre/fuu010</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6.</w:t>
      </w:r>
      <w:r w:rsidRPr="00BD04DD">
        <w:rPr>
          <w:noProof/>
          <w:sz w:val="24"/>
          <w:szCs w:val="24"/>
        </w:rPr>
        <w:tab/>
        <w:t>Celi P, Cowieson AJ, Fru-Nji F, Steinert RE, Kluenter A-M, Verlhac V. Gastrointestinal functionality in animal nutrition and health: New opportunities for sustainable animal production. Anim Feed Sci Tech.</w:t>
      </w:r>
      <w:r w:rsidRPr="00BD04DD">
        <w:rPr>
          <w:i/>
          <w:noProof/>
          <w:sz w:val="24"/>
          <w:szCs w:val="24"/>
        </w:rPr>
        <w:t xml:space="preserve"> </w:t>
      </w:r>
      <w:r w:rsidRPr="00BD04DD">
        <w:rPr>
          <w:noProof/>
          <w:sz w:val="24"/>
          <w:szCs w:val="24"/>
        </w:rPr>
        <w:t>2017:88-100</w:t>
      </w:r>
      <w:r w:rsidRPr="00BD04DD">
        <w:rPr>
          <w:rFonts w:eastAsia="PingFang SC"/>
          <w:noProof/>
          <w:sz w:val="24"/>
          <w:szCs w:val="24"/>
        </w:rPr>
        <w:t>.</w:t>
      </w:r>
      <w:r w:rsidRPr="00BD04DD">
        <w:rPr>
          <w:noProof/>
          <w:sz w:val="24"/>
          <w:szCs w:val="24"/>
        </w:rPr>
        <w:t xml:space="preserve"> </w:t>
      </w:r>
      <w:hyperlink r:id="rId12" w:history="1">
        <w:r w:rsidRPr="00BD04DD">
          <w:rPr>
            <w:rStyle w:val="a3"/>
            <w:noProof/>
            <w:sz w:val="24"/>
            <w:szCs w:val="24"/>
          </w:rPr>
          <w:t>https://doi.org/10.1016/j.anifeedsci.2017.09.012</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7.</w:t>
      </w:r>
      <w:r w:rsidRPr="00BD04DD">
        <w:rPr>
          <w:noProof/>
          <w:sz w:val="24"/>
          <w:szCs w:val="24"/>
        </w:rPr>
        <w:tab/>
        <w:t>Funk C, Braune A, Grabber JH, Steinhart H, Bunzel M. Model studies of lignified fiber fermentation by human fecal microbiota and its impact on heterocyclic aromatic amine adsorption. Mutat Res-Fund Mol M.</w:t>
      </w:r>
      <w:r w:rsidRPr="00BD04DD">
        <w:rPr>
          <w:i/>
          <w:noProof/>
          <w:sz w:val="24"/>
          <w:szCs w:val="24"/>
        </w:rPr>
        <w:t xml:space="preserve"> </w:t>
      </w:r>
      <w:r w:rsidRPr="00BD04DD">
        <w:rPr>
          <w:noProof/>
          <w:sz w:val="24"/>
          <w:szCs w:val="24"/>
        </w:rPr>
        <w:t>2007; 624(1):41-48</w:t>
      </w:r>
      <w:r w:rsidRPr="00BD04DD">
        <w:rPr>
          <w:rFonts w:eastAsia="PingFang SC"/>
          <w:noProof/>
          <w:sz w:val="24"/>
          <w:szCs w:val="24"/>
        </w:rPr>
        <w:t>.</w:t>
      </w:r>
      <w:r w:rsidRPr="00BD04DD">
        <w:rPr>
          <w:noProof/>
          <w:sz w:val="24"/>
          <w:szCs w:val="24"/>
        </w:rPr>
        <w:t xml:space="preserve"> </w:t>
      </w:r>
      <w:hyperlink r:id="rId13" w:history="1">
        <w:r w:rsidRPr="00BD04DD">
          <w:rPr>
            <w:rStyle w:val="a3"/>
            <w:noProof/>
            <w:sz w:val="24"/>
            <w:szCs w:val="24"/>
          </w:rPr>
          <w:t>https://doi.org/10.1016/j.mrfmmm.2007.03.010</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8.</w:t>
      </w:r>
      <w:r w:rsidRPr="00BD04DD">
        <w:rPr>
          <w:noProof/>
          <w:sz w:val="24"/>
          <w:szCs w:val="24"/>
        </w:rPr>
        <w:tab/>
        <w:t>Klaassen CD, Cui JY. Review: Mechanisms of how the intestinal microbiota alters the effects of drugs and bile acids. Drug Metab Dispos.</w:t>
      </w:r>
      <w:r w:rsidRPr="00BD04DD">
        <w:rPr>
          <w:i/>
          <w:noProof/>
          <w:sz w:val="24"/>
          <w:szCs w:val="24"/>
        </w:rPr>
        <w:t xml:space="preserve"> </w:t>
      </w:r>
      <w:r w:rsidRPr="00BD04DD">
        <w:rPr>
          <w:noProof/>
          <w:sz w:val="24"/>
          <w:szCs w:val="24"/>
        </w:rPr>
        <w:t>2015; 43(10):1505-1521</w:t>
      </w:r>
      <w:r w:rsidRPr="00BD04DD">
        <w:rPr>
          <w:rFonts w:eastAsia="PingFang SC"/>
          <w:noProof/>
          <w:sz w:val="24"/>
          <w:szCs w:val="24"/>
        </w:rPr>
        <w:t>.</w:t>
      </w:r>
      <w:r w:rsidRPr="00BD04DD">
        <w:rPr>
          <w:noProof/>
          <w:sz w:val="24"/>
          <w:szCs w:val="24"/>
        </w:rPr>
        <w:t xml:space="preserve"> </w:t>
      </w:r>
      <w:hyperlink r:id="rId14" w:history="1">
        <w:r w:rsidRPr="00BD04DD">
          <w:rPr>
            <w:rStyle w:val="a3"/>
            <w:noProof/>
            <w:sz w:val="24"/>
            <w:szCs w:val="24"/>
          </w:rPr>
          <w:t>https://doi.org/10.1124/dmd.115.065698</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9.</w:t>
      </w:r>
      <w:r w:rsidRPr="00BD04DD">
        <w:rPr>
          <w:noProof/>
          <w:sz w:val="24"/>
          <w:szCs w:val="24"/>
        </w:rPr>
        <w:tab/>
        <w:t>Prayoonthien P, Nitisinprasert S, Keawsompong S. In vitro fermentation of copra meal hydrolysate by chicken microbiota. 3 Biotech.</w:t>
      </w:r>
      <w:r w:rsidRPr="00BD04DD">
        <w:rPr>
          <w:i/>
          <w:noProof/>
          <w:sz w:val="24"/>
          <w:szCs w:val="24"/>
        </w:rPr>
        <w:t xml:space="preserve"> </w:t>
      </w:r>
      <w:r w:rsidRPr="00BD04DD">
        <w:rPr>
          <w:noProof/>
          <w:sz w:val="24"/>
          <w:szCs w:val="24"/>
        </w:rPr>
        <w:t>2018; 8(1):41</w:t>
      </w:r>
      <w:r w:rsidRPr="00BD04DD">
        <w:rPr>
          <w:rFonts w:eastAsia="PingFang SC"/>
          <w:noProof/>
          <w:sz w:val="24"/>
          <w:szCs w:val="24"/>
        </w:rPr>
        <w:t>.</w:t>
      </w:r>
      <w:r w:rsidRPr="00BD04DD">
        <w:rPr>
          <w:noProof/>
          <w:sz w:val="24"/>
          <w:szCs w:val="24"/>
        </w:rPr>
        <w:t xml:space="preserve"> </w:t>
      </w:r>
      <w:hyperlink r:id="rId15" w:history="1">
        <w:r w:rsidRPr="00BD04DD">
          <w:rPr>
            <w:rStyle w:val="a3"/>
            <w:noProof/>
            <w:sz w:val="24"/>
            <w:szCs w:val="24"/>
          </w:rPr>
          <w:t>https://doi.org/10.1007/s13205-017-1058-1</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10.</w:t>
      </w:r>
      <w:r w:rsidRPr="00BD04DD">
        <w:rPr>
          <w:noProof/>
          <w:sz w:val="24"/>
          <w:szCs w:val="24"/>
        </w:rPr>
        <w:tab/>
        <w:t>Trompette A, Gollwitzer ES, Yadava K, Sichelstiel AK, Sprenger N, Ngom-Bru C et al. Gut microbiota metabolism of dietary fiber influences allergic airway disease and hematopoiesis. Nat Med.</w:t>
      </w:r>
      <w:r w:rsidRPr="00BD04DD">
        <w:rPr>
          <w:i/>
          <w:noProof/>
          <w:sz w:val="24"/>
          <w:szCs w:val="24"/>
        </w:rPr>
        <w:t xml:space="preserve"> </w:t>
      </w:r>
      <w:r w:rsidRPr="00BD04DD">
        <w:rPr>
          <w:noProof/>
          <w:sz w:val="24"/>
          <w:szCs w:val="24"/>
        </w:rPr>
        <w:t>2014; 20(2):159-166</w:t>
      </w:r>
      <w:r w:rsidRPr="00BD04DD">
        <w:rPr>
          <w:rFonts w:eastAsia="PingFang SC"/>
          <w:noProof/>
          <w:sz w:val="24"/>
          <w:szCs w:val="24"/>
        </w:rPr>
        <w:t>.</w:t>
      </w:r>
      <w:r w:rsidRPr="00BD04DD">
        <w:rPr>
          <w:noProof/>
          <w:sz w:val="24"/>
          <w:szCs w:val="24"/>
        </w:rPr>
        <w:t xml:space="preserve"> </w:t>
      </w:r>
      <w:hyperlink r:id="rId16" w:history="1">
        <w:r w:rsidRPr="00BD04DD">
          <w:rPr>
            <w:rStyle w:val="a3"/>
            <w:noProof/>
            <w:sz w:val="24"/>
            <w:szCs w:val="24"/>
          </w:rPr>
          <w:t>https://doi.org/10.1038/nm.3444</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11.</w:t>
      </w:r>
      <w:r w:rsidRPr="00BD04DD">
        <w:rPr>
          <w:noProof/>
          <w:sz w:val="24"/>
          <w:szCs w:val="24"/>
        </w:rPr>
        <w:tab/>
        <w:t>Lee K, Lillehoj HS, Siragusa GR. Direct-fed microbials and their impact on the intestinal microflora and immune system of chickens. J Poult Sci.</w:t>
      </w:r>
      <w:r w:rsidRPr="00BD04DD">
        <w:rPr>
          <w:i/>
          <w:noProof/>
          <w:sz w:val="24"/>
          <w:szCs w:val="24"/>
        </w:rPr>
        <w:t xml:space="preserve"> </w:t>
      </w:r>
      <w:r w:rsidRPr="00BD04DD">
        <w:rPr>
          <w:noProof/>
          <w:sz w:val="24"/>
          <w:szCs w:val="24"/>
        </w:rPr>
        <w:t>2010:1001160039</w:t>
      </w:r>
      <w:r w:rsidRPr="00BD04DD">
        <w:rPr>
          <w:rFonts w:eastAsia="PingFang SC"/>
          <w:noProof/>
          <w:sz w:val="24"/>
          <w:szCs w:val="24"/>
        </w:rPr>
        <w:t>.</w:t>
      </w:r>
      <w:r w:rsidRPr="00BD04DD">
        <w:rPr>
          <w:noProof/>
          <w:sz w:val="24"/>
          <w:szCs w:val="24"/>
        </w:rPr>
        <w:t xml:space="preserve"> </w:t>
      </w:r>
      <w:hyperlink r:id="rId17" w:history="1">
        <w:r w:rsidRPr="00BD04DD">
          <w:rPr>
            <w:rStyle w:val="a3"/>
            <w:noProof/>
            <w:sz w:val="24"/>
            <w:szCs w:val="24"/>
          </w:rPr>
          <w:t>https://doi.org/10.2141/jpsa.009096</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12.</w:t>
      </w:r>
      <w:r w:rsidRPr="00BD04DD">
        <w:rPr>
          <w:noProof/>
          <w:sz w:val="24"/>
          <w:szCs w:val="24"/>
        </w:rPr>
        <w:tab/>
        <w:t>Hooper LV, Littman DR, Macpherson AJ. Interactions between the microbiota and the immune system. Science.</w:t>
      </w:r>
      <w:r w:rsidRPr="00BD04DD">
        <w:rPr>
          <w:i/>
          <w:noProof/>
          <w:sz w:val="24"/>
          <w:szCs w:val="24"/>
        </w:rPr>
        <w:t xml:space="preserve"> </w:t>
      </w:r>
      <w:r w:rsidRPr="00BD04DD">
        <w:rPr>
          <w:noProof/>
          <w:sz w:val="24"/>
          <w:szCs w:val="24"/>
        </w:rPr>
        <w:t>2012; 336(6086):1268-1273</w:t>
      </w:r>
      <w:r w:rsidRPr="00BD04DD">
        <w:rPr>
          <w:rFonts w:eastAsia="PingFang SC"/>
          <w:noProof/>
          <w:sz w:val="24"/>
          <w:szCs w:val="24"/>
        </w:rPr>
        <w:t>.</w:t>
      </w:r>
      <w:r w:rsidRPr="00BD04DD">
        <w:rPr>
          <w:noProof/>
          <w:sz w:val="24"/>
          <w:szCs w:val="24"/>
        </w:rPr>
        <w:t xml:space="preserve"> </w:t>
      </w:r>
      <w:hyperlink r:id="rId18" w:history="1">
        <w:r w:rsidRPr="00BD04DD">
          <w:rPr>
            <w:rStyle w:val="a3"/>
            <w:noProof/>
            <w:sz w:val="24"/>
            <w:szCs w:val="24"/>
          </w:rPr>
          <w:t>https://doi.org/10.1126/science.1223490</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13.</w:t>
      </w:r>
      <w:r w:rsidRPr="00BD04DD">
        <w:rPr>
          <w:noProof/>
          <w:sz w:val="24"/>
          <w:szCs w:val="24"/>
        </w:rPr>
        <w:tab/>
        <w:t>Clark A, Mach N. Exercise-induced stress behavior, gut-microbiota-brain axis and diet: a systematic review for athletes. J Int Soc Sports Nutr.</w:t>
      </w:r>
      <w:r w:rsidRPr="00BD04DD">
        <w:rPr>
          <w:i/>
          <w:noProof/>
          <w:sz w:val="24"/>
          <w:szCs w:val="24"/>
        </w:rPr>
        <w:t xml:space="preserve"> </w:t>
      </w:r>
      <w:r w:rsidRPr="00BD04DD">
        <w:rPr>
          <w:noProof/>
          <w:sz w:val="24"/>
          <w:szCs w:val="24"/>
        </w:rPr>
        <w:t>2016; 13:43</w:t>
      </w:r>
      <w:r w:rsidRPr="00BD04DD">
        <w:rPr>
          <w:rFonts w:eastAsia="PingFang SC"/>
          <w:noProof/>
          <w:sz w:val="24"/>
          <w:szCs w:val="24"/>
        </w:rPr>
        <w:t>.</w:t>
      </w:r>
      <w:r w:rsidRPr="00BD04DD">
        <w:rPr>
          <w:noProof/>
          <w:sz w:val="24"/>
          <w:szCs w:val="24"/>
        </w:rPr>
        <w:t xml:space="preserve"> </w:t>
      </w:r>
      <w:hyperlink r:id="rId19" w:history="1">
        <w:r w:rsidRPr="00BD04DD">
          <w:rPr>
            <w:rStyle w:val="a3"/>
            <w:noProof/>
            <w:sz w:val="24"/>
            <w:szCs w:val="24"/>
          </w:rPr>
          <w:t>https://doi.org/10.1186/s12970-016-0155-6</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14.</w:t>
      </w:r>
      <w:r w:rsidRPr="00BD04DD">
        <w:rPr>
          <w:noProof/>
          <w:sz w:val="24"/>
          <w:szCs w:val="24"/>
        </w:rPr>
        <w:tab/>
        <w:t>Backhed F, Ding H, Wang T, Hooper LV, Koh GY, Nagy A et al. The gut microbiota as an environmental factor that regulates fat storage. P Natl Acad Sci USA.</w:t>
      </w:r>
      <w:r w:rsidRPr="00BD04DD">
        <w:rPr>
          <w:i/>
          <w:noProof/>
          <w:sz w:val="24"/>
          <w:szCs w:val="24"/>
        </w:rPr>
        <w:t xml:space="preserve"> </w:t>
      </w:r>
      <w:r w:rsidRPr="00BD04DD">
        <w:rPr>
          <w:noProof/>
          <w:sz w:val="24"/>
          <w:szCs w:val="24"/>
        </w:rPr>
        <w:t>2004; 101(44):15718-15723</w:t>
      </w:r>
      <w:r w:rsidRPr="00BD04DD">
        <w:rPr>
          <w:rFonts w:eastAsia="PingFang SC"/>
          <w:noProof/>
          <w:sz w:val="24"/>
          <w:szCs w:val="24"/>
        </w:rPr>
        <w:t>.</w:t>
      </w:r>
      <w:r w:rsidRPr="00BD04DD">
        <w:rPr>
          <w:noProof/>
          <w:sz w:val="24"/>
          <w:szCs w:val="24"/>
        </w:rPr>
        <w:t xml:space="preserve"> </w:t>
      </w:r>
      <w:hyperlink r:id="rId20" w:history="1">
        <w:r w:rsidRPr="00BD04DD">
          <w:rPr>
            <w:rStyle w:val="a3"/>
            <w:noProof/>
            <w:sz w:val="24"/>
            <w:szCs w:val="24"/>
          </w:rPr>
          <w:t>https://doi.org/10.1073/pnas.0407076101</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15.</w:t>
      </w:r>
      <w:r w:rsidRPr="00BD04DD">
        <w:rPr>
          <w:noProof/>
          <w:sz w:val="24"/>
          <w:szCs w:val="24"/>
        </w:rPr>
        <w:tab/>
        <w:t>Wen C, Yan W, Sun C, Ji C, Zhou Q, Zhang D et al. The gut microbiota is largely independent of host genetics in regulating fat deposition in chickens. Isme J.</w:t>
      </w:r>
      <w:r w:rsidRPr="00BD04DD">
        <w:rPr>
          <w:i/>
          <w:noProof/>
          <w:sz w:val="24"/>
          <w:szCs w:val="24"/>
        </w:rPr>
        <w:t xml:space="preserve"> </w:t>
      </w:r>
      <w:r w:rsidRPr="00BD04DD">
        <w:rPr>
          <w:noProof/>
          <w:sz w:val="24"/>
          <w:szCs w:val="24"/>
        </w:rPr>
        <w:t>2019; 13(6):1422-1436</w:t>
      </w:r>
      <w:r w:rsidRPr="00BD04DD">
        <w:rPr>
          <w:rFonts w:eastAsia="PingFang SC"/>
          <w:noProof/>
          <w:sz w:val="24"/>
          <w:szCs w:val="24"/>
        </w:rPr>
        <w:t>.</w:t>
      </w:r>
      <w:r w:rsidRPr="00BD04DD">
        <w:rPr>
          <w:noProof/>
          <w:sz w:val="24"/>
          <w:szCs w:val="24"/>
        </w:rPr>
        <w:t xml:space="preserve"> </w:t>
      </w:r>
      <w:hyperlink r:id="rId21" w:history="1">
        <w:r w:rsidRPr="00BD04DD">
          <w:rPr>
            <w:rStyle w:val="a3"/>
            <w:noProof/>
            <w:sz w:val="24"/>
            <w:szCs w:val="24"/>
          </w:rPr>
          <w:t>https://doi.org/10.1038/s41396-019-0367-2</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16.</w:t>
      </w:r>
      <w:r w:rsidRPr="00BD04DD">
        <w:rPr>
          <w:noProof/>
          <w:sz w:val="24"/>
          <w:szCs w:val="24"/>
        </w:rPr>
        <w:tab/>
        <w:t>Sonnenburg JL, Backhed F. Diet-microbiota interactions as moderators of human metabolism. Nature.</w:t>
      </w:r>
      <w:r w:rsidRPr="00BD04DD">
        <w:rPr>
          <w:i/>
          <w:noProof/>
          <w:sz w:val="24"/>
          <w:szCs w:val="24"/>
        </w:rPr>
        <w:t xml:space="preserve"> </w:t>
      </w:r>
      <w:r w:rsidRPr="00BD04DD">
        <w:rPr>
          <w:noProof/>
          <w:sz w:val="24"/>
          <w:szCs w:val="24"/>
        </w:rPr>
        <w:t>2016; 535(7610):56-64</w:t>
      </w:r>
      <w:r w:rsidRPr="00BD04DD">
        <w:rPr>
          <w:rFonts w:eastAsia="PingFang SC"/>
          <w:noProof/>
          <w:sz w:val="24"/>
          <w:szCs w:val="24"/>
        </w:rPr>
        <w:t>.</w:t>
      </w:r>
      <w:r w:rsidRPr="00BD04DD">
        <w:rPr>
          <w:noProof/>
          <w:sz w:val="24"/>
          <w:szCs w:val="24"/>
        </w:rPr>
        <w:t xml:space="preserve"> </w:t>
      </w:r>
      <w:hyperlink r:id="rId22" w:history="1">
        <w:r w:rsidRPr="00BD04DD">
          <w:rPr>
            <w:rStyle w:val="a3"/>
            <w:noProof/>
            <w:sz w:val="24"/>
            <w:szCs w:val="24"/>
          </w:rPr>
          <w:t>https://doi.org/10.1038/nature18846</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17.</w:t>
      </w:r>
      <w:r w:rsidRPr="00BD04DD">
        <w:rPr>
          <w:noProof/>
          <w:sz w:val="24"/>
          <w:szCs w:val="24"/>
        </w:rPr>
        <w:tab/>
        <w:t>Nahashon SN, Nakaue HS, Snyder SP, Mirosh LW. Performance of single comb White Leghorn layers fed corn-soybean meal and barley-corn-soybean meal diets supplemented with a direct-fed microbial. Poult Sci.</w:t>
      </w:r>
      <w:r w:rsidRPr="00BD04DD">
        <w:rPr>
          <w:i/>
          <w:noProof/>
          <w:sz w:val="24"/>
          <w:szCs w:val="24"/>
        </w:rPr>
        <w:t xml:space="preserve"> </w:t>
      </w:r>
      <w:r w:rsidRPr="00BD04DD">
        <w:rPr>
          <w:noProof/>
          <w:sz w:val="24"/>
          <w:szCs w:val="24"/>
        </w:rPr>
        <w:t>1994; 73(11):1712-1723</w:t>
      </w:r>
      <w:r w:rsidRPr="00BD04DD">
        <w:rPr>
          <w:rFonts w:eastAsia="PingFang SC"/>
          <w:noProof/>
          <w:sz w:val="24"/>
          <w:szCs w:val="24"/>
        </w:rPr>
        <w:t>.</w:t>
      </w:r>
      <w:r w:rsidRPr="00BD04DD">
        <w:rPr>
          <w:noProof/>
          <w:sz w:val="24"/>
          <w:szCs w:val="24"/>
        </w:rPr>
        <w:t xml:space="preserve"> </w:t>
      </w:r>
      <w:hyperlink r:id="rId23" w:history="1">
        <w:r w:rsidRPr="00BD04DD">
          <w:rPr>
            <w:rStyle w:val="a3"/>
            <w:noProof/>
            <w:sz w:val="24"/>
            <w:szCs w:val="24"/>
          </w:rPr>
          <w:t>https://doi.org/10.3382/ps.0731712</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18.</w:t>
      </w:r>
      <w:r w:rsidRPr="00BD04DD">
        <w:rPr>
          <w:noProof/>
          <w:sz w:val="24"/>
          <w:szCs w:val="24"/>
        </w:rPr>
        <w:tab/>
        <w:t>Karl JP, Meydani M, Barnett JB, Vanegas SM, Barger K, Fu X et al. Fecal concentrations of bacterially derived vitamin K forms are associated with gut microbiota composition but not plasma or fecal cytokine concentrations in healthy adults. Am J Clin Nutr.</w:t>
      </w:r>
      <w:r w:rsidRPr="00BD04DD">
        <w:rPr>
          <w:i/>
          <w:noProof/>
          <w:sz w:val="24"/>
          <w:szCs w:val="24"/>
        </w:rPr>
        <w:t xml:space="preserve"> </w:t>
      </w:r>
      <w:r w:rsidRPr="00BD04DD">
        <w:rPr>
          <w:noProof/>
          <w:sz w:val="24"/>
          <w:szCs w:val="24"/>
        </w:rPr>
        <w:t>2017; 106(4):1052-1061</w:t>
      </w:r>
      <w:r w:rsidRPr="00BD04DD">
        <w:rPr>
          <w:rFonts w:eastAsia="PingFang SC"/>
          <w:noProof/>
          <w:sz w:val="24"/>
          <w:szCs w:val="24"/>
        </w:rPr>
        <w:t>.</w:t>
      </w:r>
      <w:r w:rsidRPr="00BD04DD">
        <w:rPr>
          <w:noProof/>
          <w:sz w:val="24"/>
          <w:szCs w:val="24"/>
        </w:rPr>
        <w:t xml:space="preserve"> </w:t>
      </w:r>
      <w:hyperlink r:id="rId24" w:history="1">
        <w:r w:rsidRPr="00BD04DD">
          <w:rPr>
            <w:rStyle w:val="a3"/>
            <w:noProof/>
            <w:sz w:val="24"/>
            <w:szCs w:val="24"/>
          </w:rPr>
          <w:t>https://doi.org/10.3945/ajcn.117.155424</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19.</w:t>
      </w:r>
      <w:r w:rsidRPr="00BD04DD">
        <w:rPr>
          <w:noProof/>
          <w:sz w:val="24"/>
          <w:szCs w:val="24"/>
        </w:rPr>
        <w:tab/>
        <w:t xml:space="preserve">Magnusdottir S, Ravcheev D, de Crecy-Lagard V, Thiele I. Systematic </w:t>
      </w:r>
      <w:r w:rsidRPr="00BD04DD">
        <w:rPr>
          <w:noProof/>
          <w:sz w:val="24"/>
          <w:szCs w:val="24"/>
        </w:rPr>
        <w:lastRenderedPageBreak/>
        <w:t>genome assessment of B-vitamin biosynthesis suggests co-operation among gut microbes. Front Genet.</w:t>
      </w:r>
      <w:r w:rsidRPr="00BD04DD">
        <w:rPr>
          <w:i/>
          <w:noProof/>
          <w:sz w:val="24"/>
          <w:szCs w:val="24"/>
        </w:rPr>
        <w:t xml:space="preserve"> </w:t>
      </w:r>
      <w:r w:rsidRPr="00BD04DD">
        <w:rPr>
          <w:noProof/>
          <w:sz w:val="24"/>
          <w:szCs w:val="24"/>
        </w:rPr>
        <w:t>2015; 6:148</w:t>
      </w:r>
      <w:r w:rsidRPr="00BD04DD">
        <w:rPr>
          <w:rFonts w:eastAsia="PingFang SC"/>
          <w:noProof/>
          <w:sz w:val="24"/>
          <w:szCs w:val="24"/>
        </w:rPr>
        <w:t>.</w:t>
      </w:r>
      <w:r w:rsidRPr="00BD04DD">
        <w:rPr>
          <w:noProof/>
          <w:sz w:val="24"/>
          <w:szCs w:val="24"/>
        </w:rPr>
        <w:t xml:space="preserve"> </w:t>
      </w:r>
      <w:hyperlink r:id="rId25" w:history="1">
        <w:r w:rsidRPr="00BD04DD">
          <w:rPr>
            <w:rStyle w:val="a3"/>
            <w:noProof/>
            <w:sz w:val="24"/>
            <w:szCs w:val="24"/>
          </w:rPr>
          <w:t>https://doi.org/10.3389/fgene.20</w:t>
        </w:r>
        <w:r w:rsidRPr="00BD04DD">
          <w:rPr>
            <w:rStyle w:val="a3"/>
            <w:noProof/>
            <w:sz w:val="24"/>
            <w:szCs w:val="24"/>
          </w:rPr>
          <w:t>1</w:t>
        </w:r>
        <w:r w:rsidRPr="00BD04DD">
          <w:rPr>
            <w:rStyle w:val="a3"/>
            <w:noProof/>
            <w:sz w:val="24"/>
            <w:szCs w:val="24"/>
          </w:rPr>
          <w:t>5.00148</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20.</w:t>
      </w:r>
      <w:r w:rsidRPr="00BD04DD">
        <w:rPr>
          <w:noProof/>
          <w:sz w:val="24"/>
          <w:szCs w:val="24"/>
        </w:rPr>
        <w:tab/>
        <w:t>Presti I, D'Orazio G, Labra M, La Ferla B, Mezzasalma V, Bizzaro G et al. Evaluation of the probiotic properties of new Lactobacillus and Bifidobacterium strains and their in vitro effect. Appl Microbiol Biotechnol.</w:t>
      </w:r>
      <w:r w:rsidRPr="00BD04DD">
        <w:rPr>
          <w:i/>
          <w:noProof/>
          <w:sz w:val="24"/>
          <w:szCs w:val="24"/>
        </w:rPr>
        <w:t xml:space="preserve"> </w:t>
      </w:r>
      <w:r w:rsidRPr="00BD04DD">
        <w:rPr>
          <w:noProof/>
          <w:sz w:val="24"/>
          <w:szCs w:val="24"/>
        </w:rPr>
        <w:t>2015; 99(13):5613-5626</w:t>
      </w:r>
      <w:r w:rsidRPr="00BD04DD">
        <w:rPr>
          <w:rFonts w:eastAsia="PingFang SC"/>
          <w:noProof/>
          <w:sz w:val="24"/>
          <w:szCs w:val="24"/>
        </w:rPr>
        <w:t>.</w:t>
      </w:r>
      <w:r w:rsidRPr="00BD04DD">
        <w:rPr>
          <w:noProof/>
          <w:sz w:val="24"/>
          <w:szCs w:val="24"/>
        </w:rPr>
        <w:t xml:space="preserve"> </w:t>
      </w:r>
      <w:hyperlink r:id="rId26" w:history="1">
        <w:r w:rsidRPr="00BD04DD">
          <w:rPr>
            <w:rStyle w:val="a3"/>
            <w:noProof/>
            <w:sz w:val="24"/>
            <w:szCs w:val="24"/>
          </w:rPr>
          <w:t>https://doi.org/10.1007/s00253-015-6482-8</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21.</w:t>
      </w:r>
      <w:r w:rsidRPr="00BD04DD">
        <w:rPr>
          <w:noProof/>
          <w:sz w:val="24"/>
          <w:szCs w:val="24"/>
        </w:rPr>
        <w:tab/>
        <w:t>Celi P, Verlhac V, Calvo EP, Schmeisser J, Kluenter A-M. Biomarkers of gastrointestinal functionality in animal nutrition and health. Anim Feed Sci Tech.</w:t>
      </w:r>
      <w:r w:rsidRPr="00BD04DD">
        <w:rPr>
          <w:i/>
          <w:noProof/>
          <w:sz w:val="24"/>
          <w:szCs w:val="24"/>
        </w:rPr>
        <w:t xml:space="preserve"> </w:t>
      </w:r>
      <w:r w:rsidRPr="00BD04DD">
        <w:rPr>
          <w:noProof/>
          <w:sz w:val="24"/>
          <w:szCs w:val="24"/>
        </w:rPr>
        <w:t>2019; 250:9-31</w:t>
      </w:r>
      <w:r w:rsidRPr="00BD04DD">
        <w:rPr>
          <w:rFonts w:eastAsia="PingFang SC"/>
          <w:noProof/>
          <w:sz w:val="24"/>
          <w:szCs w:val="24"/>
        </w:rPr>
        <w:t>.</w:t>
      </w:r>
      <w:r w:rsidRPr="00BD04DD">
        <w:rPr>
          <w:noProof/>
          <w:sz w:val="24"/>
          <w:szCs w:val="24"/>
        </w:rPr>
        <w:t xml:space="preserve"> </w:t>
      </w:r>
      <w:hyperlink r:id="rId27" w:history="1">
        <w:r w:rsidRPr="00BD04DD">
          <w:rPr>
            <w:rStyle w:val="a3"/>
            <w:noProof/>
            <w:sz w:val="24"/>
            <w:szCs w:val="24"/>
          </w:rPr>
          <w:t>https://doi.org/10.1016/j.anifeedsci.2018.07.012</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22.</w:t>
      </w:r>
      <w:r w:rsidRPr="00BD04DD">
        <w:rPr>
          <w:noProof/>
          <w:sz w:val="24"/>
          <w:szCs w:val="24"/>
        </w:rPr>
        <w:tab/>
        <w:t>Tremellen K, Pearce K. Dysbiosis of gut microbiota (DOGMA) - A novel theory for the development of polycystic ovarian syndrome. Med Hypotheses.</w:t>
      </w:r>
      <w:r w:rsidRPr="00BD04DD">
        <w:rPr>
          <w:i/>
          <w:noProof/>
          <w:sz w:val="24"/>
          <w:szCs w:val="24"/>
        </w:rPr>
        <w:t xml:space="preserve"> </w:t>
      </w:r>
      <w:r w:rsidRPr="00BD04DD">
        <w:rPr>
          <w:noProof/>
          <w:sz w:val="24"/>
          <w:szCs w:val="24"/>
        </w:rPr>
        <w:t>2012; 79(1):104-112</w:t>
      </w:r>
      <w:r w:rsidRPr="00BD04DD">
        <w:rPr>
          <w:rFonts w:eastAsia="PingFang SC"/>
          <w:noProof/>
          <w:sz w:val="24"/>
          <w:szCs w:val="24"/>
        </w:rPr>
        <w:t>.</w:t>
      </w:r>
      <w:r w:rsidRPr="00BD04DD">
        <w:rPr>
          <w:noProof/>
          <w:sz w:val="24"/>
          <w:szCs w:val="24"/>
        </w:rPr>
        <w:t xml:space="preserve"> </w:t>
      </w:r>
      <w:hyperlink r:id="rId28" w:history="1">
        <w:r w:rsidRPr="00BD04DD">
          <w:rPr>
            <w:rStyle w:val="a3"/>
            <w:noProof/>
            <w:sz w:val="24"/>
            <w:szCs w:val="24"/>
          </w:rPr>
          <w:t>https://doi.org/10.1016/j.mehy.2012.04.016</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23.</w:t>
      </w:r>
      <w:r w:rsidRPr="00BD04DD">
        <w:rPr>
          <w:noProof/>
          <w:sz w:val="24"/>
          <w:szCs w:val="24"/>
        </w:rPr>
        <w:tab/>
        <w:t>Escobar-Morreale HF, Millán JL, San. Abdominal adiposity and the polycystic ovary syndrome. Trends Endocrin Met.</w:t>
      </w:r>
      <w:r w:rsidRPr="00BD04DD">
        <w:rPr>
          <w:i/>
          <w:noProof/>
          <w:sz w:val="24"/>
          <w:szCs w:val="24"/>
        </w:rPr>
        <w:t xml:space="preserve"> </w:t>
      </w:r>
      <w:r w:rsidRPr="00BD04DD">
        <w:rPr>
          <w:noProof/>
          <w:sz w:val="24"/>
          <w:szCs w:val="24"/>
        </w:rPr>
        <w:t>2007; 18(7):266-272</w:t>
      </w:r>
      <w:r w:rsidRPr="00BD04DD">
        <w:rPr>
          <w:rFonts w:eastAsia="PingFang SC"/>
          <w:noProof/>
          <w:sz w:val="24"/>
          <w:szCs w:val="24"/>
        </w:rPr>
        <w:t>.</w:t>
      </w:r>
      <w:r w:rsidRPr="00BD04DD">
        <w:rPr>
          <w:noProof/>
          <w:sz w:val="24"/>
          <w:szCs w:val="24"/>
        </w:rPr>
        <w:t xml:space="preserve"> </w:t>
      </w:r>
      <w:hyperlink r:id="rId29" w:history="1">
        <w:r w:rsidRPr="00BD04DD">
          <w:rPr>
            <w:rStyle w:val="a3"/>
            <w:noProof/>
            <w:sz w:val="24"/>
            <w:szCs w:val="24"/>
          </w:rPr>
          <w:t>https://doi.org/10.1016/j.tem.2007.07.003</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24.</w:t>
      </w:r>
      <w:r w:rsidRPr="00BD04DD">
        <w:rPr>
          <w:noProof/>
          <w:sz w:val="24"/>
          <w:szCs w:val="24"/>
        </w:rPr>
        <w:tab/>
        <w:t>Gavrieli Y, Sherman Y, Ben-Sasson SA. Identification of programmed cell death in situ via specific labeling of nuclear DNA fragmentation. Journal Cell Biol.</w:t>
      </w:r>
      <w:r w:rsidRPr="00BD04DD">
        <w:rPr>
          <w:i/>
          <w:noProof/>
          <w:sz w:val="24"/>
          <w:szCs w:val="24"/>
        </w:rPr>
        <w:t xml:space="preserve"> </w:t>
      </w:r>
      <w:r w:rsidRPr="00BD04DD">
        <w:rPr>
          <w:noProof/>
          <w:sz w:val="24"/>
          <w:szCs w:val="24"/>
        </w:rPr>
        <w:t>1992; 119(3):493-501</w:t>
      </w:r>
      <w:r w:rsidRPr="00BD04DD">
        <w:rPr>
          <w:rFonts w:eastAsia="PingFang SC"/>
          <w:noProof/>
          <w:sz w:val="24"/>
          <w:szCs w:val="24"/>
        </w:rPr>
        <w:t>.</w:t>
      </w:r>
      <w:r w:rsidRPr="00BD04DD">
        <w:rPr>
          <w:noProof/>
          <w:sz w:val="24"/>
          <w:szCs w:val="24"/>
        </w:rPr>
        <w:t xml:space="preserve"> </w:t>
      </w:r>
      <w:hyperlink r:id="rId30" w:history="1">
        <w:r w:rsidRPr="00BD04DD">
          <w:rPr>
            <w:rStyle w:val="a3"/>
            <w:noProof/>
            <w:sz w:val="24"/>
            <w:szCs w:val="24"/>
          </w:rPr>
          <w:t>https://doi.org/10.1083/jcb.119.3.493</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25.</w:t>
      </w:r>
      <w:r w:rsidRPr="00BD04DD">
        <w:rPr>
          <w:noProof/>
          <w:sz w:val="24"/>
          <w:szCs w:val="24"/>
        </w:rPr>
        <w:tab/>
        <w:t>Magoc T, Salzberg SL. FLASH: fast length adjustment of short reads to improve genome assemblies. Bioinformatics.</w:t>
      </w:r>
      <w:r w:rsidRPr="00BD04DD">
        <w:rPr>
          <w:i/>
          <w:noProof/>
          <w:sz w:val="24"/>
          <w:szCs w:val="24"/>
        </w:rPr>
        <w:t xml:space="preserve"> </w:t>
      </w:r>
      <w:r w:rsidRPr="00BD04DD">
        <w:rPr>
          <w:noProof/>
          <w:sz w:val="24"/>
          <w:szCs w:val="24"/>
        </w:rPr>
        <w:t>2011; 27(21):2957-2963</w:t>
      </w:r>
      <w:r w:rsidRPr="00BD04DD">
        <w:rPr>
          <w:rFonts w:eastAsia="PingFang SC"/>
          <w:noProof/>
          <w:sz w:val="24"/>
          <w:szCs w:val="24"/>
        </w:rPr>
        <w:t>.</w:t>
      </w:r>
      <w:r w:rsidRPr="00BD04DD">
        <w:rPr>
          <w:noProof/>
          <w:sz w:val="24"/>
          <w:szCs w:val="24"/>
        </w:rPr>
        <w:t xml:space="preserve"> </w:t>
      </w:r>
      <w:hyperlink r:id="rId31" w:history="1">
        <w:r w:rsidRPr="00BD04DD">
          <w:rPr>
            <w:rStyle w:val="a3"/>
            <w:noProof/>
            <w:sz w:val="24"/>
            <w:szCs w:val="24"/>
          </w:rPr>
          <w:t>https://doi.org/10.1093/bioinformatics/btr507</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26.</w:t>
      </w:r>
      <w:r w:rsidRPr="00BD04DD">
        <w:rPr>
          <w:noProof/>
          <w:sz w:val="24"/>
          <w:szCs w:val="24"/>
        </w:rPr>
        <w:tab/>
        <w:t>Caporaso JG, Kuczynski J, Stombaugh J, Bittinger K, Bushman FD, Costello EK et al. QIIME allows analysis of high-throughput community sequencing data. Nat Methods.</w:t>
      </w:r>
      <w:r w:rsidRPr="00BD04DD">
        <w:rPr>
          <w:i/>
          <w:noProof/>
          <w:sz w:val="24"/>
          <w:szCs w:val="24"/>
        </w:rPr>
        <w:t xml:space="preserve"> </w:t>
      </w:r>
      <w:r w:rsidRPr="00BD04DD">
        <w:rPr>
          <w:noProof/>
          <w:sz w:val="24"/>
          <w:szCs w:val="24"/>
        </w:rPr>
        <w:t>2010; 7(5):335-336</w:t>
      </w:r>
      <w:r w:rsidRPr="00BD04DD">
        <w:rPr>
          <w:rFonts w:eastAsia="PingFang SC"/>
          <w:noProof/>
          <w:sz w:val="24"/>
          <w:szCs w:val="24"/>
        </w:rPr>
        <w:t>.</w:t>
      </w:r>
      <w:r w:rsidRPr="00BD04DD">
        <w:rPr>
          <w:noProof/>
          <w:sz w:val="24"/>
          <w:szCs w:val="24"/>
        </w:rPr>
        <w:t xml:space="preserve"> </w:t>
      </w:r>
      <w:hyperlink r:id="rId32" w:history="1">
        <w:r w:rsidRPr="00BD04DD">
          <w:rPr>
            <w:rStyle w:val="a3"/>
            <w:noProof/>
            <w:sz w:val="24"/>
            <w:szCs w:val="24"/>
          </w:rPr>
          <w:t>https://doi.org/10.1038/nmeth.f.303</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27.</w:t>
      </w:r>
      <w:r w:rsidRPr="00BD04DD">
        <w:rPr>
          <w:noProof/>
          <w:sz w:val="24"/>
          <w:szCs w:val="24"/>
        </w:rPr>
        <w:tab/>
        <w:t>Edgar RC, Haas BJ, Clemente JC, Quince C, Knight R. UCHIME improves sensitivity and speed of chimera detection. Bioinformatics.</w:t>
      </w:r>
      <w:r w:rsidRPr="00BD04DD">
        <w:rPr>
          <w:i/>
          <w:noProof/>
          <w:sz w:val="24"/>
          <w:szCs w:val="24"/>
        </w:rPr>
        <w:t xml:space="preserve"> </w:t>
      </w:r>
      <w:r w:rsidRPr="00BD04DD">
        <w:rPr>
          <w:noProof/>
          <w:sz w:val="24"/>
          <w:szCs w:val="24"/>
        </w:rPr>
        <w:t>2011; 27(16):2194-2200</w:t>
      </w:r>
      <w:r w:rsidRPr="00BD04DD">
        <w:rPr>
          <w:rFonts w:eastAsia="PingFang SC"/>
          <w:noProof/>
          <w:sz w:val="24"/>
          <w:szCs w:val="24"/>
        </w:rPr>
        <w:t>.</w:t>
      </w:r>
      <w:r w:rsidRPr="00BD04DD">
        <w:rPr>
          <w:noProof/>
          <w:sz w:val="24"/>
          <w:szCs w:val="24"/>
        </w:rPr>
        <w:t xml:space="preserve"> </w:t>
      </w:r>
      <w:hyperlink r:id="rId33" w:history="1">
        <w:r w:rsidRPr="00BD04DD">
          <w:rPr>
            <w:rStyle w:val="a3"/>
            <w:noProof/>
            <w:sz w:val="24"/>
            <w:szCs w:val="24"/>
          </w:rPr>
          <w:t>https://doi.org/10.1093/bioinformatics/btr381</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28.</w:t>
      </w:r>
      <w:r w:rsidRPr="00BD04DD">
        <w:rPr>
          <w:noProof/>
          <w:sz w:val="24"/>
          <w:szCs w:val="24"/>
        </w:rPr>
        <w:tab/>
        <w:t>Edgar RC. UPARSE: highly accurate OTU sequences from microbial amplicon reads. Nat Methods.</w:t>
      </w:r>
      <w:r w:rsidRPr="00BD04DD">
        <w:rPr>
          <w:i/>
          <w:noProof/>
          <w:sz w:val="24"/>
          <w:szCs w:val="24"/>
        </w:rPr>
        <w:t xml:space="preserve"> </w:t>
      </w:r>
      <w:r w:rsidRPr="00BD04DD">
        <w:rPr>
          <w:noProof/>
          <w:sz w:val="24"/>
          <w:szCs w:val="24"/>
        </w:rPr>
        <w:t>2013; 10(10):996-998</w:t>
      </w:r>
      <w:r w:rsidRPr="00BD04DD">
        <w:rPr>
          <w:rFonts w:eastAsia="PingFang SC"/>
          <w:noProof/>
          <w:sz w:val="24"/>
          <w:szCs w:val="24"/>
        </w:rPr>
        <w:t>.</w:t>
      </w:r>
      <w:r w:rsidRPr="00BD04DD">
        <w:rPr>
          <w:noProof/>
          <w:sz w:val="24"/>
          <w:szCs w:val="24"/>
        </w:rPr>
        <w:t xml:space="preserve"> </w:t>
      </w:r>
      <w:hyperlink r:id="rId34" w:history="1">
        <w:r w:rsidRPr="00BD04DD">
          <w:rPr>
            <w:rStyle w:val="a3"/>
            <w:noProof/>
            <w:sz w:val="24"/>
            <w:szCs w:val="24"/>
          </w:rPr>
          <w:t>https://doi.org/10.1038/nmeth.2604</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29.</w:t>
      </w:r>
      <w:r w:rsidRPr="00BD04DD">
        <w:rPr>
          <w:noProof/>
          <w:sz w:val="24"/>
          <w:szCs w:val="24"/>
        </w:rPr>
        <w:tab/>
        <w:t>DeSantis TZ, Hugenholtz P, Larsen N, Rojas M, Brodie EL, Keller K et al. Greengenes, a chimera-checked 16S rRNA gene database and workbench compatible with ARB. Appl Environ Microbiol.</w:t>
      </w:r>
      <w:r w:rsidRPr="00BD04DD">
        <w:rPr>
          <w:i/>
          <w:noProof/>
          <w:sz w:val="24"/>
          <w:szCs w:val="24"/>
        </w:rPr>
        <w:t xml:space="preserve"> </w:t>
      </w:r>
      <w:r w:rsidRPr="00BD04DD">
        <w:rPr>
          <w:noProof/>
          <w:sz w:val="24"/>
          <w:szCs w:val="24"/>
        </w:rPr>
        <w:t>2006; 72(7):5069-5072</w:t>
      </w:r>
      <w:r w:rsidRPr="00BD04DD">
        <w:rPr>
          <w:rFonts w:eastAsia="PingFang SC"/>
          <w:noProof/>
          <w:sz w:val="24"/>
          <w:szCs w:val="24"/>
        </w:rPr>
        <w:t>.</w:t>
      </w:r>
      <w:r w:rsidRPr="00BD04DD">
        <w:rPr>
          <w:noProof/>
          <w:sz w:val="24"/>
          <w:szCs w:val="24"/>
        </w:rPr>
        <w:t xml:space="preserve"> </w:t>
      </w:r>
      <w:hyperlink r:id="rId35" w:history="1">
        <w:r w:rsidRPr="00BD04DD">
          <w:rPr>
            <w:rStyle w:val="a3"/>
            <w:noProof/>
            <w:sz w:val="24"/>
            <w:szCs w:val="24"/>
          </w:rPr>
          <w:t>https://doi.org/10.1128/aem.03006-05</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30.</w:t>
      </w:r>
      <w:r w:rsidRPr="00BD04DD">
        <w:rPr>
          <w:noProof/>
          <w:sz w:val="24"/>
          <w:szCs w:val="24"/>
        </w:rPr>
        <w:tab/>
        <w:t>Wang Q, Garrity GM, Tiedje JM, Cole JR. Naive Bayesian classifier for rapid assignment of rRNA sequences into the new bacterial taxonomy. Appl Environ Microbiol.</w:t>
      </w:r>
      <w:r w:rsidRPr="00BD04DD">
        <w:rPr>
          <w:i/>
          <w:noProof/>
          <w:sz w:val="24"/>
          <w:szCs w:val="24"/>
        </w:rPr>
        <w:t xml:space="preserve"> </w:t>
      </w:r>
      <w:r w:rsidRPr="00BD04DD">
        <w:rPr>
          <w:noProof/>
          <w:sz w:val="24"/>
          <w:szCs w:val="24"/>
        </w:rPr>
        <w:t>2007; 73(16):5261-5267</w:t>
      </w:r>
      <w:r w:rsidRPr="00BD04DD">
        <w:rPr>
          <w:rFonts w:eastAsia="PingFang SC"/>
          <w:noProof/>
          <w:sz w:val="24"/>
          <w:szCs w:val="24"/>
        </w:rPr>
        <w:t>.</w:t>
      </w:r>
      <w:r w:rsidRPr="00BD04DD">
        <w:rPr>
          <w:noProof/>
          <w:sz w:val="24"/>
          <w:szCs w:val="24"/>
        </w:rPr>
        <w:t xml:space="preserve"> </w:t>
      </w:r>
      <w:hyperlink r:id="rId36" w:history="1">
        <w:r w:rsidRPr="00BD04DD">
          <w:rPr>
            <w:rStyle w:val="a3"/>
            <w:noProof/>
            <w:sz w:val="24"/>
            <w:szCs w:val="24"/>
          </w:rPr>
          <w:t>https://doi.org/10.1128/aem.00062-07</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31.</w:t>
      </w:r>
      <w:r w:rsidRPr="00BD04DD">
        <w:rPr>
          <w:noProof/>
          <w:sz w:val="24"/>
          <w:szCs w:val="24"/>
        </w:rPr>
        <w:tab/>
        <w:t>Algina J, Keselman HJ. Comparing squared multiple correlation coefficients: Examination of a confidence interval and a test significance. Psychol Methods.</w:t>
      </w:r>
      <w:r w:rsidRPr="00BD04DD">
        <w:rPr>
          <w:i/>
          <w:noProof/>
          <w:sz w:val="24"/>
          <w:szCs w:val="24"/>
        </w:rPr>
        <w:t xml:space="preserve"> </w:t>
      </w:r>
      <w:r w:rsidRPr="00BD04DD">
        <w:rPr>
          <w:noProof/>
          <w:sz w:val="24"/>
          <w:szCs w:val="24"/>
        </w:rPr>
        <w:t>1999; 4(1):76-83</w:t>
      </w:r>
      <w:r w:rsidRPr="00BD04DD">
        <w:rPr>
          <w:rFonts w:eastAsia="PingFang SC"/>
          <w:noProof/>
          <w:sz w:val="24"/>
          <w:szCs w:val="24"/>
        </w:rPr>
        <w:t>.</w:t>
      </w:r>
      <w:r w:rsidRPr="00BD04DD">
        <w:rPr>
          <w:noProof/>
          <w:sz w:val="24"/>
          <w:szCs w:val="24"/>
        </w:rPr>
        <w:t xml:space="preserve"> </w:t>
      </w:r>
      <w:hyperlink r:id="rId37" w:history="1">
        <w:r w:rsidRPr="00BD04DD">
          <w:rPr>
            <w:rStyle w:val="a3"/>
            <w:noProof/>
            <w:sz w:val="24"/>
            <w:szCs w:val="24"/>
          </w:rPr>
          <w:t>https://doi.org/10.1037/1082-989X.4.1.76</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32.</w:t>
      </w:r>
      <w:r w:rsidRPr="00BD04DD">
        <w:rPr>
          <w:noProof/>
          <w:sz w:val="24"/>
          <w:szCs w:val="24"/>
        </w:rPr>
        <w:tab/>
        <w:t>Smith CA, Want EJ, O'Maille G, Abagyan R, Siuzdak G. XCMS: processing mass spectrometry data for metabolite profiling using nonlinear peak alignment, matching, and identification. Analytical chemistry.</w:t>
      </w:r>
      <w:r w:rsidRPr="00BD04DD">
        <w:rPr>
          <w:i/>
          <w:noProof/>
          <w:sz w:val="24"/>
          <w:szCs w:val="24"/>
        </w:rPr>
        <w:t xml:space="preserve"> </w:t>
      </w:r>
      <w:r w:rsidRPr="00BD04DD">
        <w:rPr>
          <w:noProof/>
          <w:sz w:val="24"/>
          <w:szCs w:val="24"/>
        </w:rPr>
        <w:t>2006; 78(3):779-787</w:t>
      </w:r>
      <w:r w:rsidRPr="00BD04DD">
        <w:rPr>
          <w:rFonts w:eastAsia="PingFang SC"/>
          <w:noProof/>
          <w:sz w:val="24"/>
          <w:szCs w:val="24"/>
        </w:rPr>
        <w:t>.</w:t>
      </w:r>
      <w:r w:rsidRPr="00BD04DD">
        <w:rPr>
          <w:noProof/>
          <w:sz w:val="24"/>
          <w:szCs w:val="24"/>
        </w:rPr>
        <w:t xml:space="preserve"> </w:t>
      </w:r>
      <w:hyperlink r:id="rId38" w:history="1">
        <w:r w:rsidRPr="00BD04DD">
          <w:rPr>
            <w:rStyle w:val="a3"/>
            <w:noProof/>
            <w:sz w:val="24"/>
            <w:szCs w:val="24"/>
          </w:rPr>
          <w:t>https://doi.org/10.1021/ac051437y</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33.</w:t>
      </w:r>
      <w:r w:rsidRPr="00BD04DD">
        <w:rPr>
          <w:noProof/>
          <w:sz w:val="24"/>
          <w:szCs w:val="24"/>
        </w:rPr>
        <w:tab/>
        <w:t>Oberacher H, Whitley G, Berger B. Evaluation of the sensitivity of the 'Wiley registry of tandem mass spectral data, MSforID' with MS/MS data of the 'NIST/NIH/EPA mass spectral library'. J Mass Spectrom.</w:t>
      </w:r>
      <w:r w:rsidRPr="00BD04DD">
        <w:rPr>
          <w:i/>
          <w:noProof/>
          <w:sz w:val="24"/>
          <w:szCs w:val="24"/>
        </w:rPr>
        <w:t xml:space="preserve"> </w:t>
      </w:r>
      <w:r w:rsidRPr="00BD04DD">
        <w:rPr>
          <w:noProof/>
          <w:sz w:val="24"/>
          <w:szCs w:val="24"/>
        </w:rPr>
        <w:t>2013; 48(4):487-496</w:t>
      </w:r>
      <w:r w:rsidRPr="00BD04DD">
        <w:rPr>
          <w:rFonts w:eastAsia="PingFang SC"/>
          <w:noProof/>
          <w:sz w:val="24"/>
          <w:szCs w:val="24"/>
        </w:rPr>
        <w:t>.</w:t>
      </w:r>
      <w:r w:rsidRPr="00BD04DD">
        <w:rPr>
          <w:noProof/>
          <w:sz w:val="24"/>
          <w:szCs w:val="24"/>
        </w:rPr>
        <w:t xml:space="preserve"> </w:t>
      </w:r>
      <w:hyperlink r:id="rId39" w:history="1">
        <w:r w:rsidRPr="00BD04DD">
          <w:rPr>
            <w:rStyle w:val="a3"/>
            <w:noProof/>
            <w:sz w:val="24"/>
            <w:szCs w:val="24"/>
          </w:rPr>
          <w:t>https://doi.org/10.1002/jms.3184</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lastRenderedPageBreak/>
        <w:t>34.</w:t>
      </w:r>
      <w:r w:rsidRPr="00BD04DD">
        <w:rPr>
          <w:noProof/>
          <w:sz w:val="24"/>
          <w:szCs w:val="24"/>
        </w:rPr>
        <w:tab/>
        <w:t>Hastie T, Tibshirani R, Narasimhan B, Chu G: Impute: Imputation for Microarray Data. R package version 1.44.40. In</w:t>
      </w:r>
      <w:r w:rsidRPr="00BD04DD">
        <w:rPr>
          <w:i/>
          <w:noProof/>
          <w:sz w:val="24"/>
          <w:szCs w:val="24"/>
        </w:rPr>
        <w:t>.</w:t>
      </w:r>
      <w:r w:rsidRPr="00BD04DD">
        <w:rPr>
          <w:noProof/>
          <w:sz w:val="24"/>
          <w:szCs w:val="24"/>
        </w:rPr>
        <w:t>; 2014.</w:t>
      </w:r>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35.</w:t>
      </w:r>
      <w:r w:rsidRPr="00BD04DD">
        <w:rPr>
          <w:noProof/>
          <w:sz w:val="24"/>
          <w:szCs w:val="24"/>
        </w:rPr>
        <w:tab/>
        <w:t>Chan EC, Pasikanti KK, Nicholson JK. Global urinary metabolic profiling procedures using gas chromatography-mass spectrometry. Nat protoc.</w:t>
      </w:r>
      <w:r w:rsidRPr="00BD04DD">
        <w:rPr>
          <w:i/>
          <w:noProof/>
          <w:sz w:val="24"/>
          <w:szCs w:val="24"/>
        </w:rPr>
        <w:t xml:space="preserve"> </w:t>
      </w:r>
      <w:r w:rsidRPr="00BD04DD">
        <w:rPr>
          <w:noProof/>
          <w:sz w:val="24"/>
          <w:szCs w:val="24"/>
        </w:rPr>
        <w:t>2011; 6(10):1483-1499</w:t>
      </w:r>
      <w:r w:rsidRPr="00BD04DD">
        <w:rPr>
          <w:rFonts w:eastAsia="PingFang SC"/>
          <w:noProof/>
          <w:sz w:val="24"/>
          <w:szCs w:val="24"/>
        </w:rPr>
        <w:t>.</w:t>
      </w:r>
      <w:r w:rsidRPr="00BD04DD">
        <w:rPr>
          <w:noProof/>
          <w:sz w:val="24"/>
          <w:szCs w:val="24"/>
        </w:rPr>
        <w:t xml:space="preserve"> </w:t>
      </w:r>
      <w:hyperlink r:id="rId40" w:history="1">
        <w:r w:rsidRPr="00BD04DD">
          <w:rPr>
            <w:rStyle w:val="a3"/>
            <w:noProof/>
            <w:sz w:val="24"/>
            <w:szCs w:val="24"/>
          </w:rPr>
          <w:t>https://doi.org/10.1038/nprot.2011.375</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36.</w:t>
      </w:r>
      <w:r w:rsidRPr="00BD04DD">
        <w:rPr>
          <w:noProof/>
          <w:sz w:val="24"/>
          <w:szCs w:val="24"/>
        </w:rPr>
        <w:tab/>
        <w:t>Dunn WB, Broadhurst D, Begley P, Zelena E, Francis-McIntyre S, Anderson N et al. Procedures for large-scale metabolic profiling of serum and plasma using gas chromatography and liquid chromatography coupled to mass spectrometry. Nat protoc.</w:t>
      </w:r>
      <w:r w:rsidRPr="00BD04DD">
        <w:rPr>
          <w:i/>
          <w:noProof/>
          <w:sz w:val="24"/>
          <w:szCs w:val="24"/>
        </w:rPr>
        <w:t xml:space="preserve"> </w:t>
      </w:r>
      <w:r w:rsidRPr="00BD04DD">
        <w:rPr>
          <w:noProof/>
          <w:sz w:val="24"/>
          <w:szCs w:val="24"/>
        </w:rPr>
        <w:t>2011; 6(7):1060-1083</w:t>
      </w:r>
      <w:r w:rsidRPr="00BD04DD">
        <w:rPr>
          <w:rFonts w:eastAsia="PingFang SC"/>
          <w:noProof/>
          <w:sz w:val="24"/>
          <w:szCs w:val="24"/>
        </w:rPr>
        <w:t>.</w:t>
      </w:r>
      <w:r w:rsidRPr="00BD04DD">
        <w:rPr>
          <w:noProof/>
          <w:sz w:val="24"/>
          <w:szCs w:val="24"/>
        </w:rPr>
        <w:t xml:space="preserve"> </w:t>
      </w:r>
      <w:hyperlink r:id="rId41" w:history="1">
        <w:r w:rsidRPr="00BD04DD">
          <w:rPr>
            <w:rStyle w:val="a3"/>
            <w:noProof/>
            <w:sz w:val="24"/>
            <w:szCs w:val="24"/>
          </w:rPr>
          <w:t>https://doi.org/10.1038/nprot.2011.335</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37.</w:t>
      </w:r>
      <w:r w:rsidRPr="00BD04DD">
        <w:rPr>
          <w:noProof/>
          <w:sz w:val="24"/>
          <w:szCs w:val="24"/>
        </w:rPr>
        <w:tab/>
        <w:t>Xia X, Li G, Ding Y, Ren T, Zheng J, Kan J. Effect of whole grain Qingke (Tibetan Hordeum vulgare L. Zangqing 320) on the serum lipid levels and intestinal microbiota of rats under high-fat diet. J Agric Food Chem.</w:t>
      </w:r>
      <w:r w:rsidRPr="00BD04DD">
        <w:rPr>
          <w:i/>
          <w:noProof/>
          <w:sz w:val="24"/>
          <w:szCs w:val="24"/>
        </w:rPr>
        <w:t xml:space="preserve"> </w:t>
      </w:r>
      <w:r w:rsidRPr="00BD04DD">
        <w:rPr>
          <w:noProof/>
          <w:sz w:val="24"/>
          <w:szCs w:val="24"/>
        </w:rPr>
        <w:t>2017; 65(13):2686-2693</w:t>
      </w:r>
      <w:r w:rsidRPr="00BD04DD">
        <w:rPr>
          <w:rFonts w:eastAsia="PingFang SC"/>
          <w:noProof/>
          <w:sz w:val="24"/>
          <w:szCs w:val="24"/>
        </w:rPr>
        <w:t>.</w:t>
      </w:r>
      <w:r w:rsidRPr="00BD04DD">
        <w:rPr>
          <w:noProof/>
          <w:sz w:val="24"/>
          <w:szCs w:val="24"/>
        </w:rPr>
        <w:t xml:space="preserve"> </w:t>
      </w:r>
      <w:hyperlink r:id="rId42" w:history="1">
        <w:r w:rsidRPr="00BD04DD">
          <w:rPr>
            <w:rStyle w:val="a3"/>
            <w:noProof/>
            <w:sz w:val="24"/>
            <w:szCs w:val="24"/>
          </w:rPr>
          <w:t>https://doi.org/10.1021/acs.jafc.6b05641</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38.</w:t>
      </w:r>
      <w:r w:rsidRPr="00BD04DD">
        <w:rPr>
          <w:noProof/>
          <w:sz w:val="24"/>
          <w:szCs w:val="24"/>
        </w:rPr>
        <w:tab/>
        <w:t>Scott KPD, S. H, Flint HJ. Dietary fibre and the gut microbiota. Food Nutr Bull.</w:t>
      </w:r>
      <w:r w:rsidRPr="00BD04DD">
        <w:rPr>
          <w:i/>
          <w:noProof/>
          <w:sz w:val="24"/>
          <w:szCs w:val="24"/>
        </w:rPr>
        <w:t xml:space="preserve"> </w:t>
      </w:r>
      <w:r w:rsidRPr="00BD04DD">
        <w:rPr>
          <w:noProof/>
          <w:sz w:val="24"/>
          <w:szCs w:val="24"/>
        </w:rPr>
        <w:t>2010; 33(3):201-211</w:t>
      </w:r>
      <w:r w:rsidRPr="00BD04DD">
        <w:rPr>
          <w:rFonts w:eastAsia="PingFang SC"/>
          <w:noProof/>
          <w:sz w:val="24"/>
          <w:szCs w:val="24"/>
        </w:rPr>
        <w:t>.</w:t>
      </w:r>
      <w:r w:rsidRPr="00BD04DD">
        <w:rPr>
          <w:noProof/>
          <w:sz w:val="24"/>
          <w:szCs w:val="24"/>
        </w:rPr>
        <w:t xml:space="preserve"> </w:t>
      </w:r>
      <w:hyperlink r:id="rId43" w:history="1">
        <w:r w:rsidRPr="00BD04DD">
          <w:rPr>
            <w:rStyle w:val="a3"/>
            <w:noProof/>
            <w:sz w:val="24"/>
            <w:szCs w:val="24"/>
          </w:rPr>
          <w:t>https://doi.org/10.1111/j.1467-3010.2008.00706.x</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39.</w:t>
      </w:r>
      <w:r w:rsidRPr="00BD04DD">
        <w:rPr>
          <w:noProof/>
          <w:sz w:val="24"/>
          <w:szCs w:val="24"/>
        </w:rPr>
        <w:tab/>
        <w:t>Apajalahti J, Vienola K. Interaction between chicken intestinal microbiota and protein digestion. Anim Feed Sci Tech.</w:t>
      </w:r>
      <w:r w:rsidRPr="00BD04DD">
        <w:rPr>
          <w:i/>
          <w:noProof/>
          <w:sz w:val="24"/>
          <w:szCs w:val="24"/>
        </w:rPr>
        <w:t xml:space="preserve"> </w:t>
      </w:r>
      <w:r w:rsidRPr="00BD04DD">
        <w:rPr>
          <w:noProof/>
          <w:sz w:val="24"/>
          <w:szCs w:val="24"/>
        </w:rPr>
        <w:t>2016; 221:323-330</w:t>
      </w:r>
      <w:r w:rsidRPr="00BD04DD">
        <w:rPr>
          <w:rFonts w:eastAsia="PingFang SC"/>
          <w:noProof/>
          <w:sz w:val="24"/>
          <w:szCs w:val="24"/>
        </w:rPr>
        <w:t>.</w:t>
      </w:r>
      <w:r w:rsidRPr="00BD04DD">
        <w:rPr>
          <w:noProof/>
          <w:sz w:val="24"/>
          <w:szCs w:val="24"/>
        </w:rPr>
        <w:t xml:space="preserve"> </w:t>
      </w:r>
      <w:hyperlink r:id="rId44" w:history="1">
        <w:r w:rsidRPr="00BD04DD">
          <w:rPr>
            <w:rStyle w:val="a3"/>
            <w:noProof/>
            <w:sz w:val="24"/>
            <w:szCs w:val="24"/>
          </w:rPr>
          <w:t>https://doi.org/10.1016/j.anifeedsci.2016.05.004</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40.</w:t>
      </w:r>
      <w:r w:rsidRPr="00BD04DD">
        <w:rPr>
          <w:noProof/>
          <w:sz w:val="24"/>
          <w:szCs w:val="24"/>
        </w:rPr>
        <w:tab/>
        <w:t>Wang J, Yue H, Wu S, Zhang H, Qi G. Nutritional modulation of health, egg quality and environmental pollution of the layers. Anim Nutr.</w:t>
      </w:r>
      <w:r w:rsidRPr="00BD04DD">
        <w:rPr>
          <w:i/>
          <w:noProof/>
          <w:sz w:val="24"/>
          <w:szCs w:val="24"/>
        </w:rPr>
        <w:t xml:space="preserve"> </w:t>
      </w:r>
      <w:r w:rsidRPr="00BD04DD">
        <w:rPr>
          <w:noProof/>
          <w:sz w:val="24"/>
          <w:szCs w:val="24"/>
        </w:rPr>
        <w:t>2017; 3(2):91-96</w:t>
      </w:r>
      <w:r w:rsidRPr="00BD04DD">
        <w:rPr>
          <w:rFonts w:eastAsia="PingFang SC"/>
          <w:noProof/>
          <w:sz w:val="24"/>
          <w:szCs w:val="24"/>
        </w:rPr>
        <w:t>.</w:t>
      </w:r>
      <w:r w:rsidRPr="00BD04DD">
        <w:rPr>
          <w:noProof/>
          <w:sz w:val="24"/>
          <w:szCs w:val="24"/>
        </w:rPr>
        <w:t xml:space="preserve"> </w:t>
      </w:r>
      <w:hyperlink r:id="rId45" w:history="1">
        <w:r w:rsidRPr="00BD04DD">
          <w:rPr>
            <w:rStyle w:val="a3"/>
            <w:noProof/>
            <w:sz w:val="24"/>
            <w:szCs w:val="24"/>
          </w:rPr>
          <w:t>https://doi.org/10.1016/j.aninu.2017.03.001</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41.</w:t>
      </w:r>
      <w:r w:rsidRPr="00BD04DD">
        <w:rPr>
          <w:noProof/>
          <w:sz w:val="24"/>
          <w:szCs w:val="24"/>
        </w:rPr>
        <w:tab/>
        <w:t>Johnson AL, Woods DC. Dynamics of avian ovarian follicle development: cellular mechanisms of granulosa cell differentiation. Gen Comp Endocrinol.</w:t>
      </w:r>
      <w:r w:rsidRPr="00BD04DD">
        <w:rPr>
          <w:i/>
          <w:noProof/>
          <w:sz w:val="24"/>
          <w:szCs w:val="24"/>
        </w:rPr>
        <w:t xml:space="preserve"> </w:t>
      </w:r>
      <w:r w:rsidRPr="00BD04DD">
        <w:rPr>
          <w:noProof/>
          <w:sz w:val="24"/>
          <w:szCs w:val="24"/>
        </w:rPr>
        <w:t>2009; 163(1-2):12-17</w:t>
      </w:r>
      <w:r w:rsidRPr="00BD04DD">
        <w:rPr>
          <w:rFonts w:eastAsia="PingFang SC"/>
          <w:noProof/>
          <w:sz w:val="24"/>
          <w:szCs w:val="24"/>
        </w:rPr>
        <w:t>.</w:t>
      </w:r>
      <w:r w:rsidRPr="00BD04DD">
        <w:rPr>
          <w:noProof/>
          <w:sz w:val="24"/>
          <w:szCs w:val="24"/>
        </w:rPr>
        <w:t xml:space="preserve"> </w:t>
      </w:r>
      <w:hyperlink r:id="rId46" w:history="1">
        <w:r w:rsidRPr="00BD04DD">
          <w:rPr>
            <w:rStyle w:val="a3"/>
            <w:noProof/>
            <w:sz w:val="24"/>
            <w:szCs w:val="24"/>
          </w:rPr>
          <w:t>https://doi.org/10.1016/j.ygcen.2008.11.012</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42.</w:t>
      </w:r>
      <w:r w:rsidRPr="00BD04DD">
        <w:rPr>
          <w:noProof/>
          <w:sz w:val="24"/>
          <w:szCs w:val="24"/>
        </w:rPr>
        <w:tab/>
        <w:t>Richards MP, Poch SM, Coon CN, Rosebrough RW, Ashwell CM, McMurtry JP. Feed restriction significantly alters lipogenic gene expression in broiler breeder chickens. J Nutr.</w:t>
      </w:r>
      <w:r w:rsidRPr="00BD04DD">
        <w:rPr>
          <w:i/>
          <w:noProof/>
          <w:sz w:val="24"/>
          <w:szCs w:val="24"/>
        </w:rPr>
        <w:t xml:space="preserve"> </w:t>
      </w:r>
      <w:r w:rsidRPr="00BD04DD">
        <w:rPr>
          <w:noProof/>
          <w:sz w:val="24"/>
          <w:szCs w:val="24"/>
        </w:rPr>
        <w:t>2003; 133(3):707-715</w:t>
      </w:r>
      <w:r w:rsidRPr="00BD04DD">
        <w:rPr>
          <w:rFonts w:eastAsia="PingFang SC"/>
          <w:noProof/>
          <w:sz w:val="24"/>
          <w:szCs w:val="24"/>
        </w:rPr>
        <w:t>.</w:t>
      </w:r>
      <w:r w:rsidRPr="00BD04DD">
        <w:rPr>
          <w:noProof/>
          <w:sz w:val="24"/>
          <w:szCs w:val="24"/>
        </w:rPr>
        <w:t xml:space="preserve"> </w:t>
      </w:r>
      <w:hyperlink r:id="rId47" w:history="1">
        <w:r w:rsidRPr="00BD04DD">
          <w:rPr>
            <w:rStyle w:val="a3"/>
            <w:noProof/>
            <w:sz w:val="24"/>
            <w:szCs w:val="24"/>
          </w:rPr>
          <w:t>https://doi.org/10.1093/jn/133.3.707</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43.</w:t>
      </w:r>
      <w:r w:rsidRPr="00BD04DD">
        <w:rPr>
          <w:noProof/>
          <w:sz w:val="24"/>
          <w:szCs w:val="24"/>
        </w:rPr>
        <w:tab/>
        <w:t>Richards MP, Proszkowiec-Weglarz M. Mechanisms regulating feed intake, energy expenditure, and body weight in poultry. Poult Sci.</w:t>
      </w:r>
      <w:r w:rsidRPr="00BD04DD">
        <w:rPr>
          <w:i/>
          <w:noProof/>
          <w:sz w:val="24"/>
          <w:szCs w:val="24"/>
        </w:rPr>
        <w:t xml:space="preserve"> </w:t>
      </w:r>
      <w:r w:rsidRPr="00BD04DD">
        <w:rPr>
          <w:noProof/>
          <w:sz w:val="24"/>
          <w:szCs w:val="24"/>
        </w:rPr>
        <w:t>2007; 86(7):1478-1490</w:t>
      </w:r>
      <w:r w:rsidRPr="00BD04DD">
        <w:rPr>
          <w:rFonts w:eastAsia="PingFang SC"/>
          <w:noProof/>
          <w:sz w:val="24"/>
          <w:szCs w:val="24"/>
        </w:rPr>
        <w:t>.</w:t>
      </w:r>
      <w:r w:rsidRPr="00BD04DD">
        <w:rPr>
          <w:noProof/>
          <w:sz w:val="24"/>
          <w:szCs w:val="24"/>
        </w:rPr>
        <w:t xml:space="preserve"> </w:t>
      </w:r>
      <w:hyperlink r:id="rId48" w:history="1">
        <w:r w:rsidRPr="00BD04DD">
          <w:rPr>
            <w:rStyle w:val="a3"/>
            <w:noProof/>
            <w:sz w:val="24"/>
            <w:szCs w:val="24"/>
          </w:rPr>
          <w:t>https://doi.org/10.1093/ps/86.7.1478</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44.</w:t>
      </w:r>
      <w:r w:rsidRPr="00BD04DD">
        <w:rPr>
          <w:noProof/>
          <w:sz w:val="24"/>
          <w:szCs w:val="24"/>
        </w:rPr>
        <w:tab/>
        <w:t>Chen SE, McMurtry JP, Walzem RL. Overfeeding-induced ovarian dysfunction in broiler breeder hens is associated with lipotoxicity. Poult Sci.</w:t>
      </w:r>
      <w:r w:rsidRPr="00BD04DD">
        <w:rPr>
          <w:i/>
          <w:noProof/>
          <w:sz w:val="24"/>
          <w:szCs w:val="24"/>
        </w:rPr>
        <w:t xml:space="preserve"> </w:t>
      </w:r>
      <w:r w:rsidRPr="00BD04DD">
        <w:rPr>
          <w:noProof/>
          <w:sz w:val="24"/>
          <w:szCs w:val="24"/>
        </w:rPr>
        <w:t>2006; 85(1):70-81</w:t>
      </w:r>
      <w:r w:rsidRPr="00BD04DD">
        <w:rPr>
          <w:rFonts w:eastAsia="PingFang SC"/>
          <w:noProof/>
          <w:sz w:val="24"/>
          <w:szCs w:val="24"/>
        </w:rPr>
        <w:t>.</w:t>
      </w:r>
      <w:r w:rsidRPr="00BD04DD">
        <w:rPr>
          <w:noProof/>
          <w:sz w:val="24"/>
          <w:szCs w:val="24"/>
        </w:rPr>
        <w:t xml:space="preserve"> </w:t>
      </w:r>
      <w:hyperlink r:id="rId49" w:history="1">
        <w:r w:rsidRPr="00BD04DD">
          <w:rPr>
            <w:rStyle w:val="a3"/>
            <w:noProof/>
            <w:sz w:val="24"/>
            <w:szCs w:val="24"/>
          </w:rPr>
          <w:t>https://doi.org/10.1093/ps/85.1.70</w:t>
        </w:r>
      </w:hyperlink>
    </w:p>
    <w:p w:rsidR="00D76841" w:rsidRPr="00BD04DD" w:rsidRDefault="00D76841" w:rsidP="00D76841">
      <w:pPr>
        <w:pStyle w:val="EndNoteBibliography"/>
        <w:adjustRightInd w:val="0"/>
        <w:snapToGrid w:val="0"/>
        <w:ind w:left="720" w:hanging="720"/>
        <w:rPr>
          <w:rFonts w:eastAsia="PingFang SC"/>
          <w:noProof/>
          <w:sz w:val="24"/>
          <w:szCs w:val="24"/>
        </w:rPr>
      </w:pPr>
      <w:r w:rsidRPr="00BD04DD">
        <w:rPr>
          <w:noProof/>
          <w:sz w:val="24"/>
          <w:szCs w:val="24"/>
        </w:rPr>
        <w:t>45.</w:t>
      </w:r>
      <w:r w:rsidRPr="00BD04DD">
        <w:rPr>
          <w:noProof/>
          <w:sz w:val="24"/>
          <w:szCs w:val="24"/>
        </w:rPr>
        <w:tab/>
        <w:t xml:space="preserve">Walzem RL, Davis PA, Hansen RJ. </w:t>
      </w:r>
      <w:hyperlink r:id="rId50" w:history="1">
        <w:r w:rsidRPr="008F34AE">
          <w:rPr>
            <w:rStyle w:val="a3"/>
            <w:noProof/>
            <w:sz w:val="24"/>
            <w:szCs w:val="24"/>
          </w:rPr>
          <w:t>Overfeeding increases very low density lipoprotein diameter and causes the appearance of a unique lipoprotein particle in association with failed yolk deposition</w:t>
        </w:r>
      </w:hyperlink>
      <w:bookmarkStart w:id="0" w:name="_GoBack"/>
      <w:bookmarkEnd w:id="0"/>
      <w:r w:rsidRPr="00BD04DD">
        <w:rPr>
          <w:noProof/>
          <w:sz w:val="24"/>
          <w:szCs w:val="24"/>
        </w:rPr>
        <w:t>. J Lipid Res.</w:t>
      </w:r>
      <w:r w:rsidRPr="00BD04DD">
        <w:rPr>
          <w:i/>
          <w:noProof/>
          <w:sz w:val="24"/>
          <w:szCs w:val="24"/>
        </w:rPr>
        <w:t xml:space="preserve"> </w:t>
      </w:r>
      <w:r w:rsidRPr="00BD04DD">
        <w:rPr>
          <w:noProof/>
          <w:sz w:val="24"/>
          <w:szCs w:val="24"/>
        </w:rPr>
        <w:t>1994; 35(8):1354-1366</w:t>
      </w:r>
      <w:r w:rsidRPr="00BD04DD">
        <w:rPr>
          <w:rFonts w:eastAsia="PingFang SC"/>
          <w:noProof/>
          <w:sz w:val="24"/>
          <w:szCs w:val="24"/>
        </w:rPr>
        <w:t xml:space="preserve">. </w:t>
      </w:r>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46.</w:t>
      </w:r>
      <w:r w:rsidRPr="00BD04DD">
        <w:rPr>
          <w:noProof/>
          <w:sz w:val="24"/>
          <w:szCs w:val="24"/>
        </w:rPr>
        <w:tab/>
        <w:t>Pan YE, Liu ZC, Chang CJ, Xie YL, Chen CY, Chen CF et al. Ceramide accumulation and up-regulation of proinflammatory interleukin-1beta exemplify lipotoxicity to mediate declines of reproductive efficacy of broiler hens. Domest Anim Endocrinol.</w:t>
      </w:r>
      <w:r w:rsidRPr="00BD04DD">
        <w:rPr>
          <w:i/>
          <w:noProof/>
          <w:sz w:val="24"/>
          <w:szCs w:val="24"/>
        </w:rPr>
        <w:t xml:space="preserve"> </w:t>
      </w:r>
      <w:r w:rsidRPr="00BD04DD">
        <w:rPr>
          <w:noProof/>
          <w:sz w:val="24"/>
          <w:szCs w:val="24"/>
        </w:rPr>
        <w:t>2012; 42(3):183-194</w:t>
      </w:r>
      <w:r w:rsidRPr="00BD04DD">
        <w:rPr>
          <w:rFonts w:eastAsia="PingFang SC"/>
          <w:noProof/>
          <w:sz w:val="24"/>
          <w:szCs w:val="24"/>
        </w:rPr>
        <w:t>.</w:t>
      </w:r>
      <w:r w:rsidRPr="00BD04DD">
        <w:rPr>
          <w:noProof/>
          <w:sz w:val="24"/>
          <w:szCs w:val="24"/>
        </w:rPr>
        <w:t xml:space="preserve"> </w:t>
      </w:r>
      <w:hyperlink r:id="rId51" w:history="1">
        <w:r w:rsidRPr="00BD04DD">
          <w:rPr>
            <w:rStyle w:val="a3"/>
            <w:noProof/>
            <w:sz w:val="24"/>
            <w:szCs w:val="24"/>
          </w:rPr>
          <w:t>https://doi.org/10.1016/j.domaniend.2011.12.001</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47.</w:t>
      </w:r>
      <w:r w:rsidRPr="00BD04DD">
        <w:rPr>
          <w:noProof/>
          <w:sz w:val="24"/>
          <w:szCs w:val="24"/>
        </w:rPr>
        <w:tab/>
        <w:t>Bilgili SF, Renden JA. Relationship of body fat to fertility in broiler breeder hens. Poult Sci.</w:t>
      </w:r>
      <w:r w:rsidRPr="00BD04DD">
        <w:rPr>
          <w:i/>
          <w:noProof/>
          <w:sz w:val="24"/>
          <w:szCs w:val="24"/>
        </w:rPr>
        <w:t xml:space="preserve"> </w:t>
      </w:r>
      <w:r w:rsidRPr="00BD04DD">
        <w:rPr>
          <w:noProof/>
          <w:sz w:val="24"/>
          <w:szCs w:val="24"/>
        </w:rPr>
        <w:t>1985; 64(7):1394-1396</w:t>
      </w:r>
      <w:r w:rsidRPr="00BD04DD">
        <w:rPr>
          <w:rFonts w:eastAsia="PingFang SC"/>
          <w:noProof/>
          <w:sz w:val="24"/>
          <w:szCs w:val="24"/>
        </w:rPr>
        <w:t>.</w:t>
      </w:r>
      <w:r w:rsidRPr="00BD04DD">
        <w:rPr>
          <w:noProof/>
          <w:sz w:val="24"/>
          <w:szCs w:val="24"/>
        </w:rPr>
        <w:t xml:space="preserve"> </w:t>
      </w:r>
      <w:hyperlink r:id="rId52" w:history="1">
        <w:r w:rsidRPr="00BD04DD">
          <w:rPr>
            <w:rStyle w:val="a3"/>
            <w:noProof/>
            <w:sz w:val="24"/>
            <w:szCs w:val="24"/>
          </w:rPr>
          <w:t>https://doi.org/10.3382/ps.0641394</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48.</w:t>
      </w:r>
      <w:r w:rsidRPr="00BD04DD">
        <w:rPr>
          <w:noProof/>
          <w:sz w:val="24"/>
          <w:szCs w:val="24"/>
        </w:rPr>
        <w:tab/>
        <w:t>Xie YL, Pan YE, Chang CJ, Tang PC, Huang YF, Walzem RL et al. Palmitic acid in chicken granulosa cell death-lipotoxic mechanisms mediate reproductive inefficacy of broiler breeder hens. Theriogenology.</w:t>
      </w:r>
      <w:r w:rsidRPr="00BD04DD">
        <w:rPr>
          <w:i/>
          <w:noProof/>
          <w:sz w:val="24"/>
          <w:szCs w:val="24"/>
        </w:rPr>
        <w:t xml:space="preserve"> </w:t>
      </w:r>
      <w:r w:rsidRPr="00BD04DD">
        <w:rPr>
          <w:noProof/>
          <w:sz w:val="24"/>
          <w:szCs w:val="24"/>
        </w:rPr>
        <w:t>2012; 78(9):1917-1928</w:t>
      </w:r>
      <w:r w:rsidRPr="00BD04DD">
        <w:rPr>
          <w:rFonts w:eastAsia="PingFang SC"/>
          <w:noProof/>
          <w:sz w:val="24"/>
          <w:szCs w:val="24"/>
        </w:rPr>
        <w:t>.</w:t>
      </w:r>
      <w:r w:rsidRPr="00BD04DD">
        <w:rPr>
          <w:noProof/>
          <w:sz w:val="24"/>
          <w:szCs w:val="24"/>
        </w:rPr>
        <w:t xml:space="preserve"> </w:t>
      </w:r>
      <w:hyperlink r:id="rId53" w:history="1">
        <w:r w:rsidRPr="00BD04DD">
          <w:rPr>
            <w:rStyle w:val="a3"/>
            <w:noProof/>
            <w:sz w:val="24"/>
            <w:szCs w:val="24"/>
          </w:rPr>
          <w:t>https://doi.org/10.1016/j.theriogenology.2012.07.004</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49.</w:t>
      </w:r>
      <w:r w:rsidRPr="00BD04DD">
        <w:rPr>
          <w:noProof/>
          <w:sz w:val="24"/>
          <w:szCs w:val="24"/>
        </w:rPr>
        <w:tab/>
        <w:t xml:space="preserve">Witty JP, Bridgham JT, Johnson AL. Induction of apoptotic cell death in hen </w:t>
      </w:r>
      <w:r w:rsidRPr="00BD04DD">
        <w:rPr>
          <w:noProof/>
          <w:sz w:val="24"/>
          <w:szCs w:val="24"/>
        </w:rPr>
        <w:lastRenderedPageBreak/>
        <w:t>granulosa cells by ceramide. Endocrinology.</w:t>
      </w:r>
      <w:r w:rsidRPr="00BD04DD">
        <w:rPr>
          <w:i/>
          <w:noProof/>
          <w:sz w:val="24"/>
          <w:szCs w:val="24"/>
        </w:rPr>
        <w:t xml:space="preserve"> </w:t>
      </w:r>
      <w:r w:rsidRPr="00BD04DD">
        <w:rPr>
          <w:noProof/>
          <w:sz w:val="24"/>
          <w:szCs w:val="24"/>
        </w:rPr>
        <w:t>1996; 137(12):5269-5277</w:t>
      </w:r>
      <w:r w:rsidRPr="00BD04DD">
        <w:rPr>
          <w:rFonts w:eastAsia="PingFang SC"/>
          <w:noProof/>
          <w:sz w:val="24"/>
          <w:szCs w:val="24"/>
        </w:rPr>
        <w:t>.</w:t>
      </w:r>
      <w:r w:rsidRPr="00BD04DD">
        <w:rPr>
          <w:noProof/>
          <w:sz w:val="24"/>
          <w:szCs w:val="24"/>
        </w:rPr>
        <w:t xml:space="preserve"> </w:t>
      </w:r>
      <w:hyperlink r:id="rId54" w:history="1">
        <w:r w:rsidRPr="00BD04DD">
          <w:rPr>
            <w:rStyle w:val="a3"/>
            <w:noProof/>
            <w:sz w:val="24"/>
            <w:szCs w:val="24"/>
          </w:rPr>
          <w:t>https://doi.org/10.1210/endo.137.12.8940345</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50.</w:t>
      </w:r>
      <w:r w:rsidRPr="00BD04DD">
        <w:rPr>
          <w:noProof/>
          <w:sz w:val="24"/>
          <w:szCs w:val="24"/>
        </w:rPr>
        <w:tab/>
        <w:t>Listenberger LL, Ory DS, Schaffer JE. Palmitate-induced apoptosis can occur through a ceramide-independent pathway. J Biol Chem.</w:t>
      </w:r>
      <w:r w:rsidRPr="00BD04DD">
        <w:rPr>
          <w:i/>
          <w:noProof/>
          <w:sz w:val="24"/>
          <w:szCs w:val="24"/>
        </w:rPr>
        <w:t xml:space="preserve"> </w:t>
      </w:r>
      <w:r w:rsidRPr="00BD04DD">
        <w:rPr>
          <w:noProof/>
          <w:sz w:val="24"/>
          <w:szCs w:val="24"/>
        </w:rPr>
        <w:t>2001; 276(18):14890-14895</w:t>
      </w:r>
      <w:r w:rsidRPr="00BD04DD">
        <w:rPr>
          <w:rFonts w:eastAsia="PingFang SC"/>
          <w:noProof/>
          <w:sz w:val="24"/>
          <w:szCs w:val="24"/>
        </w:rPr>
        <w:t>.</w:t>
      </w:r>
      <w:r w:rsidRPr="00BD04DD">
        <w:rPr>
          <w:noProof/>
          <w:sz w:val="24"/>
          <w:szCs w:val="24"/>
        </w:rPr>
        <w:t xml:space="preserve"> </w:t>
      </w:r>
      <w:hyperlink r:id="rId55" w:history="1">
        <w:r w:rsidRPr="00BD04DD">
          <w:rPr>
            <w:rStyle w:val="a3"/>
            <w:noProof/>
            <w:sz w:val="24"/>
            <w:szCs w:val="24"/>
          </w:rPr>
          <w:t>https://doi.org/10.1074/jbc.M010286200</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51.</w:t>
      </w:r>
      <w:r w:rsidRPr="00BD04DD">
        <w:rPr>
          <w:noProof/>
          <w:sz w:val="24"/>
          <w:szCs w:val="24"/>
        </w:rPr>
        <w:tab/>
        <w:t>Mu YM, Yanase T, Nishi Y, Tanaka A, Saito M, Jin CH et al. Saturated FFAs, palmitic acid and stearic acid, induce apoptosis in human granulosa cells. Endocrinology.</w:t>
      </w:r>
      <w:r w:rsidRPr="00BD04DD">
        <w:rPr>
          <w:i/>
          <w:noProof/>
          <w:sz w:val="24"/>
          <w:szCs w:val="24"/>
        </w:rPr>
        <w:t xml:space="preserve"> </w:t>
      </w:r>
      <w:r w:rsidRPr="00BD04DD">
        <w:rPr>
          <w:noProof/>
          <w:sz w:val="24"/>
          <w:szCs w:val="24"/>
        </w:rPr>
        <w:t>2001; 142(8):3590-3597</w:t>
      </w:r>
      <w:r w:rsidRPr="00BD04DD">
        <w:rPr>
          <w:rFonts w:eastAsia="PingFang SC"/>
          <w:noProof/>
          <w:sz w:val="24"/>
          <w:szCs w:val="24"/>
        </w:rPr>
        <w:t>.</w:t>
      </w:r>
      <w:r w:rsidRPr="00BD04DD">
        <w:rPr>
          <w:noProof/>
          <w:sz w:val="24"/>
          <w:szCs w:val="24"/>
        </w:rPr>
        <w:t xml:space="preserve"> </w:t>
      </w:r>
      <w:hyperlink r:id="rId56" w:history="1">
        <w:r w:rsidRPr="00BD04DD">
          <w:rPr>
            <w:rStyle w:val="a3"/>
            <w:noProof/>
            <w:sz w:val="24"/>
            <w:szCs w:val="24"/>
          </w:rPr>
          <w:t>https://doi.org/10.1210/endo.142.8.8293</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52.</w:t>
      </w:r>
      <w:r w:rsidRPr="00BD04DD">
        <w:rPr>
          <w:noProof/>
          <w:sz w:val="24"/>
          <w:szCs w:val="24"/>
        </w:rPr>
        <w:tab/>
        <w:t>Zhou J, Chen J, Hu C, Xie Z, Li H, Wei S et al. Exploration of the serum metabolite signature in patients with rheumatoid arthritis using gas chromatography-mass spectrometry. J Pharm Biomed Anal.</w:t>
      </w:r>
      <w:r w:rsidRPr="00BD04DD">
        <w:rPr>
          <w:i/>
          <w:noProof/>
          <w:sz w:val="24"/>
          <w:szCs w:val="24"/>
        </w:rPr>
        <w:t xml:space="preserve"> </w:t>
      </w:r>
      <w:r w:rsidRPr="00BD04DD">
        <w:rPr>
          <w:noProof/>
          <w:sz w:val="24"/>
          <w:szCs w:val="24"/>
        </w:rPr>
        <w:t>2016; 127:60-67</w:t>
      </w:r>
      <w:r w:rsidRPr="00BD04DD">
        <w:rPr>
          <w:rFonts w:eastAsia="PingFang SC"/>
          <w:noProof/>
          <w:sz w:val="24"/>
          <w:szCs w:val="24"/>
        </w:rPr>
        <w:t>.</w:t>
      </w:r>
      <w:r w:rsidRPr="00BD04DD">
        <w:rPr>
          <w:noProof/>
          <w:sz w:val="24"/>
          <w:szCs w:val="24"/>
        </w:rPr>
        <w:t xml:space="preserve"> </w:t>
      </w:r>
      <w:hyperlink r:id="rId57" w:history="1">
        <w:r w:rsidRPr="00BD04DD">
          <w:rPr>
            <w:rStyle w:val="a3"/>
            <w:noProof/>
            <w:sz w:val="24"/>
            <w:szCs w:val="24"/>
          </w:rPr>
          <w:t>https://doi.org/10.1016/j.jpba.2016.02.004</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53.</w:t>
      </w:r>
      <w:r w:rsidRPr="00BD04DD">
        <w:rPr>
          <w:noProof/>
          <w:sz w:val="24"/>
          <w:szCs w:val="24"/>
        </w:rPr>
        <w:tab/>
        <w:t>Sun LW, Zhang HY, Wu L, Shu S, Xia C, Xu C et al. (1)H-Nuclear magnetic resonance-based plasma metabolic profiling of dairy cows with clinical and subclinical ketosis. J Dairy Sci.</w:t>
      </w:r>
      <w:r w:rsidRPr="00BD04DD">
        <w:rPr>
          <w:i/>
          <w:noProof/>
          <w:sz w:val="24"/>
          <w:szCs w:val="24"/>
        </w:rPr>
        <w:t xml:space="preserve"> </w:t>
      </w:r>
      <w:r w:rsidRPr="00BD04DD">
        <w:rPr>
          <w:noProof/>
          <w:sz w:val="24"/>
          <w:szCs w:val="24"/>
        </w:rPr>
        <w:t>2014; 97(3):1552-1562</w:t>
      </w:r>
      <w:r w:rsidRPr="00BD04DD">
        <w:rPr>
          <w:rFonts w:eastAsia="PingFang SC"/>
          <w:noProof/>
          <w:sz w:val="24"/>
          <w:szCs w:val="24"/>
        </w:rPr>
        <w:t>.</w:t>
      </w:r>
      <w:r w:rsidRPr="00BD04DD">
        <w:rPr>
          <w:noProof/>
          <w:sz w:val="24"/>
          <w:szCs w:val="24"/>
        </w:rPr>
        <w:t xml:space="preserve"> </w:t>
      </w:r>
      <w:hyperlink r:id="rId58" w:history="1">
        <w:r w:rsidRPr="00BD04DD">
          <w:rPr>
            <w:rStyle w:val="a3"/>
            <w:noProof/>
            <w:sz w:val="24"/>
            <w:szCs w:val="24"/>
          </w:rPr>
          <w:t>https://doi.org/10.3168/jds.2013-6757</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54.</w:t>
      </w:r>
      <w:r w:rsidRPr="00BD04DD">
        <w:rPr>
          <w:noProof/>
          <w:sz w:val="24"/>
          <w:szCs w:val="24"/>
        </w:rPr>
        <w:tab/>
        <w:t>Videnska P, Faldynova M, Juricova H, Babak V, Sisak F, Havlickova H et al. Chicken faecal microbiota and disturbances induced by single or repeated therapy with tetracycline and streptomycin. BMC Vet Res.</w:t>
      </w:r>
      <w:r w:rsidRPr="00BD04DD">
        <w:rPr>
          <w:i/>
          <w:noProof/>
          <w:sz w:val="24"/>
          <w:szCs w:val="24"/>
        </w:rPr>
        <w:t xml:space="preserve"> </w:t>
      </w:r>
      <w:r w:rsidRPr="00BD04DD">
        <w:rPr>
          <w:noProof/>
          <w:sz w:val="24"/>
          <w:szCs w:val="24"/>
        </w:rPr>
        <w:t>2013; 9(1):30</w:t>
      </w:r>
      <w:r w:rsidRPr="00BD04DD">
        <w:rPr>
          <w:rFonts w:eastAsia="PingFang SC"/>
          <w:noProof/>
          <w:sz w:val="24"/>
          <w:szCs w:val="24"/>
        </w:rPr>
        <w:t>.</w:t>
      </w:r>
      <w:r w:rsidRPr="00BD04DD">
        <w:rPr>
          <w:noProof/>
          <w:sz w:val="24"/>
          <w:szCs w:val="24"/>
        </w:rPr>
        <w:t xml:space="preserve"> </w:t>
      </w:r>
      <w:hyperlink r:id="rId59" w:history="1">
        <w:r w:rsidRPr="00BD04DD">
          <w:rPr>
            <w:rStyle w:val="a3"/>
            <w:noProof/>
            <w:sz w:val="24"/>
            <w:szCs w:val="24"/>
          </w:rPr>
          <w:t>https://doi.org/10.1186/1746-6148-9-30</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55.</w:t>
      </w:r>
      <w:r w:rsidRPr="00BD04DD">
        <w:rPr>
          <w:noProof/>
          <w:sz w:val="24"/>
          <w:szCs w:val="24"/>
        </w:rPr>
        <w:tab/>
        <w:t>Xiao Y, Xiang Y, Zhou W, Chen J, Li K, Yang H. Microbial community mapping in intestinal tract of broiler chicken. Poult Sci.</w:t>
      </w:r>
      <w:r w:rsidRPr="00BD04DD">
        <w:rPr>
          <w:i/>
          <w:noProof/>
          <w:sz w:val="24"/>
          <w:szCs w:val="24"/>
        </w:rPr>
        <w:t xml:space="preserve"> </w:t>
      </w:r>
      <w:r w:rsidRPr="00BD04DD">
        <w:rPr>
          <w:noProof/>
          <w:sz w:val="24"/>
          <w:szCs w:val="24"/>
        </w:rPr>
        <w:t>2017; 96(5):1387-1393</w:t>
      </w:r>
      <w:r w:rsidRPr="00BD04DD">
        <w:rPr>
          <w:rFonts w:eastAsia="PingFang SC"/>
          <w:noProof/>
          <w:sz w:val="24"/>
          <w:szCs w:val="24"/>
        </w:rPr>
        <w:t>.</w:t>
      </w:r>
      <w:r w:rsidRPr="00BD04DD">
        <w:rPr>
          <w:noProof/>
          <w:sz w:val="24"/>
          <w:szCs w:val="24"/>
        </w:rPr>
        <w:t xml:space="preserve"> </w:t>
      </w:r>
      <w:hyperlink r:id="rId60" w:history="1">
        <w:r w:rsidRPr="00BD04DD">
          <w:rPr>
            <w:rStyle w:val="a3"/>
            <w:noProof/>
            <w:sz w:val="24"/>
            <w:szCs w:val="24"/>
          </w:rPr>
          <w:t>https://doi.org/10.3382/ps/pew372</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56.</w:t>
      </w:r>
      <w:r w:rsidRPr="00BD04DD">
        <w:rPr>
          <w:noProof/>
          <w:sz w:val="24"/>
          <w:szCs w:val="24"/>
        </w:rPr>
        <w:tab/>
        <w:t>Power SE, O'Toole PW, Stanton C, Ross RP, Fitzgerald GF. Intestinal microbiota, diet and health. Br J Nutr.</w:t>
      </w:r>
      <w:r w:rsidRPr="00BD04DD">
        <w:rPr>
          <w:i/>
          <w:noProof/>
          <w:sz w:val="24"/>
          <w:szCs w:val="24"/>
        </w:rPr>
        <w:t xml:space="preserve"> </w:t>
      </w:r>
      <w:r w:rsidRPr="00BD04DD">
        <w:rPr>
          <w:noProof/>
          <w:sz w:val="24"/>
          <w:szCs w:val="24"/>
        </w:rPr>
        <w:t>2014; 111(3):387-402</w:t>
      </w:r>
      <w:r w:rsidRPr="00BD04DD">
        <w:rPr>
          <w:rFonts w:eastAsia="PingFang SC"/>
          <w:noProof/>
          <w:sz w:val="24"/>
          <w:szCs w:val="24"/>
        </w:rPr>
        <w:t>.</w:t>
      </w:r>
      <w:r w:rsidRPr="00BD04DD">
        <w:rPr>
          <w:noProof/>
          <w:sz w:val="24"/>
          <w:szCs w:val="24"/>
        </w:rPr>
        <w:t xml:space="preserve"> </w:t>
      </w:r>
      <w:hyperlink r:id="rId61" w:history="1">
        <w:r w:rsidRPr="00BD04DD">
          <w:rPr>
            <w:rStyle w:val="a3"/>
            <w:noProof/>
            <w:sz w:val="24"/>
            <w:szCs w:val="24"/>
          </w:rPr>
          <w:t>https://doi.org/10.1017/S0007114513002560</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57.</w:t>
      </w:r>
      <w:r w:rsidRPr="00BD04DD">
        <w:rPr>
          <w:noProof/>
          <w:sz w:val="24"/>
          <w:szCs w:val="24"/>
        </w:rPr>
        <w:tab/>
        <w:t>Morgan NK, Walk CL, Bedford MR, Burton EJ. The effect of dietary calcium inclusion on broiler gastrointestinal pH: quantification and method optimization. Poult Sci.</w:t>
      </w:r>
      <w:r w:rsidRPr="00BD04DD">
        <w:rPr>
          <w:i/>
          <w:noProof/>
          <w:sz w:val="24"/>
          <w:szCs w:val="24"/>
        </w:rPr>
        <w:t xml:space="preserve"> </w:t>
      </w:r>
      <w:r w:rsidRPr="00BD04DD">
        <w:rPr>
          <w:noProof/>
          <w:sz w:val="24"/>
          <w:szCs w:val="24"/>
        </w:rPr>
        <w:t>2014; 93(2):354-363</w:t>
      </w:r>
      <w:r w:rsidRPr="00BD04DD">
        <w:rPr>
          <w:rFonts w:eastAsia="PingFang SC"/>
          <w:noProof/>
          <w:sz w:val="24"/>
          <w:szCs w:val="24"/>
        </w:rPr>
        <w:t>.</w:t>
      </w:r>
      <w:r w:rsidRPr="00BD04DD">
        <w:rPr>
          <w:noProof/>
          <w:sz w:val="24"/>
          <w:szCs w:val="24"/>
        </w:rPr>
        <w:t xml:space="preserve"> </w:t>
      </w:r>
      <w:hyperlink r:id="rId62" w:history="1">
        <w:r w:rsidRPr="00BD04DD">
          <w:rPr>
            <w:rStyle w:val="a3"/>
            <w:noProof/>
            <w:sz w:val="24"/>
            <w:szCs w:val="24"/>
          </w:rPr>
          <w:t>https://doi.org/10.3382/ps.2013-03305</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58.</w:t>
      </w:r>
      <w:r w:rsidRPr="00BD04DD">
        <w:rPr>
          <w:noProof/>
          <w:sz w:val="24"/>
          <w:szCs w:val="24"/>
        </w:rPr>
        <w:tab/>
        <w:t>Ley RE, Fredrik BC, Peter T, Lozupone CA, Knight RD, Gordon JI. Obesity alters gut microbial ecology. P Natl Acad Sci USA.</w:t>
      </w:r>
      <w:r w:rsidRPr="00BD04DD">
        <w:rPr>
          <w:i/>
          <w:noProof/>
          <w:sz w:val="24"/>
          <w:szCs w:val="24"/>
        </w:rPr>
        <w:t xml:space="preserve"> </w:t>
      </w:r>
      <w:r w:rsidRPr="00BD04DD">
        <w:rPr>
          <w:noProof/>
          <w:sz w:val="24"/>
          <w:szCs w:val="24"/>
        </w:rPr>
        <w:t>2005</w:t>
      </w:r>
      <w:r w:rsidRPr="00BD04DD">
        <w:rPr>
          <w:rFonts w:eastAsia="PingFang SC"/>
          <w:noProof/>
          <w:sz w:val="24"/>
          <w:szCs w:val="24"/>
        </w:rPr>
        <w:t>.</w:t>
      </w:r>
      <w:r w:rsidRPr="00BD04DD">
        <w:rPr>
          <w:noProof/>
          <w:sz w:val="24"/>
          <w:szCs w:val="24"/>
        </w:rPr>
        <w:t xml:space="preserve"> </w:t>
      </w:r>
      <w:hyperlink r:id="rId63" w:history="1">
        <w:r w:rsidRPr="00BD04DD">
          <w:rPr>
            <w:rStyle w:val="a3"/>
            <w:noProof/>
            <w:sz w:val="24"/>
            <w:szCs w:val="24"/>
          </w:rPr>
          <w:t>https://doi.org/10.1073/pnas.0504978102</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59.</w:t>
      </w:r>
      <w:r w:rsidRPr="00BD04DD">
        <w:rPr>
          <w:noProof/>
          <w:sz w:val="24"/>
          <w:szCs w:val="24"/>
        </w:rPr>
        <w:tab/>
        <w:t>Mujico JR, Baccan GC, Gheorghe A, Diaz LE, Marcos A. Changes in gut microbiota due to supplemented fatty acids in diet-induced obese mice. Br J Nutr.</w:t>
      </w:r>
      <w:r w:rsidRPr="00BD04DD">
        <w:rPr>
          <w:i/>
          <w:noProof/>
          <w:sz w:val="24"/>
          <w:szCs w:val="24"/>
        </w:rPr>
        <w:t xml:space="preserve"> </w:t>
      </w:r>
      <w:r w:rsidRPr="00BD04DD">
        <w:rPr>
          <w:noProof/>
          <w:sz w:val="24"/>
          <w:szCs w:val="24"/>
        </w:rPr>
        <w:t>2013; 110(4):711-720</w:t>
      </w:r>
      <w:r w:rsidRPr="00BD04DD">
        <w:rPr>
          <w:rFonts w:eastAsia="PingFang SC"/>
          <w:noProof/>
          <w:sz w:val="24"/>
          <w:szCs w:val="24"/>
        </w:rPr>
        <w:t>.</w:t>
      </w:r>
      <w:r w:rsidRPr="00BD04DD">
        <w:rPr>
          <w:noProof/>
          <w:sz w:val="24"/>
          <w:szCs w:val="24"/>
        </w:rPr>
        <w:t xml:space="preserve"> </w:t>
      </w:r>
      <w:hyperlink r:id="rId64" w:history="1">
        <w:r w:rsidRPr="00BD04DD">
          <w:rPr>
            <w:rStyle w:val="a3"/>
            <w:noProof/>
            <w:sz w:val="24"/>
            <w:szCs w:val="24"/>
          </w:rPr>
          <w:t>https://doi.org/10.1017/s0007114512005612</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60.</w:t>
      </w:r>
      <w:r w:rsidRPr="00BD04DD">
        <w:rPr>
          <w:noProof/>
          <w:sz w:val="24"/>
          <w:szCs w:val="24"/>
        </w:rPr>
        <w:tab/>
        <w:t>Serino M, Luche E, Gres S, Baylac A, Berge M, Cenac C et al. Metabolic adaptation to a high-fat diet is associated with a change in the gut microbiota. Gut.</w:t>
      </w:r>
      <w:r w:rsidRPr="00BD04DD">
        <w:rPr>
          <w:i/>
          <w:noProof/>
          <w:sz w:val="24"/>
          <w:szCs w:val="24"/>
        </w:rPr>
        <w:t xml:space="preserve"> </w:t>
      </w:r>
      <w:r w:rsidRPr="00BD04DD">
        <w:rPr>
          <w:noProof/>
          <w:sz w:val="24"/>
          <w:szCs w:val="24"/>
        </w:rPr>
        <w:t>2012; 61(4):543-553</w:t>
      </w:r>
      <w:r w:rsidRPr="00BD04DD">
        <w:rPr>
          <w:rFonts w:eastAsia="PingFang SC"/>
          <w:noProof/>
          <w:sz w:val="24"/>
          <w:szCs w:val="24"/>
        </w:rPr>
        <w:t>.</w:t>
      </w:r>
      <w:r w:rsidRPr="00BD04DD">
        <w:rPr>
          <w:noProof/>
          <w:sz w:val="24"/>
          <w:szCs w:val="24"/>
        </w:rPr>
        <w:t xml:space="preserve"> </w:t>
      </w:r>
      <w:hyperlink r:id="rId65" w:history="1">
        <w:r w:rsidRPr="00BD04DD">
          <w:rPr>
            <w:rStyle w:val="a3"/>
            <w:noProof/>
            <w:sz w:val="24"/>
            <w:szCs w:val="24"/>
          </w:rPr>
          <w:t>https://doi.org/10.1136/gutjnl-2011-301012</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61.</w:t>
      </w:r>
      <w:r w:rsidRPr="00BD04DD">
        <w:rPr>
          <w:noProof/>
          <w:sz w:val="24"/>
          <w:szCs w:val="24"/>
        </w:rPr>
        <w:tab/>
        <w:t>Wang H, Ji Y, Yin C, Deng M, Tang T, Deng B et al. Differential analysis of gut microbiota correlated with oxidative stress in sows with high or low litter performance during lactation. Front Microbiol.</w:t>
      </w:r>
      <w:r w:rsidRPr="00BD04DD">
        <w:rPr>
          <w:i/>
          <w:noProof/>
          <w:sz w:val="24"/>
          <w:szCs w:val="24"/>
        </w:rPr>
        <w:t xml:space="preserve"> </w:t>
      </w:r>
      <w:r w:rsidRPr="00BD04DD">
        <w:rPr>
          <w:noProof/>
          <w:sz w:val="24"/>
          <w:szCs w:val="24"/>
        </w:rPr>
        <w:t>2018; 9:1665</w:t>
      </w:r>
      <w:r w:rsidRPr="00BD04DD">
        <w:rPr>
          <w:rFonts w:eastAsia="PingFang SC"/>
          <w:noProof/>
          <w:sz w:val="24"/>
          <w:szCs w:val="24"/>
        </w:rPr>
        <w:t>.</w:t>
      </w:r>
      <w:r w:rsidRPr="00BD04DD">
        <w:rPr>
          <w:noProof/>
          <w:sz w:val="24"/>
          <w:szCs w:val="24"/>
        </w:rPr>
        <w:t xml:space="preserve"> </w:t>
      </w:r>
      <w:hyperlink r:id="rId66" w:history="1">
        <w:r w:rsidRPr="00BD04DD">
          <w:rPr>
            <w:rStyle w:val="a3"/>
            <w:noProof/>
            <w:sz w:val="24"/>
            <w:szCs w:val="24"/>
          </w:rPr>
          <w:t>https://doi.org/10.3389/fmicb.2018.01665</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62.</w:t>
      </w:r>
      <w:r w:rsidRPr="00BD04DD">
        <w:rPr>
          <w:noProof/>
          <w:sz w:val="24"/>
          <w:szCs w:val="24"/>
        </w:rPr>
        <w:tab/>
        <w:t>Dicksved J, Ellstrom P, Engstrand L, Rautelin H. Susceptibility to Campylobacter infection is associated with the species composition of the human fecal microbiota. M Bio.</w:t>
      </w:r>
      <w:r w:rsidRPr="00BD04DD">
        <w:rPr>
          <w:i/>
          <w:noProof/>
          <w:sz w:val="24"/>
          <w:szCs w:val="24"/>
        </w:rPr>
        <w:t xml:space="preserve"> </w:t>
      </w:r>
      <w:r w:rsidRPr="00BD04DD">
        <w:rPr>
          <w:noProof/>
          <w:sz w:val="24"/>
          <w:szCs w:val="24"/>
        </w:rPr>
        <w:t>2014; 5(5):e01212-01214</w:t>
      </w:r>
      <w:r w:rsidRPr="00BD04DD">
        <w:rPr>
          <w:rFonts w:eastAsia="PingFang SC"/>
          <w:noProof/>
          <w:sz w:val="24"/>
          <w:szCs w:val="24"/>
        </w:rPr>
        <w:t>.</w:t>
      </w:r>
      <w:r w:rsidRPr="00BD04DD">
        <w:rPr>
          <w:noProof/>
          <w:sz w:val="24"/>
          <w:szCs w:val="24"/>
        </w:rPr>
        <w:t xml:space="preserve"> </w:t>
      </w:r>
      <w:hyperlink r:id="rId67" w:history="1">
        <w:r w:rsidRPr="00BD04DD">
          <w:rPr>
            <w:rStyle w:val="a3"/>
            <w:noProof/>
            <w:sz w:val="24"/>
            <w:szCs w:val="24"/>
          </w:rPr>
          <w:t>https://doi.org/10.1128/mBio.01212-14</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63.</w:t>
      </w:r>
      <w:r w:rsidRPr="00BD04DD">
        <w:rPr>
          <w:noProof/>
          <w:sz w:val="24"/>
          <w:szCs w:val="24"/>
        </w:rPr>
        <w:tab/>
        <w:t xml:space="preserve">Lecomte V, Kaakoush NO, Maloney CA, Raipuria M, Huinao KD, Mitchell HM et al. Changes in gut microbiota in rats fed a high fat diet correlate with </w:t>
      </w:r>
      <w:r w:rsidRPr="00BD04DD">
        <w:rPr>
          <w:noProof/>
          <w:sz w:val="24"/>
          <w:szCs w:val="24"/>
        </w:rPr>
        <w:lastRenderedPageBreak/>
        <w:t>obesity-associated metabolic parameters. PLoS One.</w:t>
      </w:r>
      <w:r w:rsidRPr="00BD04DD">
        <w:rPr>
          <w:i/>
          <w:noProof/>
          <w:sz w:val="24"/>
          <w:szCs w:val="24"/>
        </w:rPr>
        <w:t xml:space="preserve"> </w:t>
      </w:r>
      <w:r w:rsidRPr="00BD04DD">
        <w:rPr>
          <w:noProof/>
          <w:sz w:val="24"/>
          <w:szCs w:val="24"/>
        </w:rPr>
        <w:t>2015; 10(5):e0126931</w:t>
      </w:r>
      <w:r w:rsidRPr="00BD04DD">
        <w:rPr>
          <w:rFonts w:eastAsia="PingFang SC"/>
          <w:noProof/>
          <w:sz w:val="24"/>
          <w:szCs w:val="24"/>
        </w:rPr>
        <w:t>.</w:t>
      </w:r>
      <w:r w:rsidRPr="00BD04DD">
        <w:rPr>
          <w:noProof/>
          <w:sz w:val="24"/>
          <w:szCs w:val="24"/>
        </w:rPr>
        <w:t xml:space="preserve"> </w:t>
      </w:r>
      <w:hyperlink r:id="rId68" w:history="1">
        <w:r w:rsidRPr="00BD04DD">
          <w:rPr>
            <w:rStyle w:val="a3"/>
            <w:noProof/>
            <w:sz w:val="24"/>
            <w:szCs w:val="24"/>
          </w:rPr>
          <w:t>https://doi.org/10.1371/journal.pone.0126931</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64.</w:t>
      </w:r>
      <w:r w:rsidRPr="00BD04DD">
        <w:rPr>
          <w:noProof/>
          <w:sz w:val="24"/>
          <w:szCs w:val="24"/>
        </w:rPr>
        <w:tab/>
        <w:t>Miller MB, Bassler BL. Quorum sensing in bacteria. Annu Rev Microbiol.</w:t>
      </w:r>
      <w:r w:rsidRPr="00BD04DD">
        <w:rPr>
          <w:i/>
          <w:noProof/>
          <w:sz w:val="24"/>
          <w:szCs w:val="24"/>
        </w:rPr>
        <w:t xml:space="preserve"> </w:t>
      </w:r>
      <w:r w:rsidRPr="00BD04DD">
        <w:rPr>
          <w:noProof/>
          <w:sz w:val="24"/>
          <w:szCs w:val="24"/>
        </w:rPr>
        <w:t>2001; 55:165-199</w:t>
      </w:r>
      <w:r w:rsidRPr="00BD04DD">
        <w:rPr>
          <w:rFonts w:eastAsia="PingFang SC"/>
          <w:noProof/>
          <w:sz w:val="24"/>
          <w:szCs w:val="24"/>
        </w:rPr>
        <w:t>.</w:t>
      </w:r>
      <w:r w:rsidRPr="00BD04DD">
        <w:rPr>
          <w:noProof/>
          <w:sz w:val="24"/>
          <w:szCs w:val="24"/>
        </w:rPr>
        <w:t xml:space="preserve"> </w:t>
      </w:r>
      <w:hyperlink r:id="rId69" w:history="1">
        <w:r w:rsidRPr="00BD04DD">
          <w:rPr>
            <w:rStyle w:val="a3"/>
            <w:noProof/>
            <w:sz w:val="24"/>
            <w:szCs w:val="24"/>
          </w:rPr>
          <w:t>https://doi.org/10.1146/annurev.micro.55.1.165</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65.</w:t>
      </w:r>
      <w:r w:rsidRPr="00BD04DD">
        <w:rPr>
          <w:noProof/>
          <w:sz w:val="24"/>
          <w:szCs w:val="24"/>
        </w:rPr>
        <w:tab/>
        <w:t>Waters CM, Bassler BL. Quorum sensing: cell-to-cell communication in bacteria. Annu Rev Cell Dev Biol.</w:t>
      </w:r>
      <w:r w:rsidRPr="00BD04DD">
        <w:rPr>
          <w:i/>
          <w:noProof/>
          <w:sz w:val="24"/>
          <w:szCs w:val="24"/>
        </w:rPr>
        <w:t xml:space="preserve"> </w:t>
      </w:r>
      <w:r w:rsidRPr="00BD04DD">
        <w:rPr>
          <w:noProof/>
          <w:sz w:val="24"/>
          <w:szCs w:val="24"/>
        </w:rPr>
        <w:t>2005; 21:319-346</w:t>
      </w:r>
      <w:r w:rsidRPr="00BD04DD">
        <w:rPr>
          <w:rFonts w:eastAsia="PingFang SC"/>
          <w:noProof/>
          <w:sz w:val="24"/>
          <w:szCs w:val="24"/>
        </w:rPr>
        <w:t>.</w:t>
      </w:r>
      <w:r w:rsidRPr="00BD04DD">
        <w:rPr>
          <w:noProof/>
          <w:sz w:val="24"/>
          <w:szCs w:val="24"/>
        </w:rPr>
        <w:t xml:space="preserve"> </w:t>
      </w:r>
      <w:hyperlink r:id="rId70" w:history="1">
        <w:r w:rsidRPr="00BD04DD">
          <w:rPr>
            <w:rStyle w:val="a3"/>
            <w:noProof/>
            <w:sz w:val="24"/>
            <w:szCs w:val="24"/>
          </w:rPr>
          <w:t>https://doi.org/10.1146/annurev.cellbio.21.012704.131001</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66.</w:t>
      </w:r>
      <w:r w:rsidRPr="00BD04DD">
        <w:rPr>
          <w:noProof/>
          <w:sz w:val="24"/>
          <w:szCs w:val="24"/>
        </w:rPr>
        <w:tab/>
        <w:t>Donova MV, Egorova OV. Microbial steroid transformations: current state and prospects. Appl Microbiol Biotechnol.</w:t>
      </w:r>
      <w:r w:rsidRPr="00BD04DD">
        <w:rPr>
          <w:i/>
          <w:noProof/>
          <w:sz w:val="24"/>
          <w:szCs w:val="24"/>
        </w:rPr>
        <w:t xml:space="preserve"> </w:t>
      </w:r>
      <w:r w:rsidRPr="00BD04DD">
        <w:rPr>
          <w:noProof/>
          <w:sz w:val="24"/>
          <w:szCs w:val="24"/>
        </w:rPr>
        <w:t>2012; 94(6):1423-1447</w:t>
      </w:r>
      <w:r w:rsidRPr="00BD04DD">
        <w:rPr>
          <w:rFonts w:eastAsia="PingFang SC"/>
          <w:noProof/>
          <w:sz w:val="24"/>
          <w:szCs w:val="24"/>
        </w:rPr>
        <w:t>.</w:t>
      </w:r>
      <w:r w:rsidRPr="00BD04DD">
        <w:rPr>
          <w:noProof/>
          <w:sz w:val="24"/>
          <w:szCs w:val="24"/>
        </w:rPr>
        <w:t xml:space="preserve"> </w:t>
      </w:r>
      <w:hyperlink r:id="rId71" w:history="1">
        <w:r w:rsidRPr="00BD04DD">
          <w:rPr>
            <w:rStyle w:val="a3"/>
            <w:noProof/>
            <w:sz w:val="24"/>
            <w:szCs w:val="24"/>
          </w:rPr>
          <w:t>https://doi.org/10.1007/s00253-012-4078-0</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67.</w:t>
      </w:r>
      <w:r w:rsidRPr="00BD04DD">
        <w:rPr>
          <w:noProof/>
          <w:sz w:val="24"/>
          <w:szCs w:val="24"/>
        </w:rPr>
        <w:tab/>
        <w:t>Liu WH, Kuo CW, Wu KL, Lee CY, Hsu WY. Transformation of cholesterol to testosterone by Mycobacterium sp. J Ind Microbiol Biot.</w:t>
      </w:r>
      <w:r w:rsidRPr="00BD04DD">
        <w:rPr>
          <w:i/>
          <w:noProof/>
          <w:sz w:val="24"/>
          <w:szCs w:val="24"/>
        </w:rPr>
        <w:t xml:space="preserve"> </w:t>
      </w:r>
      <w:r w:rsidRPr="00BD04DD">
        <w:rPr>
          <w:noProof/>
          <w:sz w:val="24"/>
          <w:szCs w:val="24"/>
        </w:rPr>
        <w:t>1994; 13(3):167-171</w:t>
      </w:r>
      <w:r w:rsidRPr="00BD04DD">
        <w:rPr>
          <w:rFonts w:eastAsia="PingFang SC"/>
          <w:noProof/>
          <w:sz w:val="24"/>
          <w:szCs w:val="24"/>
        </w:rPr>
        <w:t>.</w:t>
      </w:r>
      <w:r w:rsidRPr="00BD04DD">
        <w:rPr>
          <w:noProof/>
          <w:sz w:val="24"/>
          <w:szCs w:val="24"/>
        </w:rPr>
        <w:t xml:space="preserve"> </w:t>
      </w:r>
      <w:hyperlink r:id="rId72" w:history="1">
        <w:r w:rsidRPr="00BD04DD">
          <w:rPr>
            <w:rStyle w:val="a3"/>
            <w:noProof/>
            <w:sz w:val="24"/>
            <w:szCs w:val="24"/>
          </w:rPr>
          <w:t>https://doi.org/10.1007/BF01584002</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68.</w:t>
      </w:r>
      <w:r w:rsidRPr="00BD04DD">
        <w:rPr>
          <w:noProof/>
          <w:sz w:val="24"/>
          <w:szCs w:val="24"/>
        </w:rPr>
        <w:tab/>
        <w:t>Egorova OV, Nikolayeva VM, Sukhodolskaya GV, Donova MV. Transformation of C19-steroids and testosterone production by sterol-transforming strains of Mycobacterium spp. J Mol Catal B-Enzym.</w:t>
      </w:r>
      <w:r w:rsidRPr="00BD04DD">
        <w:rPr>
          <w:i/>
          <w:noProof/>
          <w:sz w:val="24"/>
          <w:szCs w:val="24"/>
        </w:rPr>
        <w:t xml:space="preserve"> </w:t>
      </w:r>
      <w:r w:rsidRPr="00BD04DD">
        <w:rPr>
          <w:noProof/>
          <w:sz w:val="24"/>
          <w:szCs w:val="24"/>
        </w:rPr>
        <w:t>2009; 57(1):198-203</w:t>
      </w:r>
      <w:r w:rsidRPr="00BD04DD">
        <w:rPr>
          <w:rFonts w:eastAsia="PingFang SC"/>
          <w:noProof/>
          <w:sz w:val="24"/>
          <w:szCs w:val="24"/>
        </w:rPr>
        <w:t>.</w:t>
      </w:r>
      <w:r w:rsidRPr="00BD04DD">
        <w:rPr>
          <w:noProof/>
          <w:sz w:val="24"/>
          <w:szCs w:val="24"/>
        </w:rPr>
        <w:t xml:space="preserve"> </w:t>
      </w:r>
      <w:hyperlink r:id="rId73" w:history="1">
        <w:r w:rsidRPr="00BD04DD">
          <w:rPr>
            <w:rStyle w:val="a3"/>
            <w:noProof/>
            <w:sz w:val="24"/>
            <w:szCs w:val="24"/>
          </w:rPr>
          <w:t>https://doi.org/10.1016/j.molcatb.2008.09.003</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69.</w:t>
      </w:r>
      <w:r w:rsidRPr="00BD04DD">
        <w:rPr>
          <w:noProof/>
          <w:sz w:val="24"/>
          <w:szCs w:val="24"/>
        </w:rPr>
        <w:tab/>
        <w:t>Davelaar FG, Smit HF, Hovind-Hougen K, Dwars RM, Vandervalk PC. Infectious typhlitis in chickens caused by spirochetes. Avian pathol.</w:t>
      </w:r>
      <w:r w:rsidRPr="00BD04DD">
        <w:rPr>
          <w:i/>
          <w:noProof/>
          <w:sz w:val="24"/>
          <w:szCs w:val="24"/>
        </w:rPr>
        <w:t xml:space="preserve"> </w:t>
      </w:r>
      <w:r w:rsidRPr="00BD04DD">
        <w:rPr>
          <w:noProof/>
          <w:sz w:val="24"/>
          <w:szCs w:val="24"/>
        </w:rPr>
        <w:t>1986; 15(2):247-258</w:t>
      </w:r>
      <w:r w:rsidRPr="00BD04DD">
        <w:rPr>
          <w:rFonts w:eastAsia="PingFang SC"/>
          <w:noProof/>
          <w:sz w:val="24"/>
          <w:szCs w:val="24"/>
        </w:rPr>
        <w:t>.</w:t>
      </w:r>
      <w:r w:rsidRPr="00BD04DD">
        <w:rPr>
          <w:noProof/>
          <w:sz w:val="24"/>
          <w:szCs w:val="24"/>
        </w:rPr>
        <w:t xml:space="preserve"> </w:t>
      </w:r>
      <w:hyperlink r:id="rId74" w:history="1">
        <w:r w:rsidRPr="00BD04DD">
          <w:rPr>
            <w:rStyle w:val="a3"/>
            <w:noProof/>
            <w:sz w:val="24"/>
            <w:szCs w:val="24"/>
          </w:rPr>
          <w:t>https://doi.org/10.1080/03079458608436285</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70.</w:t>
      </w:r>
      <w:r w:rsidRPr="00BD04DD">
        <w:rPr>
          <w:noProof/>
          <w:sz w:val="24"/>
          <w:szCs w:val="24"/>
        </w:rPr>
        <w:tab/>
        <w:t>Dwars RM, Davelaar FG, Smit HF. Infection of broiler parent hens with avian intestinal spirochaetes: Effects on egg production and chick quality. Avian pathol.</w:t>
      </w:r>
      <w:r w:rsidRPr="00BD04DD">
        <w:rPr>
          <w:i/>
          <w:noProof/>
          <w:sz w:val="24"/>
          <w:szCs w:val="24"/>
        </w:rPr>
        <w:t xml:space="preserve"> </w:t>
      </w:r>
      <w:r w:rsidRPr="00BD04DD">
        <w:rPr>
          <w:noProof/>
          <w:sz w:val="24"/>
          <w:szCs w:val="24"/>
        </w:rPr>
        <w:t>1993; 22(4):693-701</w:t>
      </w:r>
      <w:r w:rsidRPr="00BD04DD">
        <w:rPr>
          <w:rFonts w:eastAsia="PingFang SC"/>
          <w:noProof/>
          <w:sz w:val="24"/>
          <w:szCs w:val="24"/>
        </w:rPr>
        <w:t>.</w:t>
      </w:r>
      <w:r w:rsidRPr="00BD04DD">
        <w:rPr>
          <w:noProof/>
          <w:sz w:val="24"/>
          <w:szCs w:val="24"/>
        </w:rPr>
        <w:t xml:space="preserve"> </w:t>
      </w:r>
      <w:hyperlink r:id="rId75" w:history="1">
        <w:r w:rsidRPr="00BD04DD">
          <w:rPr>
            <w:rStyle w:val="a3"/>
            <w:noProof/>
            <w:sz w:val="24"/>
            <w:szCs w:val="24"/>
          </w:rPr>
          <w:t>https://doi.org/10.1080/03079459308418957</w:t>
        </w:r>
      </w:hyperlink>
    </w:p>
    <w:p w:rsidR="00D76841" w:rsidRPr="00BD04DD" w:rsidRDefault="00D76841" w:rsidP="00D76841">
      <w:pPr>
        <w:pStyle w:val="EndNoteBibliography"/>
        <w:adjustRightInd w:val="0"/>
        <w:snapToGrid w:val="0"/>
        <w:ind w:left="720" w:hanging="720"/>
        <w:rPr>
          <w:noProof/>
          <w:sz w:val="24"/>
          <w:szCs w:val="24"/>
        </w:rPr>
      </w:pPr>
      <w:r w:rsidRPr="00BD04DD">
        <w:rPr>
          <w:noProof/>
          <w:sz w:val="24"/>
          <w:szCs w:val="24"/>
        </w:rPr>
        <w:t>71.</w:t>
      </w:r>
      <w:r w:rsidRPr="00BD04DD">
        <w:rPr>
          <w:noProof/>
          <w:sz w:val="24"/>
          <w:szCs w:val="24"/>
        </w:rPr>
        <w:tab/>
        <w:t>Smit HF, Dwars RM, Davelaar FG, Wijtten GA. Observations on the influence of intestinal spirochaetosis in broiler breeders on the performance of their progeny and on egg production. Avian pathol.</w:t>
      </w:r>
      <w:r w:rsidRPr="00BD04DD">
        <w:rPr>
          <w:i/>
          <w:noProof/>
          <w:sz w:val="24"/>
          <w:szCs w:val="24"/>
        </w:rPr>
        <w:t xml:space="preserve"> </w:t>
      </w:r>
      <w:r w:rsidRPr="00BD04DD">
        <w:rPr>
          <w:noProof/>
          <w:sz w:val="24"/>
          <w:szCs w:val="24"/>
        </w:rPr>
        <w:t>1998; 27(2):133-141</w:t>
      </w:r>
      <w:r w:rsidRPr="00BD04DD">
        <w:rPr>
          <w:rFonts w:eastAsia="PingFang SC"/>
          <w:noProof/>
          <w:sz w:val="24"/>
          <w:szCs w:val="24"/>
        </w:rPr>
        <w:t>.</w:t>
      </w:r>
      <w:r w:rsidRPr="00BD04DD">
        <w:rPr>
          <w:noProof/>
          <w:sz w:val="24"/>
          <w:szCs w:val="24"/>
        </w:rPr>
        <w:t xml:space="preserve"> </w:t>
      </w:r>
      <w:hyperlink r:id="rId76" w:history="1">
        <w:r w:rsidRPr="00BD04DD">
          <w:rPr>
            <w:rStyle w:val="a3"/>
            <w:noProof/>
            <w:sz w:val="24"/>
            <w:szCs w:val="24"/>
          </w:rPr>
          <w:t>https://doi.org/10.1080/03079459808419314</w:t>
        </w:r>
      </w:hyperlink>
    </w:p>
    <w:p w:rsidR="00D76841" w:rsidRPr="00BD04DD" w:rsidRDefault="00D76841" w:rsidP="00D76841">
      <w:pPr>
        <w:adjustRightInd w:val="0"/>
        <w:snapToGrid w:val="0"/>
        <w:spacing w:line="480" w:lineRule="auto"/>
        <w:rPr>
          <w:rFonts w:ascii="Times New Roman" w:hAnsi="Times New Roman" w:cs="Times New Roman"/>
        </w:rPr>
      </w:pPr>
      <w:r w:rsidRPr="00BD04DD">
        <w:rPr>
          <w:rFonts w:ascii="Times New Roman" w:hAnsi="Times New Roman" w:cs="Times New Roman"/>
          <w:noProof/>
        </w:rPr>
        <w:fldChar w:fldCharType="end"/>
      </w:r>
    </w:p>
    <w:p w:rsidR="001E72C9" w:rsidRPr="00BD04DD" w:rsidRDefault="001E72C9">
      <w:pPr>
        <w:rPr>
          <w:rFonts w:ascii="Times New Roman" w:hAnsi="Times New Roman" w:cs="Times New Roman"/>
        </w:rPr>
      </w:pPr>
    </w:p>
    <w:sectPr w:rsidR="001E72C9" w:rsidRPr="00BD04DD" w:rsidSect="00A864EA">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4C76" w:rsidRDefault="00EC4C76" w:rsidP="00BD04DD">
      <w:r>
        <w:separator/>
      </w:r>
    </w:p>
  </w:endnote>
  <w:endnote w:type="continuationSeparator" w:id="0">
    <w:p w:rsidR="00EC4C76" w:rsidRDefault="00EC4C76" w:rsidP="00BD04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Lucida Bright">
    <w:panose1 w:val="020406020505050203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ingFang SC">
    <w:altName w:val="Microsoft YaHei UI"/>
    <w:panose1 w:val="020B0400000000000000"/>
    <w:charset w:val="86"/>
    <w:family w:val="swiss"/>
    <w:pitch w:val="variable"/>
    <w:sig w:usb0="A00002FF" w:usb1="7ACFFDFB" w:usb2="00000017"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4C76" w:rsidRDefault="00EC4C76" w:rsidP="00BD04DD">
      <w:r>
        <w:separator/>
      </w:r>
    </w:p>
  </w:footnote>
  <w:footnote w:type="continuationSeparator" w:id="0">
    <w:p w:rsidR="00EC4C76" w:rsidRDefault="00EC4C76" w:rsidP="00BD04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s>
  <w:rsids>
    <w:rsidRoot w:val="003E4622"/>
    <w:rsid w:val="000339D0"/>
    <w:rsid w:val="00052E9B"/>
    <w:rsid w:val="00063A7E"/>
    <w:rsid w:val="00063FBC"/>
    <w:rsid w:val="0008152F"/>
    <w:rsid w:val="00082E03"/>
    <w:rsid w:val="000862D1"/>
    <w:rsid w:val="0010012A"/>
    <w:rsid w:val="00127A0C"/>
    <w:rsid w:val="00155FA7"/>
    <w:rsid w:val="001923DC"/>
    <w:rsid w:val="001D2129"/>
    <w:rsid w:val="001E72C9"/>
    <w:rsid w:val="001F1A67"/>
    <w:rsid w:val="001F5F43"/>
    <w:rsid w:val="00247649"/>
    <w:rsid w:val="0027044D"/>
    <w:rsid w:val="002B69CE"/>
    <w:rsid w:val="00371BB7"/>
    <w:rsid w:val="003C07E7"/>
    <w:rsid w:val="003E4622"/>
    <w:rsid w:val="004173BA"/>
    <w:rsid w:val="00422FAA"/>
    <w:rsid w:val="00430479"/>
    <w:rsid w:val="0043406A"/>
    <w:rsid w:val="004B554F"/>
    <w:rsid w:val="005B75CA"/>
    <w:rsid w:val="005C230A"/>
    <w:rsid w:val="005C55F4"/>
    <w:rsid w:val="00603F51"/>
    <w:rsid w:val="00613F82"/>
    <w:rsid w:val="006244A0"/>
    <w:rsid w:val="00627DE2"/>
    <w:rsid w:val="006562AC"/>
    <w:rsid w:val="0068074B"/>
    <w:rsid w:val="006D0DAC"/>
    <w:rsid w:val="00701805"/>
    <w:rsid w:val="00742098"/>
    <w:rsid w:val="007633DF"/>
    <w:rsid w:val="007A31B4"/>
    <w:rsid w:val="007C6CEA"/>
    <w:rsid w:val="007E02D8"/>
    <w:rsid w:val="007E6A27"/>
    <w:rsid w:val="008037D8"/>
    <w:rsid w:val="00831E62"/>
    <w:rsid w:val="008620EC"/>
    <w:rsid w:val="00862A1A"/>
    <w:rsid w:val="0086463C"/>
    <w:rsid w:val="008F34AE"/>
    <w:rsid w:val="008F782C"/>
    <w:rsid w:val="00937FFD"/>
    <w:rsid w:val="00941B88"/>
    <w:rsid w:val="00965E9F"/>
    <w:rsid w:val="0097700C"/>
    <w:rsid w:val="009B349E"/>
    <w:rsid w:val="009D7C0D"/>
    <w:rsid w:val="00A30CC5"/>
    <w:rsid w:val="00A44BE3"/>
    <w:rsid w:val="00A52879"/>
    <w:rsid w:val="00A864EA"/>
    <w:rsid w:val="00A9093A"/>
    <w:rsid w:val="00B11C56"/>
    <w:rsid w:val="00B24134"/>
    <w:rsid w:val="00B80BA9"/>
    <w:rsid w:val="00BD04DD"/>
    <w:rsid w:val="00BE0B63"/>
    <w:rsid w:val="00BF429C"/>
    <w:rsid w:val="00C22315"/>
    <w:rsid w:val="00C276F8"/>
    <w:rsid w:val="00C54858"/>
    <w:rsid w:val="00C60A13"/>
    <w:rsid w:val="00C735DA"/>
    <w:rsid w:val="00C93418"/>
    <w:rsid w:val="00CB2237"/>
    <w:rsid w:val="00CB6FB5"/>
    <w:rsid w:val="00D153E7"/>
    <w:rsid w:val="00D748DF"/>
    <w:rsid w:val="00D76841"/>
    <w:rsid w:val="00DC6575"/>
    <w:rsid w:val="00DD4462"/>
    <w:rsid w:val="00DD630E"/>
    <w:rsid w:val="00DD6837"/>
    <w:rsid w:val="00E315AE"/>
    <w:rsid w:val="00E943CC"/>
    <w:rsid w:val="00EA215C"/>
    <w:rsid w:val="00EA5A10"/>
    <w:rsid w:val="00EC2F91"/>
    <w:rsid w:val="00EC4C76"/>
    <w:rsid w:val="00F14A12"/>
    <w:rsid w:val="00F56970"/>
    <w:rsid w:val="00F861C4"/>
    <w:rsid w:val="00FA6177"/>
    <w:rsid w:val="00FD16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0A3DDD"/>
  <w15:chartTrackingRefBased/>
  <w15:docId w15:val="{B150DFDC-1C36-C548-8301-B94B3F1CF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aliases w:val="一级标题"/>
    <w:basedOn w:val="a"/>
    <w:next w:val="a"/>
    <w:link w:val="10"/>
    <w:uiPriority w:val="9"/>
    <w:qFormat/>
    <w:rsid w:val="00D76841"/>
    <w:pPr>
      <w:keepNext/>
      <w:keepLines/>
      <w:jc w:val="left"/>
      <w:outlineLvl w:val="0"/>
    </w:pPr>
    <w:rPr>
      <w:rFonts w:ascii="Times New Roman" w:eastAsia="Times New Roman" w:hAnsi="Times New Roman" w:cs="Lucida Bright"/>
      <w:b/>
      <w:color w:val="262626"/>
      <w:kern w:val="44"/>
      <w:sz w:val="20"/>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一级标题 字符"/>
    <w:basedOn w:val="a0"/>
    <w:link w:val="1"/>
    <w:uiPriority w:val="9"/>
    <w:rsid w:val="00D76841"/>
    <w:rPr>
      <w:rFonts w:ascii="Times New Roman" w:eastAsia="Times New Roman" w:hAnsi="Times New Roman" w:cs="Lucida Bright"/>
      <w:b/>
      <w:color w:val="262626"/>
      <w:kern w:val="44"/>
      <w:sz w:val="20"/>
      <w:szCs w:val="44"/>
    </w:rPr>
  </w:style>
  <w:style w:type="character" w:styleId="a3">
    <w:name w:val="Hyperlink"/>
    <w:basedOn w:val="a0"/>
    <w:uiPriority w:val="99"/>
    <w:unhideWhenUsed/>
    <w:rsid w:val="00D76841"/>
    <w:rPr>
      <w:color w:val="0563C1" w:themeColor="hyperlink"/>
      <w:u w:val="single"/>
    </w:rPr>
  </w:style>
  <w:style w:type="paragraph" w:customStyle="1" w:styleId="EndNoteBibliography">
    <w:name w:val="EndNote Bibliography"/>
    <w:basedOn w:val="a"/>
    <w:rsid w:val="00D76841"/>
    <w:pPr>
      <w:jc w:val="left"/>
    </w:pPr>
    <w:rPr>
      <w:rFonts w:ascii="Times New Roman" w:eastAsia="Times New Roman" w:hAnsi="Times New Roman" w:cs="Times New Roman"/>
      <w:color w:val="262626"/>
      <w:kern w:val="0"/>
      <w:sz w:val="28"/>
      <w:szCs w:val="48"/>
    </w:rPr>
  </w:style>
  <w:style w:type="paragraph" w:styleId="a4">
    <w:name w:val="header"/>
    <w:basedOn w:val="a"/>
    <w:link w:val="a5"/>
    <w:uiPriority w:val="99"/>
    <w:unhideWhenUsed/>
    <w:rsid w:val="00BD04D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D04DD"/>
    <w:rPr>
      <w:sz w:val="18"/>
      <w:szCs w:val="18"/>
    </w:rPr>
  </w:style>
  <w:style w:type="paragraph" w:styleId="a6">
    <w:name w:val="footer"/>
    <w:basedOn w:val="a"/>
    <w:link w:val="a7"/>
    <w:uiPriority w:val="99"/>
    <w:unhideWhenUsed/>
    <w:rsid w:val="00BD04DD"/>
    <w:pPr>
      <w:tabs>
        <w:tab w:val="center" w:pos="4153"/>
        <w:tab w:val="right" w:pos="8306"/>
      </w:tabs>
      <w:snapToGrid w:val="0"/>
      <w:jc w:val="left"/>
    </w:pPr>
    <w:rPr>
      <w:sz w:val="18"/>
      <w:szCs w:val="18"/>
    </w:rPr>
  </w:style>
  <w:style w:type="character" w:customStyle="1" w:styleId="a7">
    <w:name w:val="页脚 字符"/>
    <w:basedOn w:val="a0"/>
    <w:link w:val="a6"/>
    <w:uiPriority w:val="99"/>
    <w:rsid w:val="00BD04DD"/>
    <w:rPr>
      <w:sz w:val="18"/>
      <w:szCs w:val="18"/>
    </w:rPr>
  </w:style>
  <w:style w:type="paragraph" w:styleId="a8">
    <w:name w:val="Revision"/>
    <w:hidden/>
    <w:uiPriority w:val="99"/>
    <w:semiHidden/>
    <w:rsid w:val="00BE0B63"/>
  </w:style>
  <w:style w:type="character" w:styleId="a9">
    <w:name w:val="FollowedHyperlink"/>
    <w:basedOn w:val="a0"/>
    <w:uiPriority w:val="99"/>
    <w:semiHidden/>
    <w:unhideWhenUsed/>
    <w:rsid w:val="00082E03"/>
    <w:rPr>
      <w:color w:val="954F72" w:themeColor="followedHyperlink"/>
      <w:u w:val="single"/>
    </w:rPr>
  </w:style>
  <w:style w:type="character" w:styleId="aa">
    <w:name w:val="Unresolved Mention"/>
    <w:basedOn w:val="a0"/>
    <w:uiPriority w:val="99"/>
    <w:semiHidden/>
    <w:unhideWhenUsed/>
    <w:rsid w:val="008F34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6057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007/s00253-015-6482-8" TargetMode="External"/><Relationship Id="rId21" Type="http://schemas.openxmlformats.org/officeDocument/2006/relationships/hyperlink" Target="https://doi.org/10.1038/s41396-019-0367-2" TargetMode="External"/><Relationship Id="rId42" Type="http://schemas.openxmlformats.org/officeDocument/2006/relationships/hyperlink" Target="https://doi.org/10.1021/acs.jafc.6b05641" TargetMode="External"/><Relationship Id="rId47" Type="http://schemas.openxmlformats.org/officeDocument/2006/relationships/hyperlink" Target="https://doi.org/10.1093/jn/133.3.707" TargetMode="External"/><Relationship Id="rId63" Type="http://schemas.openxmlformats.org/officeDocument/2006/relationships/hyperlink" Target="https://doi.org/10.1073/pnas.0504978102" TargetMode="External"/><Relationship Id="rId68" Type="http://schemas.openxmlformats.org/officeDocument/2006/relationships/hyperlink" Target="https://doi.org/10.1371/journal.pone.0126931" TargetMode="External"/><Relationship Id="rId16" Type="http://schemas.openxmlformats.org/officeDocument/2006/relationships/hyperlink" Target="https://doi.org/10.1038/nm.3444" TargetMode="External"/><Relationship Id="rId11" Type="http://schemas.openxmlformats.org/officeDocument/2006/relationships/hyperlink" Target="https://doi.org/10.1093/femsre/fuu010" TargetMode="External"/><Relationship Id="rId24" Type="http://schemas.openxmlformats.org/officeDocument/2006/relationships/hyperlink" Target="https://doi.org/10.3945/ajcn.117.155424" TargetMode="External"/><Relationship Id="rId32" Type="http://schemas.openxmlformats.org/officeDocument/2006/relationships/hyperlink" Target="https://doi.org/10.1038/nmeth.f.303" TargetMode="External"/><Relationship Id="rId37" Type="http://schemas.openxmlformats.org/officeDocument/2006/relationships/hyperlink" Target="https://doi.org/10.1037/1082-989X.4.1.76" TargetMode="External"/><Relationship Id="rId40" Type="http://schemas.openxmlformats.org/officeDocument/2006/relationships/hyperlink" Target="https://doi.org/10.1038/nprot.2011.375" TargetMode="External"/><Relationship Id="rId45" Type="http://schemas.openxmlformats.org/officeDocument/2006/relationships/hyperlink" Target="https://doi.org/10.1016/j.aninu.2017.03.001" TargetMode="External"/><Relationship Id="rId53" Type="http://schemas.openxmlformats.org/officeDocument/2006/relationships/hyperlink" Target="https://doi.org/10.1016/j.theriogenology.2012.07.004" TargetMode="External"/><Relationship Id="rId58" Type="http://schemas.openxmlformats.org/officeDocument/2006/relationships/hyperlink" Target="https://doi.org/10.3168/jds.2013-6757" TargetMode="External"/><Relationship Id="rId66" Type="http://schemas.openxmlformats.org/officeDocument/2006/relationships/hyperlink" Target="https://doi.org/10.3389/fmicb.2018.01665" TargetMode="External"/><Relationship Id="rId74" Type="http://schemas.openxmlformats.org/officeDocument/2006/relationships/hyperlink" Target="https://doi.org/10.1080/03079458608436285" TargetMode="External"/><Relationship Id="rId5" Type="http://schemas.openxmlformats.org/officeDocument/2006/relationships/endnotes" Target="endnotes.xml"/><Relationship Id="rId61" Type="http://schemas.openxmlformats.org/officeDocument/2006/relationships/hyperlink" Target="https://doi.org/10.1017/S0007114513002560" TargetMode="External"/><Relationship Id="rId19" Type="http://schemas.openxmlformats.org/officeDocument/2006/relationships/hyperlink" Target="https://doi.org/10.1186/s12970-016-0155-6" TargetMode="External"/><Relationship Id="rId14" Type="http://schemas.openxmlformats.org/officeDocument/2006/relationships/hyperlink" Target="https://doi.org/10.1124/dmd.115.065698" TargetMode="External"/><Relationship Id="rId22" Type="http://schemas.openxmlformats.org/officeDocument/2006/relationships/hyperlink" Target="https://doi.org/10.1038/nature18846" TargetMode="External"/><Relationship Id="rId27" Type="http://schemas.openxmlformats.org/officeDocument/2006/relationships/hyperlink" Target="https://doi.org/10.1016/j.anifeedsci.2018.07.012" TargetMode="External"/><Relationship Id="rId30" Type="http://schemas.openxmlformats.org/officeDocument/2006/relationships/hyperlink" Target="https://doi.org/10.1083/jcb.119.3.493" TargetMode="External"/><Relationship Id="rId35" Type="http://schemas.openxmlformats.org/officeDocument/2006/relationships/hyperlink" Target="https://doi.org/10.1128/aem.03006-05" TargetMode="External"/><Relationship Id="rId43" Type="http://schemas.openxmlformats.org/officeDocument/2006/relationships/hyperlink" Target="https://doi.org/10.1111/j.1467-3010.2008.00706.x" TargetMode="External"/><Relationship Id="rId48" Type="http://schemas.openxmlformats.org/officeDocument/2006/relationships/hyperlink" Target="https://doi.org/10.1093/ps/86.7.1478" TargetMode="External"/><Relationship Id="rId56" Type="http://schemas.openxmlformats.org/officeDocument/2006/relationships/hyperlink" Target="https://doi.org/10.1210/endo.142.8.8293" TargetMode="External"/><Relationship Id="rId64" Type="http://schemas.openxmlformats.org/officeDocument/2006/relationships/hyperlink" Target="https://doi.org/10.1017/s0007114512005612" TargetMode="External"/><Relationship Id="rId69" Type="http://schemas.openxmlformats.org/officeDocument/2006/relationships/hyperlink" Target="https://doi.org/10.1146/annurev.micro.55.1.165" TargetMode="External"/><Relationship Id="rId77" Type="http://schemas.openxmlformats.org/officeDocument/2006/relationships/fontTable" Target="fontTable.xml"/><Relationship Id="rId8" Type="http://schemas.openxmlformats.org/officeDocument/2006/relationships/hyperlink" Target="https://doi.org/10.3382/ps.2012-02373" TargetMode="External"/><Relationship Id="rId51" Type="http://schemas.openxmlformats.org/officeDocument/2006/relationships/hyperlink" Target="https://doi.org/10.1016/j.domaniend.2011.12.001" TargetMode="External"/><Relationship Id="rId72" Type="http://schemas.openxmlformats.org/officeDocument/2006/relationships/hyperlink" Target="https://doi.org/10.1007/BF01584002" TargetMode="External"/><Relationship Id="rId3" Type="http://schemas.openxmlformats.org/officeDocument/2006/relationships/webSettings" Target="webSettings.xml"/><Relationship Id="rId12" Type="http://schemas.openxmlformats.org/officeDocument/2006/relationships/hyperlink" Target="https://doi.org/10.1016/j.anifeedsci.2017.09.012" TargetMode="External"/><Relationship Id="rId17" Type="http://schemas.openxmlformats.org/officeDocument/2006/relationships/hyperlink" Target="https://doi.org/10.2141/jpsa.009096" TargetMode="External"/><Relationship Id="rId25" Type="http://schemas.openxmlformats.org/officeDocument/2006/relationships/hyperlink" Target="https://doi.org/10.3389/fgene.2015.00148" TargetMode="External"/><Relationship Id="rId33" Type="http://schemas.openxmlformats.org/officeDocument/2006/relationships/hyperlink" Target="https://doi.org/10.1093/bioinformatics/btr381" TargetMode="External"/><Relationship Id="rId38" Type="http://schemas.openxmlformats.org/officeDocument/2006/relationships/hyperlink" Target="https://doi.org/10.1021/ac051437y" TargetMode="External"/><Relationship Id="rId46" Type="http://schemas.openxmlformats.org/officeDocument/2006/relationships/hyperlink" Target="https://doi.org/10.1016/j.ygcen.2008.11.012" TargetMode="External"/><Relationship Id="rId59" Type="http://schemas.openxmlformats.org/officeDocument/2006/relationships/hyperlink" Target="https://doi.org/10.1186/1746-6148-9-30" TargetMode="External"/><Relationship Id="rId67" Type="http://schemas.openxmlformats.org/officeDocument/2006/relationships/hyperlink" Target="https://doi.org/10.1128/mBio.01212-14" TargetMode="External"/><Relationship Id="rId20" Type="http://schemas.openxmlformats.org/officeDocument/2006/relationships/hyperlink" Target="https://doi.org/10.1073/pnas.0407076101" TargetMode="External"/><Relationship Id="rId41" Type="http://schemas.openxmlformats.org/officeDocument/2006/relationships/hyperlink" Target="https://doi.org/10.1038/nprot.2011.335" TargetMode="External"/><Relationship Id="rId54" Type="http://schemas.openxmlformats.org/officeDocument/2006/relationships/hyperlink" Target="https://doi.org/10.1210/endo.137.12.8940345" TargetMode="External"/><Relationship Id="rId62" Type="http://schemas.openxmlformats.org/officeDocument/2006/relationships/hyperlink" Target="https://doi.org/10.3382/ps.2013-03305" TargetMode="External"/><Relationship Id="rId70" Type="http://schemas.openxmlformats.org/officeDocument/2006/relationships/hyperlink" Target="https://doi.org/10.1146/annurev.cellbio.21.012704.131001" TargetMode="External"/><Relationship Id="rId75" Type="http://schemas.openxmlformats.org/officeDocument/2006/relationships/hyperlink" Target="https://doi.org/10.1080/03079459308418957" TargetMode="External"/><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hyperlink" Target="https://doi.org/10.1007/s13205-017-1058-1" TargetMode="External"/><Relationship Id="rId23" Type="http://schemas.openxmlformats.org/officeDocument/2006/relationships/hyperlink" Target="https://doi.org/10.3382/ps.0731712" TargetMode="External"/><Relationship Id="rId28" Type="http://schemas.openxmlformats.org/officeDocument/2006/relationships/hyperlink" Target="https://doi.org/10.1016/j.mehy.2012.04.016" TargetMode="External"/><Relationship Id="rId36" Type="http://schemas.openxmlformats.org/officeDocument/2006/relationships/hyperlink" Target="https://doi.org/10.1128/aem.00062-07" TargetMode="External"/><Relationship Id="rId49" Type="http://schemas.openxmlformats.org/officeDocument/2006/relationships/hyperlink" Target="https://doi.org/10.1093/ps/85.1.70" TargetMode="External"/><Relationship Id="rId57" Type="http://schemas.openxmlformats.org/officeDocument/2006/relationships/hyperlink" Target="https://doi.org/10.1016/j.jpba.2016.02.004" TargetMode="External"/><Relationship Id="rId10" Type="http://schemas.openxmlformats.org/officeDocument/2006/relationships/hyperlink" Target="https://doi.org/10.3382/ps/pex359" TargetMode="External"/><Relationship Id="rId31" Type="http://schemas.openxmlformats.org/officeDocument/2006/relationships/hyperlink" Target="https://doi.org/10.1093/bioinformatics/btr507" TargetMode="External"/><Relationship Id="rId44" Type="http://schemas.openxmlformats.org/officeDocument/2006/relationships/hyperlink" Target="https://doi.org/10.1016/j.anifeedsci.2016.05.004" TargetMode="External"/><Relationship Id="rId52" Type="http://schemas.openxmlformats.org/officeDocument/2006/relationships/hyperlink" Target="https://doi.org/10.3382/ps.0641394" TargetMode="External"/><Relationship Id="rId60" Type="http://schemas.openxmlformats.org/officeDocument/2006/relationships/hyperlink" Target="https://doi.org/10.3382/ps/pew372" TargetMode="External"/><Relationship Id="rId65" Type="http://schemas.openxmlformats.org/officeDocument/2006/relationships/hyperlink" Target="https://doi.org/10.1136/gutjnl-2011-301012" TargetMode="External"/><Relationship Id="rId73" Type="http://schemas.openxmlformats.org/officeDocument/2006/relationships/hyperlink" Target="https://doi.org/10.1016/j.molcatb.2008.09.003" TargetMode="External"/><Relationship Id="rId78"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doi.org/10.3382/ps/pex218" TargetMode="External"/><Relationship Id="rId13" Type="http://schemas.openxmlformats.org/officeDocument/2006/relationships/hyperlink" Target="https://doi.org/10.1016/j.mrfmmm.2007.03.010" TargetMode="External"/><Relationship Id="rId18" Type="http://schemas.openxmlformats.org/officeDocument/2006/relationships/hyperlink" Target="https://doi.org/10.1126/science.1223490" TargetMode="External"/><Relationship Id="rId39" Type="http://schemas.openxmlformats.org/officeDocument/2006/relationships/hyperlink" Target="https://doi.org/10.1002/jms.3184" TargetMode="External"/><Relationship Id="rId34" Type="http://schemas.openxmlformats.org/officeDocument/2006/relationships/hyperlink" Target="https://doi.org/10.1038/nmeth.2604" TargetMode="External"/><Relationship Id="rId50" Type="http://schemas.openxmlformats.org/officeDocument/2006/relationships/hyperlink" Target="http://www.jlr.org/content/35/8/1354.short" TargetMode="External"/><Relationship Id="rId55" Type="http://schemas.openxmlformats.org/officeDocument/2006/relationships/hyperlink" Target="https://doi.org/10.1074/jbc.M010286200" TargetMode="External"/><Relationship Id="rId76" Type="http://schemas.openxmlformats.org/officeDocument/2006/relationships/hyperlink" Target="https://doi.org/10.1080/03079459808419314" TargetMode="External"/><Relationship Id="rId7" Type="http://schemas.openxmlformats.org/officeDocument/2006/relationships/hyperlink" Target="https://doi.org/10.1007/s12602-017-9369-4" TargetMode="External"/><Relationship Id="rId71" Type="http://schemas.openxmlformats.org/officeDocument/2006/relationships/hyperlink" Target="https://doi.org/10.1007/s00253-012-4078-0" TargetMode="External"/><Relationship Id="rId2" Type="http://schemas.openxmlformats.org/officeDocument/2006/relationships/settings" Target="settings.xml"/><Relationship Id="rId29" Type="http://schemas.openxmlformats.org/officeDocument/2006/relationships/hyperlink" Target="https://doi.org/10.1016/j.tem.2007.07.00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12</Pages>
  <Words>5888</Words>
  <Characters>33568</Characters>
  <Application>Microsoft Office Word</Application>
  <DocSecurity>0</DocSecurity>
  <Lines>279</Lines>
  <Paragraphs>78</Paragraphs>
  <ScaleCrop>false</ScaleCrop>
  <Company/>
  <LinksUpToDate>false</LinksUpToDate>
  <CharactersWithSpaces>39378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10</cp:revision>
  <dcterms:created xsi:type="dcterms:W3CDTF">2019-07-11T15:32:00Z</dcterms:created>
  <dcterms:modified xsi:type="dcterms:W3CDTF">2019-07-16T15:02:00Z</dcterms:modified>
</cp:coreProperties>
</file>