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CEB" w:rsidRDefault="00097CEB" w:rsidP="00097CEB">
      <w:pPr>
        <w:pStyle w:val="Tab"/>
      </w:pPr>
      <w:bookmarkStart w:id="0" w:name="_Toc520044092"/>
      <w:bookmarkStart w:id="1" w:name="_Toc4786904"/>
      <w:r w:rsidRPr="006035FB">
        <w:rPr>
          <w:b/>
        </w:rPr>
        <w:t xml:space="preserve">Table </w:t>
      </w:r>
      <w:r>
        <w:rPr>
          <w:b/>
        </w:rPr>
        <w:t>1S-A.</w:t>
      </w:r>
      <w:r w:rsidRPr="00964EB2">
        <w:t xml:space="preserve"> </w:t>
      </w:r>
      <w:r>
        <w:tab/>
      </w:r>
      <w:r w:rsidRPr="00964EB2">
        <w:rPr>
          <w:noProof/>
        </w:rPr>
        <w:t>Two–way</w:t>
      </w:r>
      <w:r w:rsidRPr="00964EB2">
        <w:t xml:space="preserve"> ANOVA results for the individual and interactive effect of Cr</w:t>
      </w:r>
      <w:r w:rsidRPr="00964EB2">
        <w:rPr>
          <w:vertAlign w:val="superscript"/>
        </w:rPr>
        <w:t>VI</w:t>
      </w:r>
      <w:r w:rsidRPr="00964EB2">
        <w:t xml:space="preserve"> and IAA on growth and growth regulating </w:t>
      </w:r>
      <w:r w:rsidRPr="00964EB2">
        <w:rPr>
          <w:noProof/>
        </w:rPr>
        <w:t>parameters</w:t>
      </w:r>
      <w:r w:rsidRPr="00964EB2">
        <w:t xml:space="preserve"> of </w:t>
      </w:r>
      <w:bookmarkEnd w:id="0"/>
      <w:r w:rsidRPr="00964EB2">
        <w:rPr>
          <w:i/>
        </w:rPr>
        <w:t>N.</w:t>
      </w:r>
      <w:r>
        <w:rPr>
          <w:i/>
        </w:rPr>
        <w:t xml:space="preserve"> </w:t>
      </w:r>
      <w:r w:rsidRPr="00964EB2">
        <w:rPr>
          <w:i/>
        </w:rPr>
        <w:t>muscorum</w:t>
      </w:r>
      <w:r w:rsidRPr="00964EB2">
        <w:t>.</w:t>
      </w:r>
      <w:bookmarkEnd w:id="1"/>
    </w:p>
    <w:p w:rsidR="00097CEB" w:rsidRPr="00964EB2" w:rsidRDefault="00097CEB" w:rsidP="00097CEB">
      <w:pPr>
        <w:pStyle w:val="Tab"/>
      </w:pPr>
    </w:p>
    <w:tbl>
      <w:tblPr>
        <w:tblW w:w="4732" w:type="pct"/>
        <w:jc w:val="center"/>
        <w:tblBorders>
          <w:top w:val="single" w:sz="4" w:space="0" w:color="000000" w:themeColor="text1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546"/>
        <w:gridCol w:w="334"/>
        <w:gridCol w:w="718"/>
        <w:gridCol w:w="1150"/>
        <w:gridCol w:w="1297"/>
        <w:gridCol w:w="319"/>
        <w:gridCol w:w="683"/>
        <w:gridCol w:w="1038"/>
        <w:gridCol w:w="1120"/>
        <w:gridCol w:w="279"/>
        <w:gridCol w:w="726"/>
        <w:gridCol w:w="1294"/>
        <w:gridCol w:w="1008"/>
      </w:tblGrid>
      <w:tr w:rsidR="00097CEB" w:rsidRPr="00964EB2" w:rsidTr="00ED7871">
        <w:trPr>
          <w:trHeight w:val="276"/>
          <w:tblHeader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Variables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88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6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520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7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16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4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 xml:space="preserve">P </w:t>
            </w:r>
            <w:r w:rsidRPr="00964EB2">
              <w:rPr>
                <w:b/>
                <w:shd w:val="clear" w:color="auto" w:fill="CCFFCC"/>
              </w:rPr>
              <w:t>value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9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51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0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</w:tr>
      <w:tr w:rsidR="00097CEB" w:rsidRPr="00964EB2" w:rsidTr="00ED7871">
        <w:trPr>
          <w:trHeight w:val="271"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rPr>
                <w:b/>
              </w:rPr>
            </w:pPr>
            <w:r w:rsidRPr="00964EB2">
              <w:rPr>
                <w:b/>
              </w:rPr>
              <w:t xml:space="preserve">                Growth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  <w:r>
              <w:rPr>
                <w:b/>
              </w:rPr>
              <w:t>PC</w:t>
            </w:r>
            <w:r w:rsidRPr="00964EB2">
              <w:rPr>
                <w:b/>
              </w:rPr>
              <w:t xml:space="preserve"> content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Nitrate uptake</w:t>
            </w:r>
          </w:p>
        </w:tc>
      </w:tr>
      <w:tr w:rsidR="00097CEB" w:rsidRPr="00964EB2" w:rsidTr="00ED7871">
        <w:trPr>
          <w:trHeight w:val="37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151.3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102.1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102.1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34.58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25.03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25.03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</w:tr>
      <w:tr w:rsidR="00097CEB" w:rsidRPr="00964EB2" w:rsidTr="00ED7871">
        <w:trPr>
          <w:trHeight w:val="26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2.440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0.128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0.588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0.571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0.588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0.571</w:t>
            </w:r>
          </w:p>
        </w:tc>
      </w:tr>
      <w:tr w:rsidR="00097CEB" w:rsidRPr="00964EB2" w:rsidTr="00ED7871">
        <w:trPr>
          <w:trHeight w:val="74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Nitrite uptake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NR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NiR activity</w:t>
            </w:r>
          </w:p>
        </w:tc>
      </w:tr>
      <w:tr w:rsidR="00097CEB" w:rsidRPr="00964EB2" w:rsidTr="00ED7871">
        <w:trPr>
          <w:trHeight w:val="382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130.7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184.9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133.0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36.10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61.73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54.72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2.048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0.172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7.332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0.008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3.165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0.079</w:t>
            </w:r>
          </w:p>
        </w:tc>
      </w:tr>
      <w:tr w:rsidR="00097CEB" w:rsidRPr="00964EB2" w:rsidTr="00ED7871">
        <w:trPr>
          <w:trHeight w:val="90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GS activity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GOGAT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GDH activity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131.6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166.8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86.09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39.84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43.43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18.52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0.750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0.493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3.183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0.078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4.157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0.042</w:t>
            </w:r>
          </w:p>
        </w:tc>
      </w:tr>
      <w:tr w:rsidR="00097CEB" w:rsidRPr="00964EB2" w:rsidTr="00ED7871">
        <w:trPr>
          <w:trHeight w:val="161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gridAfter w:val="3"/>
          <w:wAfter w:w="1214" w:type="pct"/>
          <w:trHeight w:val="276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Protein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exopolysaccharide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178.5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78.70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44.49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5.647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0.035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 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0.750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0.493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0.353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0.710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70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 w:rsidR="00097CEB" w:rsidRDefault="00097CEB" w:rsidP="00097CEB"/>
    <w:p w:rsidR="00097CEB" w:rsidRDefault="00097CEB" w:rsidP="00097CEB">
      <w:r>
        <w:rPr>
          <w:rFonts w:asciiTheme="majorHAnsi" w:hAnsiTheme="majorHAnsi"/>
        </w:rPr>
        <w:t xml:space="preserve">         </w:t>
      </w:r>
      <w:r w:rsidRPr="00964EB2">
        <w:rPr>
          <w:rFonts w:asciiTheme="majorHAnsi" w:hAnsiTheme="majorHAnsi"/>
        </w:rPr>
        <w:t xml:space="preserve">The bold </w:t>
      </w:r>
      <w:r w:rsidRPr="00374D27">
        <w:rPr>
          <w:rFonts w:asciiTheme="majorHAnsi" w:hAnsiTheme="majorHAnsi"/>
        </w:rPr>
        <w:t xml:space="preserve">P </w:t>
      </w:r>
      <w:r w:rsidRPr="00964EB2">
        <w:rPr>
          <w:rFonts w:asciiTheme="majorHAnsi" w:hAnsiTheme="majorHAnsi"/>
        </w:rPr>
        <w:t>values show significant level.</w:t>
      </w:r>
    </w:p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>
      <w:pPr>
        <w:pStyle w:val="Tab"/>
      </w:pPr>
      <w:r w:rsidRPr="006035FB">
        <w:rPr>
          <w:b/>
        </w:rPr>
        <w:t xml:space="preserve">Table </w:t>
      </w:r>
      <w:r>
        <w:rPr>
          <w:b/>
        </w:rPr>
        <w:t>1S-B.</w:t>
      </w:r>
      <w:r w:rsidRPr="00964EB2">
        <w:t xml:space="preserve"> </w:t>
      </w:r>
      <w:r>
        <w:tab/>
      </w:r>
      <w:r w:rsidRPr="00964EB2">
        <w:rPr>
          <w:noProof/>
        </w:rPr>
        <w:t>Two–way</w:t>
      </w:r>
      <w:r w:rsidRPr="00964EB2">
        <w:t xml:space="preserve"> ANOVA results for the individual and interactive effect of Cr</w:t>
      </w:r>
      <w:r w:rsidRPr="00964EB2">
        <w:rPr>
          <w:vertAlign w:val="superscript"/>
        </w:rPr>
        <w:t>VI</w:t>
      </w:r>
      <w:r w:rsidRPr="00964EB2">
        <w:t xml:space="preserve"> and </w:t>
      </w:r>
      <w:r>
        <w:t>KN</w:t>
      </w:r>
      <w:r w:rsidRPr="00964EB2">
        <w:t xml:space="preserve"> on growth and growth regulating </w:t>
      </w:r>
      <w:r w:rsidRPr="00964EB2">
        <w:rPr>
          <w:noProof/>
        </w:rPr>
        <w:t>parameters</w:t>
      </w:r>
      <w:r w:rsidRPr="00964EB2">
        <w:t xml:space="preserve"> of </w:t>
      </w:r>
      <w:r w:rsidRPr="00964EB2">
        <w:rPr>
          <w:i/>
        </w:rPr>
        <w:t>N.</w:t>
      </w:r>
      <w:r>
        <w:rPr>
          <w:i/>
        </w:rPr>
        <w:t xml:space="preserve"> </w:t>
      </w:r>
      <w:r w:rsidRPr="00964EB2">
        <w:rPr>
          <w:i/>
        </w:rPr>
        <w:t>muscorum</w:t>
      </w:r>
      <w:r w:rsidRPr="00964EB2">
        <w:t>.</w:t>
      </w:r>
    </w:p>
    <w:p w:rsidR="00097CEB" w:rsidRPr="00964EB2" w:rsidRDefault="00097CEB" w:rsidP="00097CEB">
      <w:pPr>
        <w:pStyle w:val="Tab"/>
      </w:pPr>
    </w:p>
    <w:tbl>
      <w:tblPr>
        <w:tblW w:w="4322" w:type="pct"/>
        <w:jc w:val="center"/>
        <w:tblBorders>
          <w:top w:val="single" w:sz="4" w:space="0" w:color="000000" w:themeColor="text1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1412"/>
        <w:gridCol w:w="305"/>
        <w:gridCol w:w="656"/>
        <w:gridCol w:w="1050"/>
        <w:gridCol w:w="1184"/>
        <w:gridCol w:w="292"/>
        <w:gridCol w:w="624"/>
        <w:gridCol w:w="948"/>
        <w:gridCol w:w="1023"/>
        <w:gridCol w:w="255"/>
        <w:gridCol w:w="663"/>
        <w:gridCol w:w="1182"/>
        <w:gridCol w:w="920"/>
      </w:tblGrid>
      <w:tr w:rsidR="00097CEB" w:rsidRPr="00964EB2" w:rsidTr="00ED7871">
        <w:trPr>
          <w:trHeight w:val="269"/>
          <w:tblHeader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Variables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88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6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520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7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16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4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 xml:space="preserve">P </w:t>
            </w:r>
            <w:r w:rsidRPr="00964EB2">
              <w:rPr>
                <w:b/>
                <w:shd w:val="clear" w:color="auto" w:fill="CCFFCC"/>
              </w:rPr>
              <w:t>value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9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51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0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</w:tr>
      <w:tr w:rsidR="00097CEB" w:rsidRPr="00964EB2" w:rsidTr="00ED7871">
        <w:trPr>
          <w:trHeight w:val="264"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rPr>
                <w:b/>
              </w:rPr>
            </w:pPr>
            <w:r w:rsidRPr="00964EB2">
              <w:rPr>
                <w:b/>
              </w:rPr>
              <w:t xml:space="preserve">                Growth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  <w:r>
              <w:rPr>
                <w:b/>
              </w:rPr>
              <w:t>PC</w:t>
            </w:r>
            <w:r w:rsidRPr="00964EB2">
              <w:rPr>
                <w:b/>
              </w:rPr>
              <w:t xml:space="preserve"> content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Nitrate uptake</w:t>
            </w:r>
          </w:p>
        </w:tc>
      </w:tr>
      <w:tr w:rsidR="00097CEB" w:rsidRPr="00964EB2" w:rsidTr="00ED7871">
        <w:trPr>
          <w:trHeight w:val="360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124.3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226.4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131.3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62.50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39.47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92.10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54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2.690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0.108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1.677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0.459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3.060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0.084</w:t>
            </w:r>
          </w:p>
        </w:tc>
      </w:tr>
      <w:tr w:rsidR="00097CEB" w:rsidRPr="00964EB2" w:rsidTr="00ED7871">
        <w:trPr>
          <w:trHeight w:val="72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Nitrite uptake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NR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NiR activity</w:t>
            </w:r>
          </w:p>
        </w:tc>
      </w:tr>
      <w:tr w:rsidR="00097CEB" w:rsidRPr="00964EB2" w:rsidTr="00ED7871">
        <w:trPr>
          <w:trHeight w:val="37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178.0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209.6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156.8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117.2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145.0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125.8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6.466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0.012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9.100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0.004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5.329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0.022</w:t>
            </w:r>
          </w:p>
        </w:tc>
      </w:tr>
      <w:tr w:rsidR="00097CEB" w:rsidRPr="00964EB2" w:rsidTr="00ED7871">
        <w:trPr>
          <w:trHeight w:val="88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GS activity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GOGAT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GDH activity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162.3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216.0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84.93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118.0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130.1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63.83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1.390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0.285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6.523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0.012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11.713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0.002</w:t>
            </w:r>
          </w:p>
        </w:tc>
      </w:tr>
      <w:tr w:rsidR="00097CEB" w:rsidRPr="00964EB2" w:rsidTr="00ED7871">
        <w:trPr>
          <w:trHeight w:val="156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gridAfter w:val="3"/>
          <w:wAfter w:w="1214" w:type="pct"/>
          <w:trHeight w:val="269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Protein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exopolysaccharide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164.4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92.38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132.2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40.69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 xml:space="preserve">Cr* </w:t>
            </w:r>
            <w:r>
              <w:t>KN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0.490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0.624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0.077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0.926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68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 w:rsidR="00097CEB" w:rsidRDefault="00097CEB" w:rsidP="00097CEB"/>
    <w:p w:rsidR="00097CEB" w:rsidRDefault="00097CEB" w:rsidP="00097CEB">
      <w:r>
        <w:rPr>
          <w:rFonts w:asciiTheme="majorHAnsi" w:hAnsiTheme="majorHAnsi"/>
        </w:rPr>
        <w:t xml:space="preserve">            </w:t>
      </w:r>
      <w:r w:rsidRPr="00964EB2">
        <w:rPr>
          <w:rFonts w:asciiTheme="majorHAnsi" w:hAnsiTheme="majorHAnsi"/>
        </w:rPr>
        <w:t xml:space="preserve">The bold </w:t>
      </w:r>
      <w:r w:rsidRPr="00374D27">
        <w:rPr>
          <w:rFonts w:asciiTheme="majorHAnsi" w:hAnsiTheme="majorHAnsi"/>
        </w:rPr>
        <w:t xml:space="preserve">P </w:t>
      </w:r>
      <w:r w:rsidRPr="00964EB2">
        <w:rPr>
          <w:rFonts w:asciiTheme="majorHAnsi" w:hAnsiTheme="majorHAnsi"/>
        </w:rPr>
        <w:t>values show significant level.</w:t>
      </w:r>
    </w:p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>
      <w:pPr>
        <w:pStyle w:val="Tab"/>
      </w:pPr>
      <w:r w:rsidRPr="006035FB">
        <w:rPr>
          <w:b/>
        </w:rPr>
        <w:lastRenderedPageBreak/>
        <w:t xml:space="preserve">Table </w:t>
      </w:r>
      <w:r>
        <w:rPr>
          <w:b/>
        </w:rPr>
        <w:t>1S-C.</w:t>
      </w:r>
      <w:r w:rsidRPr="00964EB2">
        <w:t xml:space="preserve"> </w:t>
      </w:r>
      <w:r>
        <w:tab/>
      </w:r>
      <w:r w:rsidRPr="00964EB2">
        <w:rPr>
          <w:noProof/>
        </w:rPr>
        <w:t>Two–way</w:t>
      </w:r>
      <w:r w:rsidRPr="00964EB2">
        <w:t xml:space="preserve"> ANOVA results for the individual and interactive effect of Cr</w:t>
      </w:r>
      <w:r w:rsidRPr="00964EB2">
        <w:rPr>
          <w:vertAlign w:val="superscript"/>
        </w:rPr>
        <w:t>VI</w:t>
      </w:r>
      <w:r w:rsidRPr="00964EB2">
        <w:t xml:space="preserve"> and </w:t>
      </w:r>
      <w:r>
        <w:t>KN</w:t>
      </w:r>
      <w:r w:rsidRPr="00964EB2">
        <w:t xml:space="preserve"> on growth and growth regulating </w:t>
      </w:r>
      <w:r w:rsidRPr="00964EB2">
        <w:rPr>
          <w:noProof/>
        </w:rPr>
        <w:t>parameters</w:t>
      </w:r>
      <w:r w:rsidRPr="00964EB2">
        <w:t xml:space="preserve"> of </w:t>
      </w:r>
      <w:r>
        <w:rPr>
          <w:i/>
        </w:rPr>
        <w:t>Anabaena</w:t>
      </w:r>
      <w:r w:rsidRPr="00964EB2">
        <w:t>.</w:t>
      </w:r>
    </w:p>
    <w:p w:rsidR="00097CEB" w:rsidRPr="00964EB2" w:rsidRDefault="00097CEB" w:rsidP="00097CEB">
      <w:pPr>
        <w:pStyle w:val="Tab"/>
      </w:pPr>
    </w:p>
    <w:tbl>
      <w:tblPr>
        <w:tblW w:w="4732" w:type="pct"/>
        <w:jc w:val="center"/>
        <w:tblBorders>
          <w:top w:val="single" w:sz="4" w:space="0" w:color="000000" w:themeColor="text1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546"/>
        <w:gridCol w:w="334"/>
        <w:gridCol w:w="718"/>
        <w:gridCol w:w="1150"/>
        <w:gridCol w:w="1297"/>
        <w:gridCol w:w="319"/>
        <w:gridCol w:w="683"/>
        <w:gridCol w:w="1038"/>
        <w:gridCol w:w="1120"/>
        <w:gridCol w:w="279"/>
        <w:gridCol w:w="726"/>
        <w:gridCol w:w="1294"/>
        <w:gridCol w:w="1008"/>
      </w:tblGrid>
      <w:tr w:rsidR="00097CEB" w:rsidRPr="00964EB2" w:rsidTr="00ED7871">
        <w:trPr>
          <w:trHeight w:val="276"/>
          <w:tblHeader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Variables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88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6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520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7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16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4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 xml:space="preserve">P </w:t>
            </w:r>
            <w:r w:rsidRPr="00964EB2">
              <w:rPr>
                <w:b/>
                <w:shd w:val="clear" w:color="auto" w:fill="CCFFCC"/>
              </w:rPr>
              <w:t>value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9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51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0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</w:tr>
      <w:tr w:rsidR="00097CEB" w:rsidRPr="00964EB2" w:rsidTr="00ED7871">
        <w:trPr>
          <w:trHeight w:val="271"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rPr>
                <w:b/>
              </w:rPr>
            </w:pPr>
            <w:r w:rsidRPr="00964EB2">
              <w:rPr>
                <w:b/>
              </w:rPr>
              <w:t xml:space="preserve">                Growth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  <w:r>
              <w:rPr>
                <w:b/>
              </w:rPr>
              <w:t>PC</w:t>
            </w:r>
            <w:r w:rsidRPr="00964EB2">
              <w:rPr>
                <w:b/>
              </w:rPr>
              <w:t xml:space="preserve"> content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Nitrate uptake</w:t>
            </w:r>
          </w:p>
        </w:tc>
      </w:tr>
      <w:tr w:rsidR="00097CEB" w:rsidRPr="00964EB2" w:rsidTr="00ED7871">
        <w:trPr>
          <w:trHeight w:val="37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196.8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447.0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162.5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59.07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48.02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110.2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4.252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0.760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0.489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1.884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0194</w:t>
            </w:r>
          </w:p>
        </w:tc>
      </w:tr>
      <w:tr w:rsidR="00097CEB" w:rsidRPr="00964EB2" w:rsidTr="00ED7871">
        <w:trPr>
          <w:trHeight w:val="74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Nitrite uptake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NR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NiR activity</w:t>
            </w:r>
          </w:p>
        </w:tc>
      </w:tr>
      <w:tr w:rsidR="00097CEB" w:rsidRPr="00964EB2" w:rsidTr="00ED7871">
        <w:trPr>
          <w:trHeight w:val="382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226.5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0.256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184.6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86.67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133.4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131.3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2.381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0135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3.421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0.087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2.015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0.176</w:t>
            </w:r>
          </w:p>
        </w:tc>
      </w:tr>
      <w:tr w:rsidR="00097CEB" w:rsidRPr="00964EB2" w:rsidTr="00ED7871">
        <w:trPr>
          <w:trHeight w:val="90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GS activity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GOGAT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GDH activity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191.4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270.9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118.6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83.69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113.0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71.25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0.707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0.513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3.287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0.073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10.11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0.003</w:t>
            </w:r>
          </w:p>
        </w:tc>
      </w:tr>
      <w:tr w:rsidR="00097CEB" w:rsidRPr="00964EB2" w:rsidTr="00ED7871">
        <w:trPr>
          <w:trHeight w:val="161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gridAfter w:val="3"/>
          <w:wAfter w:w="1214" w:type="pct"/>
          <w:trHeight w:val="276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Protein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exopolysaccharide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224.2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82.14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137.4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25.50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76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 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1.609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0.240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0.618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0.5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70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 w:rsidR="00097CEB" w:rsidRDefault="00097CEB" w:rsidP="00097CEB"/>
    <w:p w:rsidR="00097CEB" w:rsidRDefault="00097CEB" w:rsidP="00097CEB">
      <w:r>
        <w:rPr>
          <w:rFonts w:asciiTheme="majorHAnsi" w:hAnsiTheme="majorHAnsi"/>
        </w:rPr>
        <w:t xml:space="preserve">         </w:t>
      </w:r>
      <w:r w:rsidRPr="00964EB2">
        <w:rPr>
          <w:rFonts w:asciiTheme="majorHAnsi" w:hAnsiTheme="majorHAnsi"/>
        </w:rPr>
        <w:t xml:space="preserve">The bold </w:t>
      </w:r>
      <w:r w:rsidRPr="00374D27">
        <w:rPr>
          <w:rFonts w:asciiTheme="majorHAnsi" w:hAnsiTheme="majorHAnsi"/>
        </w:rPr>
        <w:t xml:space="preserve">P </w:t>
      </w:r>
      <w:r w:rsidRPr="00964EB2">
        <w:rPr>
          <w:rFonts w:asciiTheme="majorHAnsi" w:hAnsiTheme="majorHAnsi"/>
        </w:rPr>
        <w:t>values show significant level.</w:t>
      </w:r>
    </w:p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>
      <w:pPr>
        <w:pStyle w:val="Tab"/>
      </w:pPr>
      <w:r w:rsidRPr="006035FB">
        <w:rPr>
          <w:b/>
        </w:rPr>
        <w:lastRenderedPageBreak/>
        <w:t xml:space="preserve">Table </w:t>
      </w:r>
      <w:r>
        <w:rPr>
          <w:b/>
        </w:rPr>
        <w:t>1S-D.</w:t>
      </w:r>
      <w:r w:rsidRPr="00964EB2">
        <w:t xml:space="preserve"> </w:t>
      </w:r>
      <w:r>
        <w:tab/>
      </w:r>
      <w:r w:rsidRPr="00964EB2">
        <w:rPr>
          <w:noProof/>
        </w:rPr>
        <w:t>Two–way</w:t>
      </w:r>
      <w:r w:rsidRPr="00964EB2">
        <w:t xml:space="preserve"> ANOVA results for the individual and interactive effect of Cr</w:t>
      </w:r>
      <w:r w:rsidRPr="00964EB2">
        <w:rPr>
          <w:vertAlign w:val="superscript"/>
        </w:rPr>
        <w:t>VI</w:t>
      </w:r>
      <w:r w:rsidRPr="00964EB2">
        <w:t xml:space="preserve"> and </w:t>
      </w:r>
      <w:r>
        <w:t>IAA</w:t>
      </w:r>
      <w:r w:rsidRPr="00964EB2">
        <w:t xml:space="preserve"> on growth and growth regulating </w:t>
      </w:r>
      <w:r w:rsidRPr="00964EB2">
        <w:rPr>
          <w:noProof/>
        </w:rPr>
        <w:t>parameters</w:t>
      </w:r>
      <w:r w:rsidRPr="00964EB2">
        <w:t xml:space="preserve"> of </w:t>
      </w:r>
      <w:r>
        <w:rPr>
          <w:i/>
        </w:rPr>
        <w:t>Anabaena</w:t>
      </w:r>
      <w:r w:rsidRPr="00964EB2">
        <w:t>.</w:t>
      </w:r>
    </w:p>
    <w:p w:rsidR="00097CEB" w:rsidRDefault="00097CEB" w:rsidP="00097CEB"/>
    <w:tbl>
      <w:tblPr>
        <w:tblW w:w="4322" w:type="pct"/>
        <w:jc w:val="center"/>
        <w:tblBorders>
          <w:top w:val="single" w:sz="4" w:space="0" w:color="000000" w:themeColor="text1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1412"/>
        <w:gridCol w:w="305"/>
        <w:gridCol w:w="656"/>
        <w:gridCol w:w="1050"/>
        <w:gridCol w:w="1184"/>
        <w:gridCol w:w="292"/>
        <w:gridCol w:w="624"/>
        <w:gridCol w:w="948"/>
        <w:gridCol w:w="1023"/>
        <w:gridCol w:w="255"/>
        <w:gridCol w:w="663"/>
        <w:gridCol w:w="1182"/>
        <w:gridCol w:w="920"/>
      </w:tblGrid>
      <w:tr w:rsidR="00097CEB" w:rsidRPr="00964EB2" w:rsidTr="00ED7871">
        <w:trPr>
          <w:trHeight w:val="269"/>
          <w:tblHeader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Variables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88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6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520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7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416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4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 xml:space="preserve">P </w:t>
            </w:r>
            <w:r w:rsidRPr="00964EB2">
              <w:rPr>
                <w:b/>
                <w:shd w:val="clear" w:color="auto" w:fill="CCFFCC"/>
              </w:rPr>
              <w:t>value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291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proofErr w:type="spellStart"/>
            <w:r w:rsidRPr="00964EB2">
              <w:rPr>
                <w:b/>
              </w:rPr>
              <w:t>df</w:t>
            </w:r>
            <w:proofErr w:type="spellEnd"/>
          </w:p>
        </w:tc>
        <w:tc>
          <w:tcPr>
            <w:tcW w:w="519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F</w:t>
            </w:r>
          </w:p>
        </w:tc>
        <w:tc>
          <w:tcPr>
            <w:tcW w:w="404" w:type="pct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374D27">
              <w:rPr>
                <w:b/>
              </w:rPr>
              <w:t>P</w:t>
            </w:r>
            <w:r w:rsidRPr="00964EB2">
              <w:rPr>
                <w:b/>
              </w:rPr>
              <w:t xml:space="preserve"> value</w:t>
            </w:r>
          </w:p>
        </w:tc>
      </w:tr>
      <w:tr w:rsidR="00097CEB" w:rsidRPr="00964EB2" w:rsidTr="00ED7871">
        <w:trPr>
          <w:trHeight w:val="264"/>
          <w:jc w:val="center"/>
        </w:trPr>
        <w:tc>
          <w:tcPr>
            <w:tcW w:w="1004" w:type="pct"/>
            <w:gridSpan w:val="2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rPr>
                <w:b/>
              </w:rPr>
            </w:pPr>
            <w:r w:rsidRPr="00964EB2">
              <w:rPr>
                <w:b/>
              </w:rPr>
              <w:t xml:space="preserve">                Growth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  <w:r>
              <w:rPr>
                <w:b/>
              </w:rPr>
              <w:t>PC</w:t>
            </w:r>
            <w:r w:rsidRPr="00964EB2">
              <w:rPr>
                <w:b/>
              </w:rPr>
              <w:t xml:space="preserve"> content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Nitrate uptake</w:t>
            </w:r>
          </w:p>
        </w:tc>
      </w:tr>
      <w:tr w:rsidR="00097CEB" w:rsidRPr="00964EB2" w:rsidTr="00ED7871">
        <w:trPr>
          <w:trHeight w:val="360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256.5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570.3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130.8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29.93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28.46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28.73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</w:tr>
      <w:tr w:rsidR="00097CEB" w:rsidRPr="00964EB2" w:rsidTr="00ED7871">
        <w:trPr>
          <w:trHeight w:val="254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3.219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  <w:lang w:val="en-IN"/>
              </w:rPr>
              <w:t>&lt;</w:t>
            </w:r>
            <w:r w:rsidRPr="00964EB2">
              <w:rPr>
                <w:sz w:val="20"/>
                <w:szCs w:val="20"/>
              </w:rPr>
              <w:t>0.076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1.048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0.381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0.632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0.549</w:t>
            </w:r>
          </w:p>
        </w:tc>
      </w:tr>
      <w:tr w:rsidR="00097CEB" w:rsidRPr="00964EB2" w:rsidTr="00ED7871">
        <w:trPr>
          <w:trHeight w:val="72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Nitrite uptake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NR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NiR activity</w:t>
            </w:r>
          </w:p>
        </w:tc>
      </w:tr>
      <w:tr w:rsidR="00097CEB" w:rsidRPr="00964EB2" w:rsidTr="00ED7871">
        <w:trPr>
          <w:trHeight w:val="371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162.7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249.7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178.7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43.35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52.99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55.84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0.000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1.053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0.379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3.648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0.058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1.198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0.335</w:t>
            </w:r>
          </w:p>
        </w:tc>
      </w:tr>
      <w:tr w:rsidR="00097CEB" w:rsidRPr="00964EB2" w:rsidTr="00ED7871">
        <w:trPr>
          <w:trHeight w:val="88"/>
          <w:jc w:val="center"/>
        </w:trPr>
        <w:tc>
          <w:tcPr>
            <w:tcW w:w="384" w:type="pct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  <w:tc>
          <w:tcPr>
            <w:tcW w:w="4616" w:type="pct"/>
            <w:gridSpan w:val="13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GS activity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GOGAT activity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214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GDH activity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156.4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230.1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125.4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24.43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34.04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21.75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Cr*</w:t>
            </w: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0.159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0.855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1.553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0.251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3.595</w:t>
            </w: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</w:rPr>
              <w:t>0.060</w:t>
            </w:r>
          </w:p>
        </w:tc>
      </w:tr>
      <w:tr w:rsidR="00097CEB" w:rsidRPr="00964EB2" w:rsidTr="00ED7871">
        <w:trPr>
          <w:trHeight w:val="156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  <w:tr w:rsidR="00097CEB" w:rsidRPr="00964EB2" w:rsidTr="00ED7871">
        <w:trPr>
          <w:gridAfter w:val="3"/>
          <w:wAfter w:w="1214" w:type="pct"/>
          <w:trHeight w:val="269"/>
          <w:jc w:val="center"/>
        </w:trPr>
        <w:tc>
          <w:tcPr>
            <w:tcW w:w="1004" w:type="pct"/>
            <w:gridSpan w:val="2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</w:pP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Protein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</w:pPr>
          </w:p>
        </w:tc>
        <w:tc>
          <w:tcPr>
            <w:tcW w:w="1139" w:type="pct"/>
            <w:gridSpan w:val="3"/>
            <w:shd w:val="clear" w:color="auto" w:fill="CCFFCC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</w:rPr>
            </w:pPr>
            <w:r w:rsidRPr="00964EB2">
              <w:rPr>
                <w:b/>
              </w:rPr>
              <w:t>exopolysaccharide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  <w:spacing w:before="120"/>
            </w:pPr>
            <w:r w:rsidRPr="00964EB2">
              <w:t>Cr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178.5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78.70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b/>
                <w:sz w:val="20"/>
                <w:szCs w:val="20"/>
                <w:lang w:val="en-IN"/>
              </w:rPr>
            </w:pPr>
          </w:p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44.49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0.001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1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5.647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b/>
                <w:sz w:val="20"/>
                <w:szCs w:val="20"/>
                <w:lang w:val="en-IN"/>
              </w:rPr>
              <w:t>&lt;</w:t>
            </w:r>
            <w:r w:rsidRPr="00964EB2">
              <w:rPr>
                <w:b/>
                <w:sz w:val="20"/>
                <w:szCs w:val="20"/>
              </w:rPr>
              <w:t>0.035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269"/>
          <w:jc w:val="center"/>
        </w:trPr>
        <w:tc>
          <w:tcPr>
            <w:tcW w:w="1004" w:type="pct"/>
            <w:gridSpan w:val="2"/>
            <w:shd w:val="clear" w:color="auto" w:fill="FDE9D9" w:themeFill="accent6" w:themeFillTint="33"/>
          </w:tcPr>
          <w:p w:rsidR="00097CEB" w:rsidRPr="00964EB2" w:rsidRDefault="00097CEB" w:rsidP="00ED7871">
            <w:pPr>
              <w:keepNext/>
              <w:widowControl w:val="0"/>
            </w:pPr>
            <w:r w:rsidRPr="00964EB2">
              <w:t xml:space="preserve">Cr* </w:t>
            </w:r>
            <w:r>
              <w:t>IAA</w:t>
            </w:r>
          </w:p>
        </w:tc>
        <w:tc>
          <w:tcPr>
            <w:tcW w:w="13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8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61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0.750</w:t>
            </w:r>
          </w:p>
        </w:tc>
        <w:tc>
          <w:tcPr>
            <w:tcW w:w="520" w:type="pct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0.493</w:t>
            </w:r>
          </w:p>
        </w:tc>
        <w:tc>
          <w:tcPr>
            <w:tcW w:w="128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2</w:t>
            </w:r>
          </w:p>
        </w:tc>
        <w:tc>
          <w:tcPr>
            <w:tcW w:w="416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0.353</w:t>
            </w:r>
          </w:p>
        </w:tc>
        <w:tc>
          <w:tcPr>
            <w:tcW w:w="44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  <w:r w:rsidRPr="00964EB2">
              <w:rPr>
                <w:sz w:val="20"/>
                <w:szCs w:val="20"/>
              </w:rPr>
              <w:t>0.710</w:t>
            </w:r>
          </w:p>
        </w:tc>
        <w:tc>
          <w:tcPr>
            <w:tcW w:w="112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097CEB" w:rsidRPr="00964EB2" w:rsidTr="00ED7871">
        <w:trPr>
          <w:trHeight w:val="68"/>
          <w:jc w:val="center"/>
        </w:trPr>
        <w:tc>
          <w:tcPr>
            <w:tcW w:w="5000" w:type="pct"/>
            <w:gridSpan w:val="14"/>
            <w:shd w:val="clear" w:color="auto" w:fill="auto"/>
          </w:tcPr>
          <w:p w:rsidR="00097CEB" w:rsidRPr="00964EB2" w:rsidRDefault="00097CEB" w:rsidP="00ED7871">
            <w:pPr>
              <w:keepNext/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 w:rsidR="00097CEB" w:rsidRDefault="00097CEB" w:rsidP="00097CEB">
      <w:r>
        <w:rPr>
          <w:rFonts w:asciiTheme="majorHAnsi" w:hAnsiTheme="majorHAnsi"/>
        </w:rPr>
        <w:t xml:space="preserve">         </w:t>
      </w:r>
      <w:r w:rsidRPr="00964EB2">
        <w:rPr>
          <w:rFonts w:asciiTheme="majorHAnsi" w:hAnsiTheme="majorHAnsi"/>
        </w:rPr>
        <w:t xml:space="preserve">The bold </w:t>
      </w:r>
      <w:r w:rsidRPr="00374D27">
        <w:rPr>
          <w:rFonts w:asciiTheme="majorHAnsi" w:hAnsiTheme="majorHAnsi"/>
        </w:rPr>
        <w:t xml:space="preserve">P </w:t>
      </w:r>
      <w:r w:rsidRPr="00964EB2">
        <w:rPr>
          <w:rFonts w:asciiTheme="majorHAnsi" w:hAnsiTheme="majorHAnsi"/>
        </w:rPr>
        <w:t>values show significant level.</w:t>
      </w:r>
    </w:p>
    <w:p w:rsidR="00097CEB" w:rsidRDefault="00097CEB" w:rsidP="00097CEB"/>
    <w:p w:rsidR="00097CEB" w:rsidRDefault="00097CEB" w:rsidP="00097CEB"/>
    <w:p w:rsidR="00097CEB" w:rsidRDefault="00097CEB" w:rsidP="00097CEB"/>
    <w:p w:rsidR="00097CEB" w:rsidRDefault="00097CEB" w:rsidP="00097CEB"/>
    <w:p w:rsidR="00682F48" w:rsidRDefault="00682F48">
      <w:bookmarkStart w:id="2" w:name="_GoBack"/>
      <w:bookmarkEnd w:id="2"/>
    </w:p>
    <w:sectPr w:rsidR="00682F48" w:rsidSect="001349B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Q0NDaxMDKysDC2NDZQ0lEKTi0uzszPAykwrAUActiniywAAAA="/>
  </w:docVars>
  <w:rsids>
    <w:rsidRoot w:val="00DE22F0"/>
    <w:rsid w:val="00097CEB"/>
    <w:rsid w:val="00682F48"/>
    <w:rsid w:val="00DE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097CEB"/>
    <w:pPr>
      <w:spacing w:before="100" w:beforeAutospacing="1" w:after="100" w:afterAutospacing="1"/>
    </w:pPr>
    <w:rPr>
      <w:lang w:val="en-IN" w:eastAsia="en-IN"/>
    </w:rPr>
  </w:style>
  <w:style w:type="character" w:customStyle="1" w:styleId="NormalWebChar">
    <w:name w:val="Normal (Web) Char"/>
    <w:basedOn w:val="DefaultParagraphFont"/>
    <w:link w:val="NormalWeb"/>
    <w:uiPriority w:val="99"/>
    <w:rsid w:val="00097CEB"/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table" w:styleId="TableGrid">
    <w:name w:val="Table Grid"/>
    <w:basedOn w:val="TableNormal"/>
    <w:uiPriority w:val="59"/>
    <w:rsid w:val="00097C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">
    <w:name w:val="Tab"/>
    <w:basedOn w:val="Normal"/>
    <w:link w:val="TabChar"/>
    <w:qFormat/>
    <w:rsid w:val="00097CEB"/>
    <w:pPr>
      <w:tabs>
        <w:tab w:val="left" w:pos="1080"/>
      </w:tabs>
      <w:spacing w:line="276" w:lineRule="auto"/>
      <w:ind w:left="1080" w:hanging="1080"/>
      <w:jc w:val="both"/>
    </w:pPr>
  </w:style>
  <w:style w:type="character" w:customStyle="1" w:styleId="TabChar">
    <w:name w:val="Tab Char"/>
    <w:basedOn w:val="DefaultParagraphFont"/>
    <w:link w:val="Tab"/>
    <w:rsid w:val="00097CEB"/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097CEB"/>
  </w:style>
  <w:style w:type="paragraph" w:styleId="NoSpacing">
    <w:name w:val="No Spacing"/>
    <w:link w:val="NoSpacingChar"/>
    <w:uiPriority w:val="1"/>
    <w:qFormat/>
    <w:rsid w:val="00097C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097CEB"/>
    <w:pPr>
      <w:spacing w:before="100" w:beforeAutospacing="1" w:after="100" w:afterAutospacing="1"/>
    </w:pPr>
    <w:rPr>
      <w:lang w:val="en-IN" w:eastAsia="en-IN"/>
    </w:rPr>
  </w:style>
  <w:style w:type="character" w:customStyle="1" w:styleId="NormalWebChar">
    <w:name w:val="Normal (Web) Char"/>
    <w:basedOn w:val="DefaultParagraphFont"/>
    <w:link w:val="NormalWeb"/>
    <w:uiPriority w:val="99"/>
    <w:rsid w:val="00097CEB"/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table" w:styleId="TableGrid">
    <w:name w:val="Table Grid"/>
    <w:basedOn w:val="TableNormal"/>
    <w:uiPriority w:val="59"/>
    <w:rsid w:val="00097C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">
    <w:name w:val="Tab"/>
    <w:basedOn w:val="Normal"/>
    <w:link w:val="TabChar"/>
    <w:qFormat/>
    <w:rsid w:val="00097CEB"/>
    <w:pPr>
      <w:tabs>
        <w:tab w:val="left" w:pos="1080"/>
      </w:tabs>
      <w:spacing w:line="276" w:lineRule="auto"/>
      <w:ind w:left="1080" w:hanging="1080"/>
      <w:jc w:val="both"/>
    </w:pPr>
  </w:style>
  <w:style w:type="character" w:customStyle="1" w:styleId="TabChar">
    <w:name w:val="Tab Char"/>
    <w:basedOn w:val="DefaultParagraphFont"/>
    <w:link w:val="Tab"/>
    <w:rsid w:val="00097CEB"/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097CEB"/>
  </w:style>
  <w:style w:type="paragraph" w:styleId="NoSpacing">
    <w:name w:val="No Spacing"/>
    <w:link w:val="NoSpacingChar"/>
    <w:uiPriority w:val="1"/>
    <w:qFormat/>
    <w:rsid w:val="00097C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628</Words>
  <Characters>3581</Characters>
  <Application>Microsoft Office Word</Application>
  <DocSecurity>0</DocSecurity>
  <Lines>29</Lines>
  <Paragraphs>8</Paragraphs>
  <ScaleCrop>false</ScaleCrop>
  <Company>Hewlett-Packard</Company>
  <LinksUpToDate>false</LinksUpToDate>
  <CharactersWithSpaces>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2019-12-04T06:11:00Z</dcterms:created>
  <dcterms:modified xsi:type="dcterms:W3CDTF">2019-12-04T06:11:00Z</dcterms:modified>
</cp:coreProperties>
</file>