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F3309F" w14:textId="77777777"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12"/>
        <w:gridCol w:w="656"/>
        <w:gridCol w:w="6338"/>
        <w:gridCol w:w="635"/>
      </w:tblGrid>
      <w:tr w:rsidR="002E661E" w:rsidRPr="0022554A" w14:paraId="5A337AA6" w14:textId="77777777" w:rsidTr="00F968F7">
        <w:tc>
          <w:tcPr>
            <w:tcW w:w="0" w:type="auto"/>
          </w:tcPr>
          <w:p w14:paraId="219D0B2C" w14:textId="77777777"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14:paraId="20C24E6F"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5947BBAF"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2FF80DBB"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2E661E" w:rsidRPr="0022554A" w14:paraId="2F567BBD" w14:textId="77777777" w:rsidTr="00F968F7">
        <w:tc>
          <w:tcPr>
            <w:tcW w:w="0" w:type="auto"/>
            <w:vMerge w:val="restart"/>
          </w:tcPr>
          <w:p w14:paraId="03F52998" w14:textId="77777777"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14:paraId="6F496649"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6DE5F5F4" w14:textId="5011EEC8" w:rsidR="00F968F7" w:rsidRPr="00F54120" w:rsidRDefault="00F968F7" w:rsidP="006B64CF">
            <w:pPr>
              <w:spacing w:line="240" w:lineRule="auto"/>
              <w:jc w:val="both"/>
              <w:rPr>
                <w:b/>
                <w:szCs w:val="24"/>
              </w:rPr>
            </w:pPr>
            <w:r w:rsidRPr="006B64CF">
              <w:rPr>
                <w:szCs w:val="24"/>
              </w:rPr>
              <w:t>(a)</w:t>
            </w:r>
            <w:r w:rsidRPr="00F54120">
              <w:rPr>
                <w:szCs w:val="24"/>
              </w:rPr>
              <w:t xml:space="preserve"> </w:t>
            </w:r>
            <w:r w:rsidR="006B64CF" w:rsidRPr="006B64CF">
              <w:rPr>
                <w:sz w:val="20"/>
              </w:rPr>
              <w:t>A cross-sectional study was conducted to determine the prevalence, intensity of infection, hepatosplenic morbidities and their associated factors among the population of Ijinga Island, north-western Tanzania.</w:t>
            </w:r>
          </w:p>
        </w:tc>
        <w:tc>
          <w:tcPr>
            <w:tcW w:w="0" w:type="auto"/>
            <w:tcBorders>
              <w:top w:val="single" w:sz="4" w:space="0" w:color="auto"/>
              <w:left w:val="single" w:sz="4" w:space="0" w:color="auto"/>
              <w:bottom w:val="single" w:sz="4" w:space="0" w:color="auto"/>
            </w:tcBorders>
          </w:tcPr>
          <w:p w14:paraId="2A198029" w14:textId="152A98EF" w:rsidR="00F968F7" w:rsidRPr="0022554A" w:rsidRDefault="00F54120" w:rsidP="0022554A">
            <w:pPr>
              <w:tabs>
                <w:tab w:val="left" w:pos="5400"/>
              </w:tabs>
              <w:rPr>
                <w:sz w:val="20"/>
              </w:rPr>
            </w:pPr>
            <w:r>
              <w:rPr>
                <w:sz w:val="20"/>
              </w:rPr>
              <w:t>1-</w:t>
            </w:r>
            <w:r w:rsidR="00237890">
              <w:rPr>
                <w:sz w:val="20"/>
              </w:rPr>
              <w:t>4</w:t>
            </w:r>
          </w:p>
        </w:tc>
      </w:tr>
      <w:tr w:rsidR="002E661E" w:rsidRPr="0022554A" w14:paraId="454EE4CB" w14:textId="77777777" w:rsidTr="00F968F7">
        <w:tc>
          <w:tcPr>
            <w:tcW w:w="0" w:type="auto"/>
            <w:vMerge/>
          </w:tcPr>
          <w:p w14:paraId="23D5C925" w14:textId="77777777"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14:paraId="5B924ED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6E80D2A" w14:textId="30199158" w:rsidR="00F968F7" w:rsidRPr="00F54120" w:rsidRDefault="00F968F7" w:rsidP="006B64CF">
            <w:pPr>
              <w:spacing w:line="240" w:lineRule="auto"/>
              <w:jc w:val="both"/>
              <w:rPr>
                <w:szCs w:val="24"/>
              </w:rPr>
            </w:pPr>
            <w:r w:rsidRPr="00F54120">
              <w:rPr>
                <w:szCs w:val="24"/>
              </w:rPr>
              <w:t>(</w:t>
            </w:r>
            <w:r w:rsidRPr="00F54120">
              <w:rPr>
                <w:i/>
                <w:szCs w:val="24"/>
              </w:rPr>
              <w:t>b</w:t>
            </w:r>
            <w:r w:rsidRPr="00F54120">
              <w:rPr>
                <w:szCs w:val="24"/>
              </w:rPr>
              <w:t xml:space="preserve">) </w:t>
            </w:r>
            <w:r w:rsidR="006B64CF" w:rsidRPr="006B64CF">
              <w:rPr>
                <w:sz w:val="20"/>
              </w:rPr>
              <w:t xml:space="preserve">Single stool and urine samples were collected from each study participant and processed using Kato Katz (KK) technique and point-of-care Circulating Cathodic (POC-CCA) antigen test for detection of </w:t>
            </w:r>
            <w:r w:rsidR="006B64CF" w:rsidRPr="006B64CF">
              <w:rPr>
                <w:i/>
                <w:sz w:val="20"/>
              </w:rPr>
              <w:t>S.</w:t>
            </w:r>
            <w:r w:rsidR="006B64CF">
              <w:rPr>
                <w:i/>
                <w:sz w:val="20"/>
              </w:rPr>
              <w:t xml:space="preserve"> </w:t>
            </w:r>
            <w:r w:rsidR="006B64CF" w:rsidRPr="006B64CF">
              <w:rPr>
                <w:i/>
                <w:sz w:val="20"/>
              </w:rPr>
              <w:t>mansoni</w:t>
            </w:r>
            <w:r w:rsidR="006B64CF" w:rsidRPr="006B64CF">
              <w:rPr>
                <w:sz w:val="20"/>
              </w:rPr>
              <w:t xml:space="preserve"> eggs and antigen. Ultrasonographical examination for </w:t>
            </w:r>
            <w:r w:rsidR="006B64CF" w:rsidRPr="006B64CF">
              <w:rPr>
                <w:i/>
                <w:sz w:val="20"/>
              </w:rPr>
              <w:t>S.</w:t>
            </w:r>
            <w:r w:rsidR="006B64CF">
              <w:rPr>
                <w:i/>
                <w:sz w:val="20"/>
              </w:rPr>
              <w:t xml:space="preserve"> </w:t>
            </w:r>
            <w:r w:rsidR="006B64CF" w:rsidRPr="006B64CF">
              <w:rPr>
                <w:i/>
                <w:sz w:val="20"/>
              </w:rPr>
              <w:t>mansoni</w:t>
            </w:r>
            <w:r w:rsidR="006B64CF" w:rsidRPr="006B64CF">
              <w:rPr>
                <w:sz w:val="20"/>
              </w:rPr>
              <w:t xml:space="preserve"> hepatosplenic morbidities was done to all participants. Overall based on KK technique and POC-CCA test, 68.9% (95%CI: 65.8-71.8) and 94.5% (95%CI: 92.8-95.8) were infected with </w:t>
            </w:r>
            <w:r w:rsidR="006B64CF" w:rsidRPr="006B64CF">
              <w:rPr>
                <w:i/>
                <w:sz w:val="20"/>
              </w:rPr>
              <w:t>S.</w:t>
            </w:r>
            <w:r w:rsidR="006B64CF">
              <w:rPr>
                <w:i/>
                <w:sz w:val="20"/>
              </w:rPr>
              <w:t xml:space="preserve"> </w:t>
            </w:r>
            <w:r w:rsidR="006B64CF" w:rsidRPr="006B64CF">
              <w:rPr>
                <w:i/>
                <w:sz w:val="20"/>
              </w:rPr>
              <w:t>mansoni</w:t>
            </w:r>
            <w:r w:rsidR="006B64CF" w:rsidRPr="006B64CF">
              <w:rPr>
                <w:sz w:val="20"/>
              </w:rPr>
              <w:t>.</w:t>
            </w:r>
          </w:p>
        </w:tc>
        <w:tc>
          <w:tcPr>
            <w:tcW w:w="0" w:type="auto"/>
            <w:tcBorders>
              <w:top w:val="single" w:sz="4" w:space="0" w:color="auto"/>
              <w:left w:val="single" w:sz="4" w:space="0" w:color="auto"/>
              <w:bottom w:val="single" w:sz="4" w:space="0" w:color="auto"/>
            </w:tcBorders>
          </w:tcPr>
          <w:p w14:paraId="5F4DC36C" w14:textId="77777777" w:rsidR="00F968F7" w:rsidRPr="0022554A" w:rsidRDefault="00F968F7" w:rsidP="0022554A">
            <w:pPr>
              <w:tabs>
                <w:tab w:val="left" w:pos="5400"/>
              </w:tabs>
              <w:rPr>
                <w:sz w:val="20"/>
              </w:rPr>
            </w:pPr>
          </w:p>
        </w:tc>
      </w:tr>
      <w:tr w:rsidR="00F968F7" w:rsidRPr="0022554A" w14:paraId="2CB191E8" w14:textId="77777777" w:rsidTr="00666F94">
        <w:tc>
          <w:tcPr>
            <w:tcW w:w="0" w:type="auto"/>
            <w:gridSpan w:val="4"/>
          </w:tcPr>
          <w:p w14:paraId="7EAC226C" w14:textId="77777777"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2E661E" w:rsidRPr="0022554A" w14:paraId="6DE9FA1E" w14:textId="77777777" w:rsidTr="00F968F7">
        <w:tc>
          <w:tcPr>
            <w:tcW w:w="0" w:type="auto"/>
          </w:tcPr>
          <w:p w14:paraId="333730BF" w14:textId="77777777"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14:paraId="6755E374"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6503D1B3" w14:textId="716E256E" w:rsidR="00F968F7" w:rsidRPr="006B64CF" w:rsidRDefault="006B64CF" w:rsidP="00F54120">
            <w:pPr>
              <w:tabs>
                <w:tab w:val="left" w:pos="5400"/>
              </w:tabs>
              <w:jc w:val="both"/>
              <w:rPr>
                <w:sz w:val="20"/>
              </w:rPr>
            </w:pPr>
            <w:r w:rsidRPr="006B64CF">
              <w:rPr>
                <w:sz w:val="20"/>
              </w:rPr>
              <w:t xml:space="preserve">Schistosomiasis is a neglected tropical disease which is highly prevalent in sub-Saharan Africa. An estimated 93% of the approximated 290 million people affected by the disease worldwide are living in the region. The World Health Organization data indicate that after Nigeria, Tanzania has the highest number of schistosomiasis cases in sub Saharan Africa.  In 2012 it was estimated that about 52% of the Tanzanian population (23 million people) are infected with schistosomiasis. However, in Tanzania, many areas remain unmapped and the prevalence of the disease and its related morbidities remain unknown. In addition, schistosomiasis control in Tanzania focus </w:t>
            </w:r>
            <w:r>
              <w:rPr>
                <w:sz w:val="20"/>
              </w:rPr>
              <w:t xml:space="preserve">only </w:t>
            </w:r>
            <w:r w:rsidRPr="006B64CF">
              <w:rPr>
                <w:sz w:val="20"/>
              </w:rPr>
              <w:t xml:space="preserve">on mass drug administration </w:t>
            </w:r>
            <w:r>
              <w:rPr>
                <w:sz w:val="20"/>
              </w:rPr>
              <w:t>and other public health measures are not included. Our project aims to integrate mass drug administration and other measures. Here we report baseline results before implementing the interventions.</w:t>
            </w:r>
          </w:p>
        </w:tc>
        <w:tc>
          <w:tcPr>
            <w:tcW w:w="0" w:type="auto"/>
            <w:tcBorders>
              <w:top w:val="single" w:sz="4" w:space="0" w:color="auto"/>
              <w:left w:val="single" w:sz="4" w:space="0" w:color="auto"/>
              <w:bottom w:val="single" w:sz="4" w:space="0" w:color="auto"/>
            </w:tcBorders>
          </w:tcPr>
          <w:p w14:paraId="5E90A3D5" w14:textId="3851978E" w:rsidR="00F968F7" w:rsidRPr="0022554A" w:rsidRDefault="00F54120" w:rsidP="0022554A">
            <w:pPr>
              <w:tabs>
                <w:tab w:val="left" w:pos="5400"/>
              </w:tabs>
              <w:rPr>
                <w:sz w:val="20"/>
              </w:rPr>
            </w:pPr>
            <w:r>
              <w:rPr>
                <w:sz w:val="20"/>
              </w:rPr>
              <w:t>4</w:t>
            </w:r>
            <w:r w:rsidR="00237890">
              <w:rPr>
                <w:sz w:val="20"/>
              </w:rPr>
              <w:t>-6</w:t>
            </w:r>
          </w:p>
        </w:tc>
      </w:tr>
      <w:tr w:rsidR="002E661E" w:rsidRPr="0022554A" w14:paraId="35ACE3F3" w14:textId="77777777" w:rsidTr="00F968F7">
        <w:tc>
          <w:tcPr>
            <w:tcW w:w="0" w:type="auto"/>
          </w:tcPr>
          <w:p w14:paraId="442D45A3" w14:textId="77777777"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14:paraId="17D5580F" w14:textId="77777777" w:rsidR="00F968F7" w:rsidRPr="005853F8" w:rsidRDefault="00F968F7" w:rsidP="005853F8">
            <w:pPr>
              <w:tabs>
                <w:tab w:val="left" w:pos="5400"/>
              </w:tabs>
              <w:spacing w:line="240" w:lineRule="auto"/>
              <w:jc w:val="center"/>
              <w:rPr>
                <w:sz w:val="20"/>
              </w:rPr>
            </w:pPr>
            <w:r w:rsidRPr="005853F8">
              <w:rPr>
                <w:sz w:val="20"/>
              </w:rPr>
              <w:t>3</w:t>
            </w:r>
          </w:p>
        </w:tc>
        <w:tc>
          <w:tcPr>
            <w:tcW w:w="0" w:type="auto"/>
            <w:tcBorders>
              <w:right w:val="single" w:sz="4" w:space="0" w:color="auto"/>
            </w:tcBorders>
          </w:tcPr>
          <w:p w14:paraId="6E9FE2C1" w14:textId="24A148FE" w:rsidR="00F968F7" w:rsidRPr="005853F8" w:rsidRDefault="00F54120" w:rsidP="005853F8">
            <w:pPr>
              <w:spacing w:line="240" w:lineRule="auto"/>
              <w:jc w:val="both"/>
              <w:rPr>
                <w:sz w:val="20"/>
              </w:rPr>
            </w:pPr>
            <w:r w:rsidRPr="005853F8">
              <w:rPr>
                <w:iCs/>
                <w:sz w:val="20"/>
                <w:lang w:val="en-US"/>
              </w:rPr>
              <w:t xml:space="preserve">To determine </w:t>
            </w:r>
            <w:r w:rsidR="005853F8" w:rsidRPr="005853F8">
              <w:rPr>
                <w:i/>
                <w:sz w:val="20"/>
              </w:rPr>
              <w:t>S.mansoni</w:t>
            </w:r>
            <w:r w:rsidR="005853F8" w:rsidRPr="005853F8">
              <w:rPr>
                <w:sz w:val="20"/>
              </w:rPr>
              <w:t xml:space="preserve"> prevalence, intensity of infection, related hepatosplenic morbidities and their associated factors.</w:t>
            </w:r>
          </w:p>
        </w:tc>
        <w:tc>
          <w:tcPr>
            <w:tcW w:w="0" w:type="auto"/>
            <w:tcBorders>
              <w:top w:val="single" w:sz="4" w:space="0" w:color="auto"/>
              <w:left w:val="single" w:sz="4" w:space="0" w:color="auto"/>
              <w:bottom w:val="single" w:sz="4" w:space="0" w:color="auto"/>
            </w:tcBorders>
          </w:tcPr>
          <w:p w14:paraId="06CB05DF" w14:textId="2618E615" w:rsidR="00F968F7" w:rsidRPr="0022554A" w:rsidRDefault="00237890" w:rsidP="0022554A">
            <w:pPr>
              <w:tabs>
                <w:tab w:val="left" w:pos="5400"/>
              </w:tabs>
              <w:rPr>
                <w:sz w:val="20"/>
              </w:rPr>
            </w:pPr>
            <w:r>
              <w:rPr>
                <w:sz w:val="20"/>
              </w:rPr>
              <w:t>4</w:t>
            </w:r>
          </w:p>
        </w:tc>
      </w:tr>
      <w:tr w:rsidR="00F968F7" w:rsidRPr="0022554A" w14:paraId="70532BDB" w14:textId="77777777" w:rsidTr="0075581F">
        <w:tc>
          <w:tcPr>
            <w:tcW w:w="0" w:type="auto"/>
            <w:gridSpan w:val="4"/>
          </w:tcPr>
          <w:p w14:paraId="44B1B400" w14:textId="77777777"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2E661E" w:rsidRPr="0022554A" w14:paraId="41B7BFA6" w14:textId="77777777" w:rsidTr="00F968F7">
        <w:tc>
          <w:tcPr>
            <w:tcW w:w="0" w:type="auto"/>
          </w:tcPr>
          <w:p w14:paraId="41C651D1" w14:textId="77777777"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14:paraId="703D9012"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04CCF7E1" w14:textId="51BEED0C" w:rsidR="00F968F7" w:rsidRPr="0022554A" w:rsidRDefault="002E661E" w:rsidP="0022554A">
            <w:pPr>
              <w:tabs>
                <w:tab w:val="left" w:pos="5400"/>
              </w:tabs>
              <w:rPr>
                <w:sz w:val="20"/>
              </w:rPr>
            </w:pPr>
            <w:r>
              <w:rPr>
                <w:sz w:val="20"/>
              </w:rPr>
              <w:t>Cross-sectional study</w:t>
            </w:r>
          </w:p>
        </w:tc>
        <w:tc>
          <w:tcPr>
            <w:tcW w:w="0" w:type="auto"/>
            <w:tcBorders>
              <w:top w:val="single" w:sz="4" w:space="0" w:color="auto"/>
              <w:left w:val="single" w:sz="4" w:space="0" w:color="auto"/>
              <w:bottom w:val="single" w:sz="4" w:space="0" w:color="auto"/>
            </w:tcBorders>
          </w:tcPr>
          <w:p w14:paraId="464E3799" w14:textId="1D80CEA6" w:rsidR="00F968F7" w:rsidRPr="0022554A" w:rsidRDefault="00237890" w:rsidP="0022554A">
            <w:pPr>
              <w:tabs>
                <w:tab w:val="left" w:pos="5400"/>
              </w:tabs>
              <w:rPr>
                <w:sz w:val="20"/>
              </w:rPr>
            </w:pPr>
            <w:r>
              <w:rPr>
                <w:sz w:val="20"/>
              </w:rPr>
              <w:t>6</w:t>
            </w:r>
            <w:r w:rsidR="00342746">
              <w:rPr>
                <w:sz w:val="20"/>
              </w:rPr>
              <w:t>-</w:t>
            </w:r>
            <w:r>
              <w:rPr>
                <w:sz w:val="20"/>
              </w:rPr>
              <w:t>11</w:t>
            </w:r>
          </w:p>
        </w:tc>
      </w:tr>
      <w:tr w:rsidR="002E661E" w:rsidRPr="0022554A" w14:paraId="41E29773" w14:textId="77777777" w:rsidTr="00F968F7">
        <w:tc>
          <w:tcPr>
            <w:tcW w:w="0" w:type="auto"/>
          </w:tcPr>
          <w:p w14:paraId="41401FB1" w14:textId="77777777"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14:paraId="540CA1B7"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03A4D036" w14:textId="389E161E" w:rsidR="00F968F7" w:rsidRPr="00F54120" w:rsidRDefault="00F54120" w:rsidP="00F54120">
            <w:pPr>
              <w:tabs>
                <w:tab w:val="left" w:pos="5400"/>
              </w:tabs>
              <w:jc w:val="both"/>
              <w:rPr>
                <w:sz w:val="20"/>
              </w:rPr>
            </w:pPr>
            <w:r w:rsidRPr="00F54120">
              <w:rPr>
                <w:rFonts w:eastAsia="Calibri"/>
                <w:sz w:val="20"/>
                <w:lang w:val="en-US"/>
              </w:rPr>
              <w:t>The study was conducted on Ijinga Island located at the southern shoreline of Lake Victoria, Magu district, Mwanza region, northwestern Tanzania</w:t>
            </w:r>
            <w:r>
              <w:rPr>
                <w:rFonts w:eastAsia="Calibri"/>
                <w:sz w:val="20"/>
                <w:lang w:val="en-US"/>
              </w:rPr>
              <w:t>.</w:t>
            </w:r>
          </w:p>
        </w:tc>
        <w:tc>
          <w:tcPr>
            <w:tcW w:w="0" w:type="auto"/>
            <w:tcBorders>
              <w:top w:val="single" w:sz="4" w:space="0" w:color="auto"/>
              <w:left w:val="single" w:sz="4" w:space="0" w:color="auto"/>
              <w:bottom w:val="single" w:sz="4" w:space="0" w:color="auto"/>
            </w:tcBorders>
          </w:tcPr>
          <w:p w14:paraId="64D45C37" w14:textId="5C1DA10A" w:rsidR="00F968F7" w:rsidRPr="0022554A" w:rsidRDefault="00237890" w:rsidP="0022554A">
            <w:pPr>
              <w:tabs>
                <w:tab w:val="left" w:pos="5400"/>
              </w:tabs>
              <w:rPr>
                <w:sz w:val="20"/>
              </w:rPr>
            </w:pPr>
            <w:r>
              <w:rPr>
                <w:sz w:val="20"/>
              </w:rPr>
              <w:t>6-11</w:t>
            </w:r>
          </w:p>
        </w:tc>
      </w:tr>
      <w:bookmarkEnd w:id="26"/>
      <w:bookmarkEnd w:id="27"/>
      <w:tr w:rsidR="002E661E" w:rsidRPr="0022554A" w14:paraId="3842AFFB" w14:textId="77777777" w:rsidTr="00F968F7">
        <w:tc>
          <w:tcPr>
            <w:tcW w:w="0" w:type="auto"/>
          </w:tcPr>
          <w:p w14:paraId="2CD8FF14" w14:textId="77777777" w:rsidR="00F968F7" w:rsidRPr="0022554A" w:rsidRDefault="00F968F7" w:rsidP="0022554A">
            <w:pPr>
              <w:tabs>
                <w:tab w:val="left" w:pos="5400"/>
              </w:tabs>
              <w:rPr>
                <w:bCs/>
                <w:sz w:val="20"/>
              </w:rPr>
            </w:pPr>
            <w:r w:rsidRPr="0022554A">
              <w:rPr>
                <w:bCs/>
                <w:sz w:val="20"/>
              </w:rPr>
              <w:t>Participants</w:t>
            </w:r>
          </w:p>
        </w:tc>
        <w:tc>
          <w:tcPr>
            <w:tcW w:w="0" w:type="auto"/>
          </w:tcPr>
          <w:p w14:paraId="1BBE761D"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74C5F3D3" w14:textId="2B122C06" w:rsidR="00F968F7" w:rsidRPr="0022554A" w:rsidRDefault="00F968F7" w:rsidP="005853F8">
            <w:pPr>
              <w:tabs>
                <w:tab w:val="left" w:pos="5400"/>
              </w:tabs>
              <w:spacing w:line="240" w:lineRule="auto"/>
              <w:jc w:val="both"/>
              <w:rPr>
                <w:sz w:val="20"/>
              </w:rPr>
            </w:pPr>
            <w:r w:rsidRPr="0022554A">
              <w:rPr>
                <w:sz w:val="20"/>
              </w:rPr>
              <w:t>(</w:t>
            </w:r>
            <w:r w:rsidRPr="0022554A">
              <w:rPr>
                <w:i/>
                <w:sz w:val="20"/>
              </w:rPr>
              <w:t>a</w:t>
            </w:r>
            <w:r w:rsidRPr="0022554A">
              <w:rPr>
                <w:sz w:val="20"/>
              </w:rPr>
              <w:t xml:space="preserve">) </w:t>
            </w:r>
            <w:r w:rsidR="005853F8" w:rsidRPr="005853F8">
              <w:rPr>
                <w:rFonts w:eastAsia="Calibri"/>
                <w:sz w:val="20"/>
              </w:rPr>
              <w:t>The study included all individuals aged from 3 years, who were permanent inhabitants of the study area as per our house to house census and gave consent/assent for participation in the study.</w:t>
            </w:r>
          </w:p>
        </w:tc>
        <w:tc>
          <w:tcPr>
            <w:tcW w:w="0" w:type="auto"/>
            <w:tcBorders>
              <w:top w:val="single" w:sz="4" w:space="0" w:color="auto"/>
              <w:left w:val="single" w:sz="4" w:space="0" w:color="auto"/>
              <w:bottom w:val="single" w:sz="4" w:space="0" w:color="auto"/>
            </w:tcBorders>
          </w:tcPr>
          <w:p w14:paraId="6927D5D1" w14:textId="6734FD61" w:rsidR="00F968F7" w:rsidRPr="0022554A" w:rsidRDefault="00237890" w:rsidP="0022554A">
            <w:pPr>
              <w:tabs>
                <w:tab w:val="left" w:pos="5400"/>
              </w:tabs>
              <w:rPr>
                <w:sz w:val="20"/>
              </w:rPr>
            </w:pPr>
            <w:r>
              <w:rPr>
                <w:sz w:val="20"/>
              </w:rPr>
              <w:t>6-11</w:t>
            </w:r>
          </w:p>
        </w:tc>
      </w:tr>
      <w:tr w:rsidR="002E661E" w:rsidRPr="0022554A" w14:paraId="1D985640" w14:textId="77777777" w:rsidTr="00F968F7">
        <w:tc>
          <w:tcPr>
            <w:tcW w:w="0" w:type="auto"/>
          </w:tcPr>
          <w:p w14:paraId="71661017" w14:textId="77777777"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14:paraId="73842F60"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311A5ACE" w14:textId="5A40D73A" w:rsidR="00F968F7" w:rsidRPr="00342746" w:rsidRDefault="005853F8" w:rsidP="0022554A">
            <w:pPr>
              <w:tabs>
                <w:tab w:val="left" w:pos="5400"/>
              </w:tabs>
              <w:rPr>
                <w:sz w:val="20"/>
              </w:rPr>
            </w:pPr>
            <w:r>
              <w:rPr>
                <w:iCs/>
                <w:sz w:val="20"/>
                <w:lang w:val="en-US"/>
              </w:rPr>
              <w:t xml:space="preserve">Prevalence of </w:t>
            </w:r>
            <w:r w:rsidRPr="004D73F6">
              <w:rPr>
                <w:i/>
                <w:iCs/>
                <w:sz w:val="20"/>
                <w:lang w:val="en-US"/>
              </w:rPr>
              <w:t>S. mansoni</w:t>
            </w:r>
            <w:r>
              <w:rPr>
                <w:iCs/>
                <w:sz w:val="20"/>
                <w:lang w:val="en-US"/>
              </w:rPr>
              <w:t>, infection intensity and hepatosplenic morbidities</w:t>
            </w:r>
          </w:p>
        </w:tc>
        <w:tc>
          <w:tcPr>
            <w:tcW w:w="0" w:type="auto"/>
            <w:tcBorders>
              <w:top w:val="single" w:sz="4" w:space="0" w:color="auto"/>
              <w:left w:val="single" w:sz="4" w:space="0" w:color="auto"/>
              <w:bottom w:val="single" w:sz="4" w:space="0" w:color="auto"/>
            </w:tcBorders>
          </w:tcPr>
          <w:p w14:paraId="5B1A5E16" w14:textId="7282459F" w:rsidR="00F968F7" w:rsidRPr="0022554A" w:rsidRDefault="00237890" w:rsidP="0022554A">
            <w:pPr>
              <w:tabs>
                <w:tab w:val="left" w:pos="5400"/>
              </w:tabs>
              <w:rPr>
                <w:sz w:val="20"/>
              </w:rPr>
            </w:pPr>
            <w:r>
              <w:rPr>
                <w:sz w:val="20"/>
              </w:rPr>
              <w:t>6-11</w:t>
            </w:r>
          </w:p>
        </w:tc>
      </w:tr>
      <w:tr w:rsidR="002E661E" w:rsidRPr="0022554A" w14:paraId="0A56E932" w14:textId="77777777" w:rsidTr="00F968F7">
        <w:trPr>
          <w:trHeight w:val="294"/>
        </w:trPr>
        <w:tc>
          <w:tcPr>
            <w:tcW w:w="0" w:type="auto"/>
          </w:tcPr>
          <w:p w14:paraId="78318A12" w14:textId="77777777"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14:paraId="1F8AD6EB" w14:textId="77777777"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14:paraId="2C63AAF2" w14:textId="47F98934" w:rsidR="00F968F7" w:rsidRPr="0022554A" w:rsidRDefault="00F968F7" w:rsidP="004D73F6">
            <w:pPr>
              <w:tabs>
                <w:tab w:val="left" w:pos="5400"/>
              </w:tabs>
              <w:spacing w:line="240" w:lineRule="auto"/>
              <w:rPr>
                <w:sz w:val="20"/>
              </w:rPr>
            </w:pPr>
            <w:r w:rsidRPr="0022554A">
              <w:rPr>
                <w:i/>
                <w:sz w:val="20"/>
              </w:rPr>
              <w:t xml:space="preserve"> </w:t>
            </w:r>
            <w:r w:rsidR="00342746" w:rsidRPr="00342746">
              <w:rPr>
                <w:sz w:val="20"/>
              </w:rPr>
              <w:t xml:space="preserve">Information collected using </w:t>
            </w:r>
            <w:r w:rsidR="004D73F6">
              <w:rPr>
                <w:sz w:val="20"/>
              </w:rPr>
              <w:t>Kato Katz and point of Care Circulating Cathodic Antigen test, questionnaires and ultrasound.</w:t>
            </w:r>
          </w:p>
        </w:tc>
        <w:tc>
          <w:tcPr>
            <w:tcW w:w="0" w:type="auto"/>
            <w:tcBorders>
              <w:top w:val="single" w:sz="4" w:space="0" w:color="auto"/>
              <w:left w:val="single" w:sz="4" w:space="0" w:color="auto"/>
              <w:bottom w:val="single" w:sz="4" w:space="0" w:color="auto"/>
            </w:tcBorders>
          </w:tcPr>
          <w:p w14:paraId="06A1DAE3" w14:textId="7B4C5572" w:rsidR="00F968F7" w:rsidRPr="00342746" w:rsidRDefault="00237890" w:rsidP="0022554A">
            <w:pPr>
              <w:tabs>
                <w:tab w:val="left" w:pos="5400"/>
              </w:tabs>
              <w:rPr>
                <w:sz w:val="20"/>
              </w:rPr>
            </w:pPr>
            <w:r>
              <w:rPr>
                <w:sz w:val="20"/>
              </w:rPr>
              <w:t>6-11</w:t>
            </w:r>
          </w:p>
        </w:tc>
      </w:tr>
      <w:tr w:rsidR="002E661E" w:rsidRPr="0022554A" w14:paraId="226EE821" w14:textId="77777777" w:rsidTr="00F968F7">
        <w:tc>
          <w:tcPr>
            <w:tcW w:w="0" w:type="auto"/>
          </w:tcPr>
          <w:p w14:paraId="433CD584" w14:textId="77777777"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14:paraId="0FD80531"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6D4BF347" w14:textId="28FF6D90" w:rsidR="00F968F7" w:rsidRPr="0022554A" w:rsidRDefault="004D73F6" w:rsidP="00342746">
            <w:pPr>
              <w:tabs>
                <w:tab w:val="left" w:pos="5400"/>
              </w:tabs>
              <w:jc w:val="both"/>
              <w:rPr>
                <w:color w:val="000000"/>
                <w:sz w:val="20"/>
              </w:rPr>
            </w:pPr>
            <w:r>
              <w:rPr>
                <w:color w:val="000000"/>
                <w:sz w:val="20"/>
              </w:rPr>
              <w:t>Every participant had an equal chance of being selected and participate in the study</w:t>
            </w:r>
            <w:r w:rsidR="00921D49">
              <w:rPr>
                <w:color w:val="000000"/>
                <w:sz w:val="20"/>
              </w:rPr>
              <w:t>. This was a non-randomised study</w:t>
            </w:r>
          </w:p>
        </w:tc>
        <w:tc>
          <w:tcPr>
            <w:tcW w:w="0" w:type="auto"/>
            <w:tcBorders>
              <w:top w:val="single" w:sz="4" w:space="0" w:color="auto"/>
              <w:left w:val="single" w:sz="4" w:space="0" w:color="auto"/>
              <w:bottom w:val="single" w:sz="4" w:space="0" w:color="auto"/>
            </w:tcBorders>
          </w:tcPr>
          <w:p w14:paraId="15C0D9C4" w14:textId="7F1C9185" w:rsidR="00F968F7" w:rsidRPr="0022554A" w:rsidRDefault="00237890" w:rsidP="0022554A">
            <w:pPr>
              <w:tabs>
                <w:tab w:val="left" w:pos="5400"/>
              </w:tabs>
              <w:rPr>
                <w:color w:val="000000"/>
                <w:sz w:val="20"/>
              </w:rPr>
            </w:pPr>
            <w:r>
              <w:rPr>
                <w:sz w:val="20"/>
              </w:rPr>
              <w:t>6-11</w:t>
            </w:r>
          </w:p>
        </w:tc>
      </w:tr>
      <w:tr w:rsidR="002E661E" w:rsidRPr="0022554A" w14:paraId="08D5CA88" w14:textId="77777777" w:rsidTr="00F968F7">
        <w:tc>
          <w:tcPr>
            <w:tcW w:w="0" w:type="auto"/>
          </w:tcPr>
          <w:p w14:paraId="13CC0F1C" w14:textId="77777777"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14:paraId="166C65D6"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578B9337" w14:textId="69B99137" w:rsidR="00F968F7" w:rsidRPr="004D73F6" w:rsidRDefault="004D73F6" w:rsidP="004D73F6">
            <w:pPr>
              <w:spacing w:line="240" w:lineRule="auto"/>
              <w:jc w:val="both"/>
              <w:rPr>
                <w:sz w:val="20"/>
              </w:rPr>
            </w:pPr>
            <w:r w:rsidRPr="004D73F6">
              <w:rPr>
                <w:rFonts w:eastAsia="Calibri"/>
                <w:sz w:val="20"/>
              </w:rPr>
              <w:t>The sample size was determined using a formula for binary outcome (</w:t>
            </w:r>
            <w:r w:rsidRPr="004D73F6">
              <w:rPr>
                <w:rFonts w:eastAsia="Calibri"/>
                <w:i/>
                <w:sz w:val="20"/>
              </w:rPr>
              <w:t>S. mansoni</w:t>
            </w:r>
            <w:r w:rsidRPr="004D73F6">
              <w:rPr>
                <w:rFonts w:eastAsia="Calibri"/>
                <w:sz w:val="20"/>
              </w:rPr>
              <w:t xml:space="preserve"> infection) in a cross-sectional study design described elsewhere </w:t>
            </w:r>
            <w:r w:rsidRPr="004D73F6">
              <w:rPr>
                <w:rFonts w:eastAsia="Calibri"/>
                <w:sz w:val="20"/>
              </w:rPr>
              <w:fldChar w:fldCharType="begin">
                <w:fldData xml:space="preserve">PEVuZE5vdGU+PENpdGU+PEF1dGhvcj5NdWdvbm88L0F1dGhvcj48WWVhcj4yMDE0PC9ZZWFyPjxS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</w:fldData>
              </w:fldChar>
            </w:r>
            <w:r w:rsidRPr="004D73F6">
              <w:rPr>
                <w:rFonts w:eastAsia="Calibri"/>
                <w:sz w:val="20"/>
              </w:rPr>
              <w:instrText xml:space="preserve"> ADDIN EN.CITE </w:instrText>
            </w:r>
            <w:r w:rsidRPr="004D73F6">
              <w:rPr>
                <w:rFonts w:eastAsia="Calibri"/>
                <w:sz w:val="20"/>
              </w:rPr>
              <w:fldChar w:fldCharType="begin">
                <w:fldData xml:space="preserve">PEVuZE5vdGU+PENpdGU+PEF1dGhvcj5NdWdvbm88L0F1dGhvcj48WWVhcj4yMDE0PC9ZZWFyPjxS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</w:fldData>
              </w:fldChar>
            </w:r>
            <w:r w:rsidRPr="004D73F6">
              <w:rPr>
                <w:rFonts w:eastAsia="Calibri"/>
                <w:sz w:val="20"/>
              </w:rPr>
              <w:instrText xml:space="preserve"> ADDIN EN.CITE.DATA </w:instrText>
            </w:r>
            <w:r w:rsidRPr="004D73F6">
              <w:rPr>
                <w:rFonts w:eastAsia="Calibri"/>
                <w:sz w:val="20"/>
              </w:rPr>
            </w:r>
            <w:r w:rsidRPr="004D73F6">
              <w:rPr>
                <w:rFonts w:eastAsia="Calibri"/>
                <w:sz w:val="20"/>
              </w:rPr>
              <w:fldChar w:fldCharType="end"/>
            </w:r>
            <w:r w:rsidRPr="004D73F6">
              <w:rPr>
                <w:rFonts w:eastAsia="Calibri"/>
                <w:sz w:val="20"/>
              </w:rPr>
            </w:r>
            <w:r w:rsidRPr="004D73F6">
              <w:rPr>
                <w:rFonts w:eastAsia="Calibri"/>
                <w:sz w:val="20"/>
              </w:rPr>
              <w:fldChar w:fldCharType="separate"/>
            </w:r>
            <w:r w:rsidRPr="004D73F6">
              <w:rPr>
                <w:rFonts w:eastAsia="Calibri"/>
                <w:noProof/>
                <w:sz w:val="20"/>
              </w:rPr>
              <w:t>[20]</w:t>
            </w:r>
            <w:r w:rsidRPr="004D73F6">
              <w:rPr>
                <w:rFonts w:eastAsia="Calibri"/>
                <w:sz w:val="20"/>
              </w:rPr>
              <w:fldChar w:fldCharType="end"/>
            </w:r>
            <w:r w:rsidRPr="004D73F6">
              <w:rPr>
                <w:rFonts w:eastAsia="Calibri"/>
                <w:sz w:val="20"/>
              </w:rPr>
              <w:t xml:space="preserve">.  Considering the prevalence of </w:t>
            </w:r>
            <w:r w:rsidRPr="004D73F6">
              <w:rPr>
                <w:rFonts w:eastAsia="Calibri"/>
                <w:i/>
                <w:sz w:val="20"/>
              </w:rPr>
              <w:t>S. mansoni</w:t>
            </w:r>
            <w:r w:rsidRPr="004D73F6">
              <w:rPr>
                <w:rFonts w:eastAsia="Calibri"/>
                <w:sz w:val="20"/>
              </w:rPr>
              <w:t xml:space="preserve"> of 47.8% </w:t>
            </w:r>
            <w:r w:rsidRPr="004D73F6">
              <w:rPr>
                <w:rFonts w:eastAsia="Calibri"/>
                <w:sz w:val="20"/>
              </w:rPr>
              <w:fldChar w:fldCharType="begin"/>
            </w:r>
            <w:r w:rsidRPr="004D73F6">
              <w:rPr>
                <w:rFonts w:eastAsia="Calibri"/>
                <w:sz w:val="20"/>
              </w:rPr>
              <w:instrText xml:space="preserve"> ADDIN EN.CITE &lt;EndNote&gt;&lt;Cite&gt;&lt;Author&gt;Mazigo&lt;/Author&gt;&lt;Year&gt;2014&lt;/Year&gt;&lt;RecNum&gt;1156&lt;/RecNum&gt;&lt;DisplayText&gt;[18]&lt;/DisplayText&gt;&lt;record&gt;&lt;rec-number&gt;1156&lt;/rec-number&gt;&lt;foreign-keys&gt;&lt;key app="EN" db-id="0v0axxfrfas5rzetxzhp9e5jffrwtt550p9x" timestamp="0"&gt;1156&lt;/key&gt;&lt;/foreign-keys&gt;&lt;ref-type name="Journal Article"&gt;17&lt;/ref-type&gt;&lt;contributors&gt;&lt;authors&gt;&lt;author&gt;Mazigo, H. D.&lt;/author&gt;&lt;author&gt;Dunne, D. W.&lt;/author&gt;&lt;author&gt;Wilson, S.&lt;/author&gt;&lt;author&gt;Kinung Hi, S. M.&lt;/author&gt;&lt;author&gt;de Moira, A.&lt;/author&gt;&lt;author&gt;Jones, F. M.&lt;/author&gt;&lt;author&gt;Morona, D.&lt;/author&gt;&lt;author&gt;Nuwaha, F.&lt;/author&gt;&lt;/authors&gt;&lt;/contributors&gt;&lt;titles&gt;&lt;title&gt;Co-infection with Schistosoma mansoni and Human Immunodeficiency Virus-1 (HIV-1) among residents of fishing villages of north-western Tanzania&lt;/title&gt;&lt;secondary-title&gt;Parasit Vect&lt;/secondary-title&gt;&lt;/titles&gt;&lt;pages&gt;587&lt;/pages&gt;&lt;volume&gt;7&lt;/volume&gt;&lt;number&gt;1&lt;/number&gt;&lt;edition&gt;2014/12/17&lt;/edition&gt;&lt;dates&gt;&lt;year&gt;2014&lt;/year&gt;&lt;pub-dates&gt;&lt;date&gt;Dec 16&lt;/date&gt;&lt;/pub-dates&gt;&lt;/dates&gt;&lt;isbn&gt;1756-3305 (Electronic)&amp;#xD;1756-3305 (Linking)&lt;/isbn&gt;&lt;accession-num&gt;25511298&lt;/accession-num&gt;&lt;urls&gt;&lt;related-urls&gt;&lt;url&gt;http://www.ncbi.nlm.nih.gov/pubmed/25511298&lt;/url&gt;&lt;/related-urls&gt;&lt;/urls&gt;&lt;custom2&gt;4271490&lt;/custom2&gt;&lt;electronic-resource-num&gt;s13071-014-0587-2 [pii]&amp;#xD;10.1186/s13071-014-0587-2&lt;/electronic-resource-num&gt;&lt;language&gt;Eng&lt;/language&gt;&lt;/record&gt;&lt;/Cite&gt;&lt;/EndNote&gt;</w:instrText>
            </w:r>
            <w:r w:rsidRPr="004D73F6">
              <w:rPr>
                <w:rFonts w:eastAsia="Calibri"/>
                <w:sz w:val="20"/>
              </w:rPr>
              <w:fldChar w:fldCharType="separate"/>
            </w:r>
            <w:r w:rsidRPr="004D73F6">
              <w:rPr>
                <w:rFonts w:eastAsia="Calibri"/>
                <w:noProof/>
                <w:sz w:val="20"/>
              </w:rPr>
              <w:t>[18]</w:t>
            </w:r>
            <w:r w:rsidRPr="004D73F6">
              <w:rPr>
                <w:rFonts w:eastAsia="Calibri"/>
                <w:sz w:val="20"/>
              </w:rPr>
              <w:fldChar w:fldCharType="end"/>
            </w:r>
            <w:r w:rsidRPr="004D73F6">
              <w:rPr>
                <w:rFonts w:eastAsia="Calibri"/>
                <w:sz w:val="20"/>
              </w:rPr>
              <w:t xml:space="preserve">, in four villages along the shore of Lake Victoria, at 95% confidence interval and margin errors of 3.2%, the minimum sample size required was 936. Considering 10% of refusal and non-respondent (additional of 94 participants), a total sample size of 1030 was required for this study. A total of 930 participants participated voluntarily in this present study. Despite the fact that the sample size was below the minimum sample size, the power of the study remained above 90%. </w:t>
            </w:r>
          </w:p>
        </w:tc>
        <w:tc>
          <w:tcPr>
            <w:tcW w:w="0" w:type="auto"/>
            <w:tcBorders>
              <w:top w:val="single" w:sz="4" w:space="0" w:color="auto"/>
              <w:left w:val="single" w:sz="4" w:space="0" w:color="auto"/>
              <w:bottom w:val="single" w:sz="4" w:space="0" w:color="auto"/>
            </w:tcBorders>
          </w:tcPr>
          <w:p w14:paraId="209B81F8" w14:textId="6E2520C8" w:rsidR="00F968F7" w:rsidRPr="0022554A" w:rsidRDefault="00237890" w:rsidP="0022554A">
            <w:pPr>
              <w:tabs>
                <w:tab w:val="left" w:pos="5400"/>
              </w:tabs>
              <w:rPr>
                <w:sz w:val="20"/>
              </w:rPr>
            </w:pPr>
            <w:r>
              <w:rPr>
                <w:sz w:val="20"/>
              </w:rPr>
              <w:t>6-11</w:t>
            </w:r>
          </w:p>
        </w:tc>
      </w:tr>
      <w:tr w:rsidR="004D73F6" w:rsidRPr="0022554A" w14:paraId="1E8E913E" w14:textId="77777777" w:rsidTr="004D73F6">
        <w:trPr>
          <w:trHeight w:val="698"/>
        </w:trPr>
        <w:tc>
          <w:tcPr>
            <w:tcW w:w="0" w:type="auto"/>
          </w:tcPr>
          <w:p w14:paraId="0CC7892B" w14:textId="77777777" w:rsidR="004D73F6" w:rsidRPr="0022554A" w:rsidRDefault="004D73F6" w:rsidP="004D73F6">
            <w:pPr>
              <w:tabs>
                <w:tab w:val="left" w:pos="5400"/>
              </w:tabs>
              <w:rPr>
                <w:bCs/>
                <w:sz w:val="20"/>
              </w:rPr>
            </w:pPr>
            <w:bookmarkStart w:id="39" w:name="bold22"/>
            <w:bookmarkStart w:id="40" w:name="italic22"/>
            <w:bookmarkEnd w:id="37"/>
            <w:bookmarkEnd w:id="38"/>
            <w:r w:rsidRPr="0022554A">
              <w:rPr>
                <w:bCs/>
                <w:sz w:val="20"/>
              </w:rPr>
              <w:lastRenderedPageBreak/>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14:paraId="5DE5EE37" w14:textId="77777777" w:rsidR="004D73F6" w:rsidRPr="00921D49" w:rsidRDefault="004D73F6" w:rsidP="004D73F6">
            <w:pPr>
              <w:tabs>
                <w:tab w:val="left" w:pos="5400"/>
              </w:tabs>
              <w:jc w:val="both"/>
              <w:rPr>
                <w:sz w:val="22"/>
                <w:szCs w:val="22"/>
              </w:rPr>
            </w:pPr>
            <w:r w:rsidRPr="00921D49">
              <w:rPr>
                <w:sz w:val="22"/>
                <w:szCs w:val="22"/>
              </w:rPr>
              <w:t>11</w:t>
            </w:r>
          </w:p>
        </w:tc>
        <w:tc>
          <w:tcPr>
            <w:tcW w:w="0" w:type="auto"/>
            <w:tcBorders>
              <w:right w:val="single" w:sz="4" w:space="0" w:color="auto"/>
            </w:tcBorders>
          </w:tcPr>
          <w:p w14:paraId="58F0ABA4" w14:textId="3812C689" w:rsidR="004D73F6" w:rsidRPr="004D73F6" w:rsidRDefault="004D73F6" w:rsidP="004D73F6">
            <w:pPr>
              <w:spacing w:after="360" w:line="240" w:lineRule="auto"/>
              <w:jc w:val="both"/>
              <w:rPr>
                <w:sz w:val="20"/>
              </w:rPr>
            </w:pPr>
            <w:r w:rsidRPr="004D73F6">
              <w:rPr>
                <w:sz w:val="20"/>
              </w:rPr>
              <w:t>Numbers and percentages were used to describe categorical variables. Comparison of either proportions or categorical variables was done using chi-square (χ</w:t>
            </w:r>
            <w:r w:rsidRPr="004D73F6">
              <w:rPr>
                <w:sz w:val="20"/>
                <w:vertAlign w:val="superscript"/>
              </w:rPr>
              <w:t>2</w:t>
            </w:r>
            <w:r w:rsidRPr="004D73F6">
              <w:rPr>
                <w:sz w:val="20"/>
              </w:rPr>
              <w:t>) or fisher’s exact tests where appropriate.</w:t>
            </w:r>
          </w:p>
        </w:tc>
        <w:tc>
          <w:tcPr>
            <w:tcW w:w="0" w:type="auto"/>
            <w:tcBorders>
              <w:top w:val="single" w:sz="4" w:space="0" w:color="auto"/>
              <w:left w:val="single" w:sz="4" w:space="0" w:color="auto"/>
              <w:bottom w:val="single" w:sz="4" w:space="0" w:color="auto"/>
            </w:tcBorders>
          </w:tcPr>
          <w:p w14:paraId="23F58F7E" w14:textId="1B15C7A3" w:rsidR="004D73F6" w:rsidRPr="0022554A" w:rsidRDefault="00237890" w:rsidP="004D73F6">
            <w:pPr>
              <w:tabs>
                <w:tab w:val="left" w:pos="5400"/>
              </w:tabs>
              <w:rPr>
                <w:sz w:val="20"/>
              </w:rPr>
            </w:pPr>
            <w:r>
              <w:rPr>
                <w:sz w:val="20"/>
              </w:rPr>
              <w:t>6-11</w:t>
            </w:r>
          </w:p>
        </w:tc>
      </w:tr>
      <w:tr w:rsidR="004D73F6" w:rsidRPr="0022554A" w14:paraId="1ECE7508" w14:textId="77777777" w:rsidTr="00F968F7">
        <w:tc>
          <w:tcPr>
            <w:tcW w:w="0" w:type="auto"/>
            <w:vMerge w:val="restart"/>
          </w:tcPr>
          <w:p w14:paraId="5E66C167" w14:textId="77777777" w:rsidR="004D73F6" w:rsidRPr="0022554A" w:rsidRDefault="004D73F6" w:rsidP="004D73F6">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14:paraId="27166A01" w14:textId="77777777" w:rsidR="004D73F6" w:rsidRPr="0022554A" w:rsidRDefault="004D73F6" w:rsidP="004D73F6">
            <w:pPr>
              <w:tabs>
                <w:tab w:val="left" w:pos="5400"/>
              </w:tabs>
              <w:jc w:val="center"/>
              <w:rPr>
                <w:sz w:val="20"/>
              </w:rPr>
            </w:pPr>
            <w:r w:rsidRPr="0022554A">
              <w:rPr>
                <w:sz w:val="20"/>
              </w:rPr>
              <w:t>12</w:t>
            </w:r>
          </w:p>
        </w:tc>
        <w:tc>
          <w:tcPr>
            <w:tcW w:w="0" w:type="auto"/>
            <w:tcBorders>
              <w:right w:val="single" w:sz="4" w:space="0" w:color="auto"/>
            </w:tcBorders>
          </w:tcPr>
          <w:p w14:paraId="21ED7D2F" w14:textId="77777777" w:rsidR="004D73F6" w:rsidRPr="0022554A" w:rsidRDefault="004D73F6" w:rsidP="004D73F6">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2EE83F3B" w14:textId="77777777" w:rsidR="004D73F6" w:rsidRPr="0022554A" w:rsidRDefault="004D73F6" w:rsidP="004D73F6">
            <w:pPr>
              <w:tabs>
                <w:tab w:val="left" w:pos="5400"/>
              </w:tabs>
              <w:rPr>
                <w:sz w:val="20"/>
              </w:rPr>
            </w:pPr>
          </w:p>
        </w:tc>
      </w:tr>
      <w:tr w:rsidR="004D73F6" w:rsidRPr="0022554A" w14:paraId="367FA5F9" w14:textId="77777777" w:rsidTr="00F968F7">
        <w:tc>
          <w:tcPr>
            <w:tcW w:w="0" w:type="auto"/>
            <w:vMerge/>
          </w:tcPr>
          <w:p w14:paraId="716C6907" w14:textId="77777777" w:rsidR="004D73F6" w:rsidRPr="0022554A" w:rsidRDefault="004D73F6" w:rsidP="004D73F6">
            <w:pPr>
              <w:tabs>
                <w:tab w:val="left" w:pos="5400"/>
              </w:tabs>
              <w:rPr>
                <w:bCs/>
                <w:sz w:val="20"/>
              </w:rPr>
            </w:pPr>
            <w:bookmarkStart w:id="45" w:name="bold24" w:colFirst="0" w:colLast="0"/>
            <w:bookmarkStart w:id="46" w:name="italic26" w:colFirst="0" w:colLast="0"/>
          </w:p>
        </w:tc>
        <w:tc>
          <w:tcPr>
            <w:tcW w:w="0" w:type="auto"/>
            <w:vMerge/>
          </w:tcPr>
          <w:p w14:paraId="6706296D" w14:textId="77777777" w:rsidR="004D73F6" w:rsidRPr="0022554A" w:rsidRDefault="004D73F6" w:rsidP="004D73F6">
            <w:pPr>
              <w:tabs>
                <w:tab w:val="left" w:pos="5400"/>
              </w:tabs>
              <w:jc w:val="center"/>
              <w:rPr>
                <w:sz w:val="20"/>
              </w:rPr>
            </w:pPr>
          </w:p>
        </w:tc>
        <w:tc>
          <w:tcPr>
            <w:tcW w:w="0" w:type="auto"/>
            <w:tcBorders>
              <w:right w:val="single" w:sz="4" w:space="0" w:color="auto"/>
            </w:tcBorders>
          </w:tcPr>
          <w:p w14:paraId="72702C69" w14:textId="192E936C" w:rsidR="004D73F6" w:rsidRPr="0022554A" w:rsidRDefault="004D73F6" w:rsidP="004D73F6">
            <w:pPr>
              <w:tabs>
                <w:tab w:val="left" w:pos="5400"/>
              </w:tabs>
              <w:rPr>
                <w:sz w:val="20"/>
              </w:rPr>
            </w:pPr>
            <w:r w:rsidRPr="0022554A">
              <w:rPr>
                <w:sz w:val="20"/>
              </w:rPr>
              <w:t>(</w:t>
            </w:r>
            <w:r w:rsidRPr="0022554A">
              <w:rPr>
                <w:i/>
                <w:sz w:val="20"/>
              </w:rPr>
              <w:t>b</w:t>
            </w:r>
            <w:r w:rsidRPr="0022554A">
              <w:rPr>
                <w:sz w:val="20"/>
              </w:rPr>
              <w:t xml:space="preserve">) </w:t>
            </w:r>
            <w:r w:rsidRPr="00921D49">
              <w:rPr>
                <w:b/>
                <w:sz w:val="20"/>
              </w:rPr>
              <w:t>Not applicable</w:t>
            </w:r>
          </w:p>
        </w:tc>
        <w:tc>
          <w:tcPr>
            <w:tcW w:w="0" w:type="auto"/>
            <w:tcBorders>
              <w:top w:val="single" w:sz="4" w:space="0" w:color="auto"/>
              <w:left w:val="single" w:sz="4" w:space="0" w:color="auto"/>
              <w:bottom w:val="single" w:sz="4" w:space="0" w:color="auto"/>
            </w:tcBorders>
          </w:tcPr>
          <w:p w14:paraId="5464B4F9" w14:textId="77777777" w:rsidR="004D73F6" w:rsidRPr="0022554A" w:rsidRDefault="004D73F6" w:rsidP="004D73F6">
            <w:pPr>
              <w:tabs>
                <w:tab w:val="left" w:pos="5400"/>
              </w:tabs>
              <w:rPr>
                <w:sz w:val="20"/>
              </w:rPr>
            </w:pPr>
          </w:p>
        </w:tc>
      </w:tr>
      <w:tr w:rsidR="004D73F6" w:rsidRPr="0022554A" w14:paraId="5FD517DF" w14:textId="77777777" w:rsidTr="00F968F7">
        <w:tc>
          <w:tcPr>
            <w:tcW w:w="0" w:type="auto"/>
            <w:vMerge/>
          </w:tcPr>
          <w:p w14:paraId="5A0F226A" w14:textId="77777777" w:rsidR="004D73F6" w:rsidRPr="0022554A" w:rsidRDefault="004D73F6" w:rsidP="004D73F6">
            <w:pPr>
              <w:tabs>
                <w:tab w:val="left" w:pos="5400"/>
              </w:tabs>
              <w:rPr>
                <w:bCs/>
                <w:sz w:val="20"/>
              </w:rPr>
            </w:pPr>
            <w:bookmarkStart w:id="47" w:name="bold25" w:colFirst="0" w:colLast="0"/>
            <w:bookmarkStart w:id="48" w:name="italic27" w:colFirst="0" w:colLast="0"/>
            <w:bookmarkEnd w:id="45"/>
            <w:bookmarkEnd w:id="46"/>
          </w:p>
        </w:tc>
        <w:tc>
          <w:tcPr>
            <w:tcW w:w="0" w:type="auto"/>
            <w:vMerge/>
          </w:tcPr>
          <w:p w14:paraId="11A81800" w14:textId="77777777" w:rsidR="004D73F6" w:rsidRPr="0022554A" w:rsidRDefault="004D73F6" w:rsidP="004D73F6">
            <w:pPr>
              <w:tabs>
                <w:tab w:val="left" w:pos="5400"/>
              </w:tabs>
              <w:jc w:val="center"/>
              <w:rPr>
                <w:sz w:val="20"/>
              </w:rPr>
            </w:pPr>
          </w:p>
        </w:tc>
        <w:tc>
          <w:tcPr>
            <w:tcW w:w="0" w:type="auto"/>
            <w:tcBorders>
              <w:right w:val="single" w:sz="4" w:space="0" w:color="auto"/>
            </w:tcBorders>
          </w:tcPr>
          <w:p w14:paraId="78AD6328" w14:textId="5FCD7504" w:rsidR="004D73F6" w:rsidRPr="00D0056B" w:rsidRDefault="004D73F6" w:rsidP="004D73F6">
            <w:pPr>
              <w:spacing w:line="240" w:lineRule="auto"/>
              <w:ind w:left="10"/>
              <w:jc w:val="both"/>
              <w:rPr>
                <w:sz w:val="20"/>
              </w:rPr>
            </w:pPr>
            <w:r w:rsidRPr="00D0056B">
              <w:rPr>
                <w:iCs/>
                <w:sz w:val="20"/>
                <w:lang w:val="en-US"/>
              </w:rPr>
              <w:t>Statistical analysis, comprising of descriptive and regression analyses, was done by using STATA 13 (</w:t>
            </w:r>
            <w:r w:rsidRPr="00D0056B">
              <w:rPr>
                <w:sz w:val="20"/>
                <w:lang w:val="en-US"/>
              </w:rPr>
              <w:t>StataCorp, 2017, Stata statistical software: release 13. College Station, TX: StataCorp LP, Taxes, USA)</w:t>
            </w:r>
            <w:r w:rsidRPr="00D0056B">
              <w:rPr>
                <w:iCs/>
                <w:sz w:val="20"/>
                <w:lang w:val="en-US"/>
              </w:rPr>
              <w:t xml:space="preserve">. </w:t>
            </w:r>
            <w:r w:rsidRPr="004D73F6">
              <w:rPr>
                <w:sz w:val="20"/>
              </w:rPr>
              <w:t xml:space="preserve">All continuous variables were analyzed using univariate test and reported as means or median with their standard deviation or interquartile ranges depending on the nature of distributions of the continuous variables. The Geometrical mean eggs per gram of feaces (GMepg) for </w:t>
            </w:r>
            <w:r w:rsidRPr="004D73F6">
              <w:rPr>
                <w:i/>
                <w:sz w:val="20"/>
              </w:rPr>
              <w:t>S. mansoni</w:t>
            </w:r>
            <w:r w:rsidRPr="004D73F6">
              <w:rPr>
                <w:sz w:val="20"/>
              </w:rPr>
              <w:t xml:space="preserve"> eggs were calculated for each study participant from the non-logarithmically transformed means. Comparison of mean eggs count for </w:t>
            </w:r>
            <w:r w:rsidRPr="004D73F6">
              <w:rPr>
                <w:i/>
                <w:sz w:val="20"/>
              </w:rPr>
              <w:t>S. mansoni</w:t>
            </w:r>
            <w:r w:rsidRPr="004D73F6">
              <w:rPr>
                <w:sz w:val="20"/>
              </w:rPr>
              <w:t xml:space="preserve"> between different demographic characteristics of the study participants was done using Student-t-test (two groups) or ANOVA (more than two groups). The ultrasound height adjusted data for the liver, spleen and portal vein diameter were compared between the infected and uninfected participants using the t-test. The Niamey protocol was used to define the cut-off point between normal and enlarged spleen, left liver lobe and dilatation of the portal vein dilatation </w:t>
            </w:r>
            <w:r w:rsidRPr="004D73F6">
              <w:rPr>
                <w:sz w:val="20"/>
              </w:rPr>
              <w:fldChar w:fldCharType="begin"/>
            </w:r>
            <w:r w:rsidRPr="004D73F6">
              <w:rPr>
                <w:sz w:val="20"/>
              </w:rPr>
              <w:instrText xml:space="preserve"> ADDIN EN.CITE &lt;EndNote&gt;&lt;Cite&gt;&lt;Author&gt;Richter&lt;/Author&gt;&lt;Year&gt;2000&lt;/Year&gt;&lt;RecNum&gt;264&lt;/RecNum&gt;&lt;DisplayText&gt;[8]&lt;/DisplayText&gt;&lt;record&gt;&lt;rec-number&gt;264&lt;/rec-number&gt;&lt;foreign-keys&gt;&lt;key app="EN" db-id="0v0axxfrfas5rzetxzhp9e5jffrwtt550p9x" timestamp="0"&gt;264&lt;/key&gt;&lt;/foreign-keys&gt;&lt;ref-type name="Journal Article"&gt;17&lt;/ref-type&gt;&lt;contributors&gt;&lt;authors&gt;&lt;author&gt;Richter, J&lt;/author&gt;&lt;author&gt;Hatz, Christopher&lt;/author&gt;&lt;author&gt;Campagne, G&lt;/author&gt;&lt;author&gt;Bergquist, NR&lt;/author&gt;&lt;author&gt;Jenkins, Jennifer M&lt;/author&gt;&lt;/authors&gt;&lt;/contributors&gt;&lt;titles&gt;&lt;title&gt;Ultrasound in schistosomiasis: a practical guide to the standard use of ultrasonography for assessment of schistosomiasis-related morbidity: Second international workshop, October 22-26 1996, Niamey, Niger&lt;/title&gt;&lt;secondary-title&gt;Tropical Diseases Research, World Health Organization, Geneva&lt;/secondary-title&gt;&lt;/titles&gt;&lt;dates&gt;&lt;year&gt;2000&lt;/year&gt;&lt;/dates&gt;&lt;urls&gt;&lt;/urls&gt;&lt;/record&gt;&lt;/Cite&gt;&lt;/EndNote&gt;</w:instrText>
            </w:r>
            <w:r w:rsidRPr="004D73F6">
              <w:rPr>
                <w:sz w:val="20"/>
              </w:rPr>
              <w:fldChar w:fldCharType="separate"/>
            </w:r>
            <w:r w:rsidRPr="004D73F6">
              <w:rPr>
                <w:noProof/>
                <w:sz w:val="20"/>
              </w:rPr>
              <w:t>[8]</w:t>
            </w:r>
            <w:r w:rsidRPr="004D73F6">
              <w:rPr>
                <w:sz w:val="20"/>
              </w:rPr>
              <w:fldChar w:fldCharType="end"/>
            </w:r>
            <w:r w:rsidRPr="004D73F6">
              <w:rPr>
                <w:sz w:val="20"/>
              </w:rPr>
              <w:t xml:space="preserve">.Generalized Linear Model (glm) and the linear regression model were used to assess the contributions of intensities of </w:t>
            </w:r>
            <w:r w:rsidRPr="004D73F6">
              <w:rPr>
                <w:i/>
                <w:sz w:val="20"/>
              </w:rPr>
              <w:t>S. mansoni</w:t>
            </w:r>
            <w:r w:rsidRPr="004D73F6">
              <w:rPr>
                <w:sz w:val="20"/>
              </w:rPr>
              <w:t xml:space="preserve">, age, sex and infection status on the extent of the liver and spleen enlargements. The glm was used to determine risk factors associated with periportal fibrosis and splenomegaly while the linear regression model was used to assess predictors of increased height of the left liver lobe. Linear regression model was constructed for height-adjusted measurements of the left liver lobe and the above-mentioned explanatory variables were included. At bivariate analysis, explanatory variables with </w:t>
            </w:r>
            <w:r w:rsidRPr="004D73F6">
              <w:rPr>
                <w:i/>
                <w:sz w:val="20"/>
              </w:rPr>
              <w:t>P</w:t>
            </w:r>
            <w:r w:rsidRPr="004D73F6">
              <w:rPr>
                <w:sz w:val="20"/>
              </w:rPr>
              <w:t xml:space="preserve">-value &lt;0.2 were considered for multivariable analyses. For the glm, Risk Ratios with their 95%CI were generated and used to measure the level of risk and the Beta coefficients with their corresponding 95%CI were also generated from the linear regression. </w:t>
            </w:r>
            <w:bookmarkStart w:id="49" w:name="_Hlk3364901"/>
            <w:r w:rsidRPr="004D73F6">
              <w:rPr>
                <w:sz w:val="20"/>
              </w:rPr>
              <w:t xml:space="preserve">The </w:t>
            </w:r>
            <w:r w:rsidRPr="004D73F6">
              <w:rPr>
                <w:i/>
                <w:sz w:val="20"/>
              </w:rPr>
              <w:t>P</w:t>
            </w:r>
            <w:r w:rsidRPr="004D73F6">
              <w:rPr>
                <w:sz w:val="20"/>
              </w:rPr>
              <w:t>-values of &lt;0.05 was considered significant.</w:t>
            </w:r>
            <w:bookmarkEnd w:id="49"/>
          </w:p>
        </w:tc>
        <w:tc>
          <w:tcPr>
            <w:tcW w:w="0" w:type="auto"/>
            <w:tcBorders>
              <w:top w:val="single" w:sz="4" w:space="0" w:color="auto"/>
              <w:left w:val="single" w:sz="4" w:space="0" w:color="auto"/>
              <w:bottom w:val="single" w:sz="4" w:space="0" w:color="auto"/>
            </w:tcBorders>
          </w:tcPr>
          <w:p w14:paraId="2EC1E759" w14:textId="50282044" w:rsidR="004D73F6" w:rsidRPr="0022554A" w:rsidRDefault="00237890" w:rsidP="004D73F6">
            <w:pPr>
              <w:tabs>
                <w:tab w:val="left" w:pos="5400"/>
              </w:tabs>
              <w:rPr>
                <w:sz w:val="20"/>
              </w:rPr>
            </w:pPr>
            <w:r>
              <w:rPr>
                <w:sz w:val="20"/>
              </w:rPr>
              <w:t>6-11</w:t>
            </w:r>
          </w:p>
        </w:tc>
      </w:tr>
      <w:tr w:rsidR="004D73F6" w:rsidRPr="0022554A" w14:paraId="47EEECDB" w14:textId="77777777" w:rsidTr="00F968F7">
        <w:tc>
          <w:tcPr>
            <w:tcW w:w="0" w:type="auto"/>
            <w:vMerge/>
          </w:tcPr>
          <w:p w14:paraId="0D01BE5A" w14:textId="77777777" w:rsidR="004D73F6" w:rsidRPr="0022554A" w:rsidRDefault="004D73F6" w:rsidP="004D73F6">
            <w:pPr>
              <w:tabs>
                <w:tab w:val="left" w:pos="5400"/>
              </w:tabs>
              <w:rPr>
                <w:bCs/>
                <w:sz w:val="20"/>
              </w:rPr>
            </w:pPr>
            <w:bookmarkStart w:id="50" w:name="bold26" w:colFirst="0" w:colLast="0"/>
            <w:bookmarkStart w:id="51" w:name="italic28" w:colFirst="0" w:colLast="0"/>
            <w:bookmarkEnd w:id="47"/>
            <w:bookmarkEnd w:id="48"/>
          </w:p>
        </w:tc>
        <w:tc>
          <w:tcPr>
            <w:tcW w:w="0" w:type="auto"/>
            <w:vMerge/>
          </w:tcPr>
          <w:p w14:paraId="16F02B3C" w14:textId="77777777" w:rsidR="004D73F6" w:rsidRPr="0022554A" w:rsidRDefault="004D73F6" w:rsidP="004D73F6">
            <w:pPr>
              <w:tabs>
                <w:tab w:val="left" w:pos="5400"/>
              </w:tabs>
              <w:jc w:val="center"/>
              <w:rPr>
                <w:sz w:val="20"/>
              </w:rPr>
            </w:pPr>
          </w:p>
        </w:tc>
        <w:tc>
          <w:tcPr>
            <w:tcW w:w="0" w:type="auto"/>
            <w:tcBorders>
              <w:right w:val="single" w:sz="4" w:space="0" w:color="auto"/>
            </w:tcBorders>
          </w:tcPr>
          <w:p w14:paraId="16B75A8A" w14:textId="06A3C338" w:rsidR="004D73F6" w:rsidRPr="0022554A" w:rsidRDefault="004D73F6" w:rsidP="004D73F6">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r>
              <w:rPr>
                <w:sz w:val="20"/>
              </w:rPr>
              <w:t>-</w:t>
            </w:r>
            <w:r w:rsidRPr="00921D49">
              <w:rPr>
                <w:b/>
                <w:sz w:val="20"/>
              </w:rPr>
              <w:t>Not Applicable</w:t>
            </w:r>
          </w:p>
        </w:tc>
        <w:tc>
          <w:tcPr>
            <w:tcW w:w="0" w:type="auto"/>
            <w:tcBorders>
              <w:top w:val="single" w:sz="4" w:space="0" w:color="auto"/>
              <w:left w:val="single" w:sz="4" w:space="0" w:color="auto"/>
              <w:bottom w:val="single" w:sz="4" w:space="0" w:color="auto"/>
            </w:tcBorders>
          </w:tcPr>
          <w:p w14:paraId="13192D63" w14:textId="77777777" w:rsidR="004D73F6" w:rsidRPr="0022554A" w:rsidRDefault="004D73F6" w:rsidP="004D73F6">
            <w:pPr>
              <w:tabs>
                <w:tab w:val="left" w:pos="5400"/>
              </w:tabs>
              <w:rPr>
                <w:sz w:val="20"/>
              </w:rPr>
            </w:pPr>
          </w:p>
        </w:tc>
      </w:tr>
      <w:tr w:rsidR="004D73F6" w:rsidRPr="0022554A" w14:paraId="4D22E79D" w14:textId="77777777" w:rsidTr="00F968F7">
        <w:tc>
          <w:tcPr>
            <w:tcW w:w="0" w:type="auto"/>
            <w:vMerge/>
          </w:tcPr>
          <w:p w14:paraId="340168BF" w14:textId="77777777" w:rsidR="004D73F6" w:rsidRPr="0022554A" w:rsidRDefault="004D73F6" w:rsidP="004D73F6">
            <w:pPr>
              <w:tabs>
                <w:tab w:val="left" w:pos="5400"/>
              </w:tabs>
              <w:rPr>
                <w:bCs/>
                <w:sz w:val="20"/>
              </w:rPr>
            </w:pPr>
            <w:bookmarkStart w:id="52" w:name="bold27" w:colFirst="0" w:colLast="0"/>
            <w:bookmarkStart w:id="53" w:name="italic29" w:colFirst="0" w:colLast="0"/>
            <w:bookmarkEnd w:id="50"/>
            <w:bookmarkEnd w:id="51"/>
          </w:p>
        </w:tc>
        <w:tc>
          <w:tcPr>
            <w:tcW w:w="0" w:type="auto"/>
            <w:vMerge/>
          </w:tcPr>
          <w:p w14:paraId="351C4366" w14:textId="77777777" w:rsidR="004D73F6" w:rsidRPr="0022554A" w:rsidRDefault="004D73F6" w:rsidP="004D73F6">
            <w:pPr>
              <w:tabs>
                <w:tab w:val="left" w:pos="5400"/>
              </w:tabs>
              <w:jc w:val="center"/>
              <w:rPr>
                <w:sz w:val="20"/>
              </w:rPr>
            </w:pPr>
          </w:p>
        </w:tc>
        <w:tc>
          <w:tcPr>
            <w:tcW w:w="0" w:type="auto"/>
            <w:tcBorders>
              <w:right w:val="single" w:sz="4" w:space="0" w:color="auto"/>
            </w:tcBorders>
          </w:tcPr>
          <w:p w14:paraId="18527BFF" w14:textId="3257C79A" w:rsidR="004D73F6" w:rsidRPr="0022554A" w:rsidRDefault="004D73F6" w:rsidP="004D73F6">
            <w:pPr>
              <w:tabs>
                <w:tab w:val="left" w:pos="5400"/>
              </w:tabs>
              <w:rPr>
                <w:sz w:val="20"/>
              </w:rPr>
            </w:pPr>
            <w:r w:rsidRPr="0022554A">
              <w:rPr>
                <w:sz w:val="20"/>
              </w:rPr>
              <w:t>(</w:t>
            </w:r>
            <w:r w:rsidRPr="0022554A">
              <w:rPr>
                <w:i/>
                <w:sz w:val="20"/>
                <w:u w:val="single"/>
              </w:rPr>
              <w:t>e</w:t>
            </w:r>
            <w:r w:rsidRPr="0022554A">
              <w:rPr>
                <w:sz w:val="20"/>
              </w:rPr>
              <w:t>) Describe any sensitivity analyses</w:t>
            </w:r>
            <w:r>
              <w:rPr>
                <w:sz w:val="20"/>
              </w:rPr>
              <w:t xml:space="preserve">- </w:t>
            </w:r>
            <w:r w:rsidRPr="00921D49">
              <w:rPr>
                <w:b/>
                <w:sz w:val="20"/>
              </w:rPr>
              <w:t>Not applicable</w:t>
            </w:r>
          </w:p>
        </w:tc>
        <w:tc>
          <w:tcPr>
            <w:tcW w:w="0" w:type="auto"/>
            <w:tcBorders>
              <w:top w:val="single" w:sz="4" w:space="0" w:color="auto"/>
              <w:left w:val="single" w:sz="4" w:space="0" w:color="auto"/>
              <w:bottom w:val="single" w:sz="4" w:space="0" w:color="auto"/>
            </w:tcBorders>
          </w:tcPr>
          <w:p w14:paraId="2F6B943E" w14:textId="77777777" w:rsidR="004D73F6" w:rsidRPr="0022554A" w:rsidRDefault="004D73F6" w:rsidP="004D73F6">
            <w:pPr>
              <w:tabs>
                <w:tab w:val="left" w:pos="5400"/>
              </w:tabs>
              <w:rPr>
                <w:sz w:val="20"/>
              </w:rPr>
            </w:pPr>
          </w:p>
        </w:tc>
      </w:tr>
      <w:tr w:rsidR="004D73F6" w:rsidRPr="0022554A" w14:paraId="0B6C83FE" w14:textId="77777777" w:rsidTr="00423FBD">
        <w:tc>
          <w:tcPr>
            <w:tcW w:w="0" w:type="auto"/>
            <w:gridSpan w:val="4"/>
          </w:tcPr>
          <w:p w14:paraId="4F1C4AC0" w14:textId="77777777" w:rsidR="004D73F6" w:rsidRPr="0022554A" w:rsidRDefault="004D73F6" w:rsidP="004D73F6">
            <w:pPr>
              <w:pStyle w:val="TableSubHead"/>
              <w:tabs>
                <w:tab w:val="left" w:pos="5400"/>
              </w:tabs>
              <w:rPr>
                <w:sz w:val="20"/>
              </w:rPr>
            </w:pPr>
            <w:bookmarkStart w:id="54" w:name="bold28"/>
            <w:bookmarkStart w:id="55" w:name="italic30"/>
            <w:bookmarkEnd w:id="52"/>
            <w:bookmarkEnd w:id="53"/>
            <w:r w:rsidRPr="0022554A">
              <w:rPr>
                <w:sz w:val="20"/>
              </w:rPr>
              <w:t>Results</w:t>
            </w:r>
            <w:bookmarkEnd w:id="54"/>
            <w:bookmarkEnd w:id="55"/>
          </w:p>
        </w:tc>
      </w:tr>
      <w:tr w:rsidR="004D73F6" w:rsidRPr="0022554A" w14:paraId="18652ECE" w14:textId="77777777" w:rsidTr="00F968F7">
        <w:tc>
          <w:tcPr>
            <w:tcW w:w="0" w:type="auto"/>
            <w:vMerge w:val="restart"/>
          </w:tcPr>
          <w:p w14:paraId="5D104B63" w14:textId="77777777" w:rsidR="004D73F6" w:rsidRPr="0022554A" w:rsidRDefault="004D73F6" w:rsidP="004D73F6">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14:paraId="552903EF" w14:textId="77777777" w:rsidR="004D73F6" w:rsidRPr="0022554A" w:rsidRDefault="004D73F6" w:rsidP="004D73F6">
            <w:pPr>
              <w:tabs>
                <w:tab w:val="left" w:pos="5400"/>
              </w:tabs>
              <w:jc w:val="center"/>
              <w:rPr>
                <w:sz w:val="20"/>
              </w:rPr>
            </w:pPr>
            <w:r w:rsidRPr="0022554A">
              <w:rPr>
                <w:sz w:val="20"/>
              </w:rPr>
              <w:t>13</w:t>
            </w:r>
            <w:bookmarkStart w:id="58" w:name="bold30"/>
            <w:r w:rsidRPr="0022554A">
              <w:rPr>
                <w:bCs/>
                <w:sz w:val="20"/>
              </w:rPr>
              <w:t>*</w:t>
            </w:r>
            <w:bookmarkEnd w:id="58"/>
          </w:p>
        </w:tc>
        <w:tc>
          <w:tcPr>
            <w:tcW w:w="0" w:type="auto"/>
            <w:tcBorders>
              <w:right w:val="single" w:sz="4" w:space="0" w:color="auto"/>
            </w:tcBorders>
          </w:tcPr>
          <w:p w14:paraId="2188C20A" w14:textId="06463928" w:rsidR="004D73F6" w:rsidRPr="0022554A" w:rsidRDefault="004D73F6" w:rsidP="004D73F6">
            <w:pPr>
              <w:tabs>
                <w:tab w:val="left" w:pos="5400"/>
              </w:tabs>
              <w:rPr>
                <w:sz w:val="20"/>
              </w:rPr>
            </w:pPr>
            <w:r>
              <w:rPr>
                <w:sz w:val="20"/>
              </w:rPr>
              <w:t xml:space="preserve">(a) </w:t>
            </w:r>
            <w:r w:rsidRPr="00D0056B">
              <w:rPr>
                <w:sz w:val="20"/>
                <w:lang w:val="en-US"/>
              </w:rPr>
              <w:t>Overall, a total of 356 school children aged 5-17 years were enrolled in the study</w:t>
            </w:r>
          </w:p>
        </w:tc>
        <w:tc>
          <w:tcPr>
            <w:tcW w:w="0" w:type="auto"/>
            <w:tcBorders>
              <w:top w:val="single" w:sz="4" w:space="0" w:color="auto"/>
              <w:left w:val="single" w:sz="4" w:space="0" w:color="auto"/>
              <w:bottom w:val="single" w:sz="4" w:space="0" w:color="auto"/>
            </w:tcBorders>
          </w:tcPr>
          <w:p w14:paraId="1688C7C9" w14:textId="77777777" w:rsidR="004D73F6" w:rsidRDefault="004D73F6" w:rsidP="004D73F6">
            <w:pPr>
              <w:tabs>
                <w:tab w:val="left" w:pos="5400"/>
              </w:tabs>
              <w:rPr>
                <w:sz w:val="20"/>
              </w:rPr>
            </w:pPr>
          </w:p>
        </w:tc>
      </w:tr>
      <w:tr w:rsidR="004D73F6" w:rsidRPr="0022554A" w14:paraId="5439E6F7" w14:textId="77777777" w:rsidTr="00F968F7">
        <w:tc>
          <w:tcPr>
            <w:tcW w:w="0" w:type="auto"/>
            <w:vMerge/>
          </w:tcPr>
          <w:p w14:paraId="7CC164EE" w14:textId="77777777" w:rsidR="004D73F6" w:rsidRPr="0022554A" w:rsidRDefault="004D73F6" w:rsidP="004D73F6">
            <w:pPr>
              <w:tabs>
                <w:tab w:val="left" w:pos="5400"/>
              </w:tabs>
              <w:rPr>
                <w:bCs/>
                <w:sz w:val="20"/>
              </w:rPr>
            </w:pPr>
            <w:bookmarkStart w:id="59" w:name="bold31" w:colFirst="0" w:colLast="0"/>
            <w:bookmarkStart w:id="60" w:name="italic32" w:colFirst="0" w:colLast="0"/>
          </w:p>
        </w:tc>
        <w:tc>
          <w:tcPr>
            <w:tcW w:w="0" w:type="auto"/>
            <w:vMerge/>
          </w:tcPr>
          <w:p w14:paraId="224A0556" w14:textId="77777777" w:rsidR="004D73F6" w:rsidRPr="0022554A" w:rsidRDefault="004D73F6" w:rsidP="004D73F6">
            <w:pPr>
              <w:tabs>
                <w:tab w:val="left" w:pos="5400"/>
              </w:tabs>
              <w:jc w:val="center"/>
              <w:rPr>
                <w:sz w:val="20"/>
              </w:rPr>
            </w:pPr>
          </w:p>
        </w:tc>
        <w:tc>
          <w:tcPr>
            <w:tcW w:w="0" w:type="auto"/>
            <w:tcBorders>
              <w:right w:val="single" w:sz="4" w:space="0" w:color="auto"/>
            </w:tcBorders>
          </w:tcPr>
          <w:p w14:paraId="0CBB65EC" w14:textId="2A1818CF" w:rsidR="004D73F6" w:rsidRPr="0022554A" w:rsidRDefault="004D73F6" w:rsidP="004D73F6">
            <w:pPr>
              <w:tabs>
                <w:tab w:val="left" w:pos="5400"/>
              </w:tabs>
              <w:rPr>
                <w:sz w:val="20"/>
              </w:rPr>
            </w:pPr>
            <w:r>
              <w:rPr>
                <w:sz w:val="20"/>
              </w:rPr>
              <w:t xml:space="preserve">(b) Not applicable </w:t>
            </w:r>
          </w:p>
        </w:tc>
        <w:tc>
          <w:tcPr>
            <w:tcW w:w="0" w:type="auto"/>
            <w:tcBorders>
              <w:top w:val="single" w:sz="4" w:space="0" w:color="auto"/>
              <w:left w:val="single" w:sz="4" w:space="0" w:color="auto"/>
              <w:bottom w:val="single" w:sz="4" w:space="0" w:color="auto"/>
            </w:tcBorders>
          </w:tcPr>
          <w:p w14:paraId="0C41D29F" w14:textId="77777777" w:rsidR="004D73F6" w:rsidRDefault="004D73F6" w:rsidP="004D73F6">
            <w:pPr>
              <w:tabs>
                <w:tab w:val="left" w:pos="5400"/>
              </w:tabs>
              <w:rPr>
                <w:sz w:val="20"/>
              </w:rPr>
            </w:pPr>
          </w:p>
        </w:tc>
      </w:tr>
      <w:tr w:rsidR="004D73F6" w:rsidRPr="0022554A" w14:paraId="04D94159" w14:textId="77777777" w:rsidTr="00F968F7">
        <w:tc>
          <w:tcPr>
            <w:tcW w:w="0" w:type="auto"/>
            <w:vMerge/>
          </w:tcPr>
          <w:p w14:paraId="4C5E7D54" w14:textId="77777777" w:rsidR="004D73F6" w:rsidRPr="0022554A" w:rsidRDefault="004D73F6" w:rsidP="004D73F6">
            <w:pPr>
              <w:tabs>
                <w:tab w:val="left" w:pos="5400"/>
              </w:tabs>
              <w:rPr>
                <w:bCs/>
                <w:sz w:val="20"/>
              </w:rPr>
            </w:pPr>
            <w:bookmarkStart w:id="61" w:name="bold32" w:colFirst="0" w:colLast="0"/>
            <w:bookmarkStart w:id="62" w:name="italic33" w:colFirst="0" w:colLast="0"/>
            <w:bookmarkEnd w:id="59"/>
            <w:bookmarkEnd w:id="60"/>
          </w:p>
        </w:tc>
        <w:tc>
          <w:tcPr>
            <w:tcW w:w="0" w:type="auto"/>
            <w:vMerge/>
          </w:tcPr>
          <w:p w14:paraId="5FFAD30F" w14:textId="77777777" w:rsidR="004D73F6" w:rsidRPr="0022554A" w:rsidRDefault="004D73F6" w:rsidP="004D73F6">
            <w:pPr>
              <w:tabs>
                <w:tab w:val="left" w:pos="5400"/>
              </w:tabs>
              <w:jc w:val="center"/>
              <w:rPr>
                <w:sz w:val="20"/>
              </w:rPr>
            </w:pPr>
          </w:p>
        </w:tc>
        <w:tc>
          <w:tcPr>
            <w:tcW w:w="0" w:type="auto"/>
            <w:tcBorders>
              <w:right w:val="single" w:sz="4" w:space="0" w:color="auto"/>
            </w:tcBorders>
          </w:tcPr>
          <w:p w14:paraId="347FD498" w14:textId="172FCE51" w:rsidR="004D73F6" w:rsidRPr="0022554A" w:rsidRDefault="004D73F6" w:rsidP="004D73F6">
            <w:pPr>
              <w:tabs>
                <w:tab w:val="left" w:pos="5400"/>
              </w:tabs>
              <w:rPr>
                <w:sz w:val="20"/>
              </w:rPr>
            </w:pPr>
            <w:bookmarkStart w:id="63" w:name="OLE_LINK4"/>
            <w:r>
              <w:rPr>
                <w:sz w:val="20"/>
              </w:rPr>
              <w:t xml:space="preserve">(c) </w:t>
            </w:r>
            <w:r w:rsidRPr="0022554A">
              <w:rPr>
                <w:sz w:val="20"/>
              </w:rPr>
              <w:t>Consider use of a flow diagram</w:t>
            </w:r>
            <w:bookmarkEnd w:id="63"/>
            <w:r>
              <w:rPr>
                <w:sz w:val="20"/>
              </w:rPr>
              <w:t xml:space="preserve">- </w:t>
            </w:r>
            <w:r w:rsidRPr="00921D49">
              <w:rPr>
                <w:b/>
                <w:sz w:val="20"/>
              </w:rPr>
              <w:t>Not necessary</w:t>
            </w:r>
          </w:p>
        </w:tc>
        <w:tc>
          <w:tcPr>
            <w:tcW w:w="0" w:type="auto"/>
            <w:tcBorders>
              <w:top w:val="single" w:sz="4" w:space="0" w:color="auto"/>
              <w:left w:val="single" w:sz="4" w:space="0" w:color="auto"/>
              <w:bottom w:val="single" w:sz="4" w:space="0" w:color="auto"/>
            </w:tcBorders>
          </w:tcPr>
          <w:p w14:paraId="270BA582" w14:textId="77777777" w:rsidR="004D73F6" w:rsidRDefault="004D73F6" w:rsidP="004D73F6">
            <w:pPr>
              <w:tabs>
                <w:tab w:val="left" w:pos="5400"/>
              </w:tabs>
              <w:rPr>
                <w:sz w:val="20"/>
              </w:rPr>
            </w:pPr>
          </w:p>
        </w:tc>
      </w:tr>
      <w:tr w:rsidR="004D73F6" w:rsidRPr="0022554A" w14:paraId="0959D7A4" w14:textId="77777777" w:rsidTr="00F968F7">
        <w:tc>
          <w:tcPr>
            <w:tcW w:w="0" w:type="auto"/>
            <w:vMerge w:val="restart"/>
          </w:tcPr>
          <w:p w14:paraId="1DACB3FF" w14:textId="77777777" w:rsidR="004D73F6" w:rsidRPr="0022554A" w:rsidRDefault="004D73F6" w:rsidP="004D73F6">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14:paraId="05820E1D" w14:textId="77777777" w:rsidR="004D73F6" w:rsidRPr="0022554A" w:rsidRDefault="004D73F6" w:rsidP="004D73F6">
            <w:pPr>
              <w:tabs>
                <w:tab w:val="left" w:pos="5400"/>
              </w:tabs>
              <w:jc w:val="center"/>
              <w:rPr>
                <w:sz w:val="20"/>
              </w:rPr>
            </w:pPr>
            <w:r w:rsidRPr="0022554A">
              <w:rPr>
                <w:sz w:val="20"/>
              </w:rPr>
              <w:t>14</w:t>
            </w:r>
            <w:bookmarkStart w:id="68" w:name="bold35"/>
            <w:r w:rsidRPr="0022554A">
              <w:rPr>
                <w:bCs/>
                <w:sz w:val="20"/>
              </w:rPr>
              <w:t>*</w:t>
            </w:r>
            <w:bookmarkEnd w:id="68"/>
          </w:p>
        </w:tc>
        <w:tc>
          <w:tcPr>
            <w:tcW w:w="0" w:type="auto"/>
            <w:tcBorders>
              <w:right w:val="single" w:sz="4" w:space="0" w:color="auto"/>
            </w:tcBorders>
          </w:tcPr>
          <w:p w14:paraId="69642528" w14:textId="5C8996F1" w:rsidR="004D73F6" w:rsidRPr="005C29A3" w:rsidRDefault="004D73F6" w:rsidP="004D73F6">
            <w:pPr>
              <w:spacing w:line="240" w:lineRule="auto"/>
              <w:jc w:val="both"/>
              <w:rPr>
                <w:sz w:val="20"/>
              </w:rPr>
            </w:pPr>
            <w:r w:rsidRPr="005C29A3">
              <w:rPr>
                <w:sz w:val="20"/>
              </w:rPr>
              <w:t xml:space="preserve">(a) </w:t>
            </w:r>
            <w:r w:rsidR="005C29A3" w:rsidRPr="005C29A3">
              <w:rPr>
                <w:sz w:val="20"/>
              </w:rPr>
              <w:t xml:space="preserve">A total of 930 participants were enrolled in the present study, of these 513 (55.2%) and 417 (44.8%) were female and male respectively. The mean age of the study participants was 23.3 ± 18.5 years. Almost 87.2% of the study participants reported to have never participated in a mass drug administration campaign against schistosomiasis and only 12.8% reported to have ever participated in the program. The overall prevalence of </w:t>
            </w:r>
            <w:r w:rsidR="005C29A3" w:rsidRPr="005C29A3">
              <w:rPr>
                <w:i/>
                <w:sz w:val="20"/>
              </w:rPr>
              <w:t>S. mansoni</w:t>
            </w:r>
            <w:r w:rsidR="005C29A3" w:rsidRPr="005C29A3">
              <w:rPr>
                <w:sz w:val="20"/>
              </w:rPr>
              <w:t xml:space="preserve"> was 68.9% (95%CI: 65.8-71.8). In relation to sex, male individuals had a higher prevalence of </w:t>
            </w:r>
            <w:r w:rsidR="005C29A3" w:rsidRPr="005C29A3">
              <w:rPr>
                <w:i/>
                <w:sz w:val="20"/>
              </w:rPr>
              <w:t>S. mansoni</w:t>
            </w:r>
            <w:r w:rsidR="005C29A3" w:rsidRPr="005C29A3">
              <w:rPr>
                <w:sz w:val="20"/>
              </w:rPr>
              <w:t xml:space="preserve"> compared to female individuals (74.3%, 95%CI: 69.9-78.3) </w:t>
            </w:r>
            <w:r w:rsidR="005C29A3" w:rsidRPr="005C29A3">
              <w:rPr>
                <w:i/>
                <w:sz w:val="20"/>
              </w:rPr>
              <w:t>versus</w:t>
            </w:r>
            <w:r w:rsidR="005C29A3" w:rsidRPr="005C29A3">
              <w:rPr>
                <w:sz w:val="20"/>
              </w:rPr>
              <w:t xml:space="preserve"> 64.5% (95%CI: 60.3-68.6) χ</w:t>
            </w:r>
            <w:r w:rsidR="005C29A3" w:rsidRPr="005C29A3">
              <w:rPr>
                <w:sz w:val="20"/>
                <w:vertAlign w:val="superscript"/>
              </w:rPr>
              <w:t>2</w:t>
            </w:r>
            <w:r w:rsidR="005C29A3" w:rsidRPr="005C29A3">
              <w:rPr>
                <w:sz w:val="20"/>
              </w:rPr>
              <w:t xml:space="preserve">=10.3523, </w:t>
            </w:r>
            <w:r w:rsidR="005C29A3" w:rsidRPr="005C29A3">
              <w:rPr>
                <w:i/>
                <w:sz w:val="20"/>
              </w:rPr>
              <w:t>P</w:t>
            </w:r>
            <w:r w:rsidR="005C29A3" w:rsidRPr="005C29A3">
              <w:rPr>
                <w:sz w:val="20"/>
              </w:rPr>
              <w:t xml:space="preserve">&lt;0.001). In relation to age, the age group 6-15 years (86.1%, 95%CI: 82.4-89.1) and 16-25 years (57.1%, 95%CI: 47.9-65.8) had the highest prevalence of </w:t>
            </w:r>
            <w:r w:rsidR="005C29A3" w:rsidRPr="005C29A3">
              <w:rPr>
                <w:i/>
                <w:sz w:val="20"/>
              </w:rPr>
              <w:t>S. mansoni</w:t>
            </w:r>
            <w:r w:rsidR="005C29A3" w:rsidRPr="005C29A3">
              <w:rPr>
                <w:sz w:val="20"/>
              </w:rPr>
              <w:t xml:space="preserve"> compared to the other age groups (χ</w:t>
            </w:r>
            <w:r w:rsidR="005C29A3" w:rsidRPr="005C29A3">
              <w:rPr>
                <w:sz w:val="20"/>
                <w:vertAlign w:val="superscript"/>
              </w:rPr>
              <w:t>2</w:t>
            </w:r>
            <w:r w:rsidR="005C29A3" w:rsidRPr="005C29A3">
              <w:rPr>
                <w:sz w:val="20"/>
              </w:rPr>
              <w:t xml:space="preserve">=105.61, </w:t>
            </w:r>
            <w:r w:rsidR="005C29A3" w:rsidRPr="005C29A3">
              <w:rPr>
                <w:i/>
                <w:sz w:val="20"/>
              </w:rPr>
              <w:t>P</w:t>
            </w:r>
            <w:r w:rsidR="005C29A3" w:rsidRPr="005C29A3">
              <w:rPr>
                <w:sz w:val="20"/>
              </w:rPr>
              <w:t>&lt;0.001)</w:t>
            </w:r>
          </w:p>
        </w:tc>
        <w:tc>
          <w:tcPr>
            <w:tcW w:w="0" w:type="auto"/>
            <w:tcBorders>
              <w:top w:val="single" w:sz="4" w:space="0" w:color="auto"/>
              <w:left w:val="single" w:sz="4" w:space="0" w:color="auto"/>
              <w:bottom w:val="single" w:sz="4" w:space="0" w:color="auto"/>
            </w:tcBorders>
          </w:tcPr>
          <w:p w14:paraId="41F25955" w14:textId="5573DDDD" w:rsidR="004D73F6" w:rsidRDefault="00237890" w:rsidP="004D73F6">
            <w:pPr>
              <w:tabs>
                <w:tab w:val="left" w:pos="5400"/>
              </w:tabs>
              <w:rPr>
                <w:sz w:val="20"/>
              </w:rPr>
            </w:pPr>
            <w:r>
              <w:rPr>
                <w:sz w:val="20"/>
              </w:rPr>
              <w:t>11-15</w:t>
            </w:r>
          </w:p>
        </w:tc>
      </w:tr>
      <w:tr w:rsidR="004D73F6" w:rsidRPr="0022554A" w14:paraId="32B8436C" w14:textId="77777777" w:rsidTr="00F968F7">
        <w:tc>
          <w:tcPr>
            <w:tcW w:w="0" w:type="auto"/>
            <w:vMerge/>
          </w:tcPr>
          <w:p w14:paraId="56B2662D" w14:textId="77777777" w:rsidR="004D73F6" w:rsidRPr="0022554A" w:rsidRDefault="004D73F6" w:rsidP="004D73F6">
            <w:pPr>
              <w:tabs>
                <w:tab w:val="left" w:pos="5400"/>
              </w:tabs>
              <w:rPr>
                <w:bCs/>
                <w:sz w:val="20"/>
              </w:rPr>
            </w:pPr>
            <w:bookmarkStart w:id="69" w:name="bold36" w:colFirst="0" w:colLast="0"/>
            <w:bookmarkStart w:id="70" w:name="italic36" w:colFirst="0" w:colLast="0"/>
          </w:p>
        </w:tc>
        <w:tc>
          <w:tcPr>
            <w:tcW w:w="0" w:type="auto"/>
            <w:vMerge/>
          </w:tcPr>
          <w:p w14:paraId="15069DA6" w14:textId="77777777" w:rsidR="004D73F6" w:rsidRPr="0022554A" w:rsidRDefault="004D73F6" w:rsidP="004D73F6">
            <w:pPr>
              <w:tabs>
                <w:tab w:val="left" w:pos="5400"/>
              </w:tabs>
              <w:jc w:val="center"/>
              <w:rPr>
                <w:sz w:val="20"/>
              </w:rPr>
            </w:pPr>
          </w:p>
        </w:tc>
        <w:tc>
          <w:tcPr>
            <w:tcW w:w="0" w:type="auto"/>
            <w:tcBorders>
              <w:right w:val="single" w:sz="4" w:space="0" w:color="auto"/>
            </w:tcBorders>
          </w:tcPr>
          <w:p w14:paraId="39DA9FDA" w14:textId="431580EE" w:rsidR="004D73F6" w:rsidRPr="0022554A" w:rsidRDefault="004D73F6" w:rsidP="004D73F6">
            <w:pPr>
              <w:tabs>
                <w:tab w:val="left" w:pos="5400"/>
              </w:tabs>
              <w:rPr>
                <w:sz w:val="20"/>
              </w:rPr>
            </w:pPr>
            <w:r>
              <w:rPr>
                <w:sz w:val="20"/>
              </w:rPr>
              <w:t xml:space="preserve">(b) </w:t>
            </w:r>
            <w:r w:rsidRPr="0022554A">
              <w:rPr>
                <w:sz w:val="20"/>
              </w:rPr>
              <w:t>Indicate number of participants with missing data for each variable of interest</w:t>
            </w:r>
            <w:r>
              <w:rPr>
                <w:sz w:val="20"/>
              </w:rPr>
              <w:t xml:space="preserve">- </w:t>
            </w:r>
            <w:r w:rsidRPr="00921D49">
              <w:rPr>
                <w:b/>
                <w:sz w:val="20"/>
              </w:rPr>
              <w:t>Not applicable</w:t>
            </w:r>
          </w:p>
        </w:tc>
        <w:tc>
          <w:tcPr>
            <w:tcW w:w="0" w:type="auto"/>
            <w:tcBorders>
              <w:top w:val="single" w:sz="4" w:space="0" w:color="auto"/>
              <w:left w:val="single" w:sz="4" w:space="0" w:color="auto"/>
              <w:bottom w:val="single" w:sz="4" w:space="0" w:color="auto"/>
            </w:tcBorders>
          </w:tcPr>
          <w:p w14:paraId="13335107" w14:textId="77777777" w:rsidR="004D73F6" w:rsidRDefault="004D73F6" w:rsidP="004D73F6">
            <w:pPr>
              <w:tabs>
                <w:tab w:val="left" w:pos="5400"/>
              </w:tabs>
              <w:rPr>
                <w:sz w:val="20"/>
              </w:rPr>
            </w:pPr>
          </w:p>
        </w:tc>
      </w:tr>
      <w:tr w:rsidR="004D73F6" w:rsidRPr="0022554A" w14:paraId="00C373AA" w14:textId="77777777" w:rsidTr="00F968F7">
        <w:trPr>
          <w:trHeight w:val="295"/>
        </w:trPr>
        <w:tc>
          <w:tcPr>
            <w:tcW w:w="0" w:type="auto"/>
          </w:tcPr>
          <w:p w14:paraId="61FF63D1" w14:textId="77777777" w:rsidR="004D73F6" w:rsidRPr="0022554A" w:rsidRDefault="004D73F6" w:rsidP="004D73F6">
            <w:pPr>
              <w:tabs>
                <w:tab w:val="left" w:pos="5400"/>
              </w:tabs>
              <w:rPr>
                <w:bCs/>
                <w:sz w:val="20"/>
              </w:rPr>
            </w:pPr>
            <w:bookmarkStart w:id="71" w:name="bold38" w:colFirst="0" w:colLast="0"/>
            <w:bookmarkStart w:id="72" w:name="italic38" w:colFirst="0" w:colLast="0"/>
            <w:bookmarkEnd w:id="69"/>
            <w:bookmarkEnd w:id="70"/>
            <w:r w:rsidRPr="0022554A">
              <w:rPr>
                <w:bCs/>
                <w:sz w:val="20"/>
              </w:rPr>
              <w:lastRenderedPageBreak/>
              <w:t>Outcome data</w:t>
            </w:r>
          </w:p>
        </w:tc>
        <w:tc>
          <w:tcPr>
            <w:tcW w:w="0" w:type="auto"/>
          </w:tcPr>
          <w:p w14:paraId="1DA5441C" w14:textId="77777777" w:rsidR="004D73F6" w:rsidRPr="0022554A" w:rsidRDefault="004D73F6" w:rsidP="004D73F6">
            <w:pPr>
              <w:tabs>
                <w:tab w:val="left" w:pos="5400"/>
              </w:tabs>
              <w:jc w:val="center"/>
              <w:rPr>
                <w:sz w:val="20"/>
              </w:rPr>
            </w:pPr>
            <w:r w:rsidRPr="0022554A">
              <w:rPr>
                <w:sz w:val="20"/>
              </w:rPr>
              <w:t>15</w:t>
            </w:r>
            <w:bookmarkStart w:id="73" w:name="bold39"/>
            <w:r w:rsidRPr="0022554A">
              <w:rPr>
                <w:bCs/>
                <w:sz w:val="20"/>
              </w:rPr>
              <w:t>*</w:t>
            </w:r>
            <w:bookmarkEnd w:id="73"/>
          </w:p>
        </w:tc>
        <w:tc>
          <w:tcPr>
            <w:tcW w:w="0" w:type="auto"/>
            <w:tcBorders>
              <w:right w:val="single" w:sz="4" w:space="0" w:color="auto"/>
            </w:tcBorders>
          </w:tcPr>
          <w:p w14:paraId="6832B153" w14:textId="2145E969" w:rsidR="004D73F6" w:rsidRPr="00D0056B" w:rsidRDefault="004D73F6" w:rsidP="004D73F6">
            <w:pPr>
              <w:tabs>
                <w:tab w:val="left" w:pos="5400"/>
              </w:tabs>
              <w:spacing w:line="240" w:lineRule="auto"/>
              <w:jc w:val="both"/>
              <w:rPr>
                <w:sz w:val="20"/>
              </w:rPr>
            </w:pPr>
            <w:r w:rsidRPr="00D0056B">
              <w:rPr>
                <w:color w:val="000000"/>
                <w:sz w:val="20"/>
                <w:lang w:val="en-US"/>
              </w:rPr>
              <w:t xml:space="preserve">Only 17% of the children had relevant schistosomiasis related knowledge and very few of them knew any of the </w:t>
            </w:r>
            <w:r w:rsidRPr="00D0056B">
              <w:rPr>
                <w:i/>
                <w:color w:val="000000"/>
                <w:sz w:val="20"/>
                <w:lang w:val="en-US"/>
              </w:rPr>
              <w:t>S</w:t>
            </w:r>
            <w:r w:rsidRPr="00D0056B">
              <w:rPr>
                <w:i/>
                <w:iCs/>
                <w:color w:val="000000"/>
                <w:sz w:val="20"/>
                <w:lang w:val="en-US"/>
              </w:rPr>
              <w:t>.  mansoni</w:t>
            </w:r>
            <w:r w:rsidRPr="00D0056B">
              <w:rPr>
                <w:color w:val="000000"/>
                <w:sz w:val="20"/>
                <w:lang w:val="en-US"/>
              </w:rPr>
              <w:t> manifestations and complications. Factors associated with relevant schistosomiasis knowledge were previous diagnosis of schistosomiasis (aOR=2.43, 95%CI: 1.1- 5.6), having heard about schistosomiasis at school (aOR=9.94, 95%CI: 5.0-19.7) and being enrolled in 6</w:t>
            </w:r>
            <w:r w:rsidRPr="00D0056B">
              <w:rPr>
                <w:color w:val="000000"/>
                <w:sz w:val="20"/>
                <w:vertAlign w:val="superscript"/>
                <w:lang w:val="en-US"/>
              </w:rPr>
              <w:t>th</w:t>
            </w:r>
            <w:r w:rsidRPr="00D0056B">
              <w:rPr>
                <w:color w:val="000000"/>
                <w:sz w:val="20"/>
                <w:lang w:val="en-US"/>
              </w:rPr>
              <w:t> or 7</w:t>
            </w:r>
            <w:r w:rsidRPr="00D0056B">
              <w:rPr>
                <w:color w:val="000000"/>
                <w:sz w:val="20"/>
                <w:vertAlign w:val="superscript"/>
                <w:lang w:val="en-US"/>
              </w:rPr>
              <w:t>th</w:t>
            </w:r>
            <w:r w:rsidRPr="00D0056B">
              <w:rPr>
                <w:color w:val="000000"/>
                <w:sz w:val="20"/>
                <w:lang w:val="en-US"/>
              </w:rPr>
              <w:t> grade (aOR=3.94, 95%CI: 1.3-11.8). Only 40% of the children demonstrated high intention to participate in treatment campaigns.</w:t>
            </w:r>
          </w:p>
        </w:tc>
        <w:tc>
          <w:tcPr>
            <w:tcW w:w="0" w:type="auto"/>
            <w:tcBorders>
              <w:top w:val="single" w:sz="4" w:space="0" w:color="auto"/>
              <w:left w:val="single" w:sz="4" w:space="0" w:color="auto"/>
              <w:bottom w:val="single" w:sz="4" w:space="0" w:color="auto"/>
            </w:tcBorders>
          </w:tcPr>
          <w:p w14:paraId="7BC99E1B" w14:textId="38F29424" w:rsidR="004D73F6" w:rsidRPr="0022554A" w:rsidRDefault="00237890" w:rsidP="004D73F6">
            <w:pPr>
              <w:tabs>
                <w:tab w:val="left" w:pos="5400"/>
              </w:tabs>
              <w:rPr>
                <w:sz w:val="20"/>
              </w:rPr>
            </w:pPr>
            <w:r>
              <w:rPr>
                <w:sz w:val="20"/>
              </w:rPr>
              <w:t>11-15</w:t>
            </w:r>
          </w:p>
        </w:tc>
      </w:tr>
      <w:tr w:rsidR="004D73F6" w:rsidRPr="0022554A" w14:paraId="0290965E" w14:textId="77777777" w:rsidTr="00F968F7">
        <w:tc>
          <w:tcPr>
            <w:tcW w:w="0" w:type="auto"/>
            <w:vMerge w:val="restart"/>
          </w:tcPr>
          <w:p w14:paraId="6538EBFD" w14:textId="77777777" w:rsidR="004D73F6" w:rsidRPr="0022554A" w:rsidRDefault="004D73F6" w:rsidP="004D73F6">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53C241B2" w14:textId="77777777" w:rsidR="004D73F6" w:rsidRPr="0022554A" w:rsidRDefault="004D73F6" w:rsidP="004D73F6">
            <w:pPr>
              <w:tabs>
                <w:tab w:val="left" w:pos="5400"/>
              </w:tabs>
              <w:jc w:val="center"/>
              <w:rPr>
                <w:sz w:val="20"/>
              </w:rPr>
            </w:pPr>
            <w:r w:rsidRPr="0022554A">
              <w:rPr>
                <w:sz w:val="20"/>
              </w:rPr>
              <w:t>16</w:t>
            </w:r>
          </w:p>
        </w:tc>
        <w:tc>
          <w:tcPr>
            <w:tcW w:w="0" w:type="auto"/>
            <w:tcBorders>
              <w:right w:val="single" w:sz="4" w:space="0" w:color="auto"/>
            </w:tcBorders>
          </w:tcPr>
          <w:p w14:paraId="5E5F2779" w14:textId="424A5C47" w:rsidR="004D73F6" w:rsidRPr="005C29A3" w:rsidRDefault="004D73F6" w:rsidP="005C29A3">
            <w:pPr>
              <w:spacing w:line="240" w:lineRule="auto"/>
              <w:jc w:val="both"/>
              <w:rPr>
                <w:sz w:val="20"/>
              </w:rPr>
            </w:pPr>
            <w:r w:rsidRPr="005C29A3">
              <w:rPr>
                <w:sz w:val="20"/>
              </w:rPr>
              <w:t>(</w:t>
            </w:r>
            <w:r w:rsidRPr="005C29A3">
              <w:rPr>
                <w:i/>
                <w:sz w:val="20"/>
              </w:rPr>
              <w:t>a</w:t>
            </w:r>
            <w:r w:rsidRPr="005C29A3">
              <w:rPr>
                <w:sz w:val="20"/>
              </w:rPr>
              <w:t xml:space="preserve">) </w:t>
            </w:r>
            <w:r w:rsidR="005C29A3" w:rsidRPr="005C29A3">
              <w:rPr>
                <w:sz w:val="20"/>
              </w:rPr>
              <w:t xml:space="preserve">Overall based on KK technique and POC-CCA test, 68.9% (95%CI: 65.8-71.8) and 94.5% (95%CI: 92.8-95.8) were infected with </w:t>
            </w:r>
            <w:r w:rsidR="005C29A3" w:rsidRPr="005C29A3">
              <w:rPr>
                <w:i/>
                <w:sz w:val="20"/>
              </w:rPr>
              <w:t>S. mansoni</w:t>
            </w:r>
            <w:r w:rsidR="005C29A3" w:rsidRPr="005C29A3">
              <w:rPr>
                <w:sz w:val="20"/>
              </w:rPr>
              <w:t xml:space="preserve">. The overall geometrical mean eggs per gram (GMepg) of faeces was 85.7epg (95%CI: 77.5-94.8). A total of 27.1%, 31.2% and 51.9% of the study participants had periportal fibrosis (PPF-grade C-F), splenomegaly and hepatomegaly. Risk factors for PPF were being male (aRR=1.08, 95%CI: 1.02-1.16, </w:t>
            </w:r>
            <w:r w:rsidR="005C29A3" w:rsidRPr="005C29A3">
              <w:rPr>
                <w:i/>
                <w:sz w:val="20"/>
              </w:rPr>
              <w:t>P</w:t>
            </w:r>
            <w:r w:rsidR="005C29A3" w:rsidRPr="005C29A3">
              <w:rPr>
                <w:sz w:val="20"/>
              </w:rPr>
              <w:t xml:space="preserve">&lt;0.01), belong to the age group 16-25 years (aRR=1.23, 95%CI: 105-1.44, </w:t>
            </w:r>
            <w:r w:rsidR="005C29A3" w:rsidRPr="005C29A3">
              <w:rPr>
                <w:i/>
                <w:sz w:val="20"/>
              </w:rPr>
              <w:t>P</w:t>
            </w:r>
            <w:r w:rsidR="005C29A3" w:rsidRPr="005C29A3">
              <w:rPr>
                <w:sz w:val="20"/>
              </w:rPr>
              <w:t xml:space="preserve">&lt;0.01), 26-35 years (aRR=1.42, 95%CI: 1.21-1.67, </w:t>
            </w:r>
            <w:r w:rsidR="005C29A3" w:rsidRPr="005C29A3">
              <w:rPr>
                <w:i/>
                <w:sz w:val="20"/>
              </w:rPr>
              <w:t>P</w:t>
            </w:r>
            <w:r w:rsidR="005C29A3" w:rsidRPr="005C29A3">
              <w:rPr>
                <w:sz w:val="20"/>
              </w:rPr>
              <w:t xml:space="preserve">&lt;0.001), 36-45 years (aRR=1.56, 95%CI:1.31-1.84, </w:t>
            </w:r>
            <w:r w:rsidR="005C29A3" w:rsidRPr="005C29A3">
              <w:rPr>
                <w:i/>
                <w:sz w:val="20"/>
              </w:rPr>
              <w:t>P</w:t>
            </w:r>
            <w:r w:rsidR="005C29A3" w:rsidRPr="005C29A3">
              <w:rPr>
                <w:sz w:val="20"/>
              </w:rPr>
              <w:t xml:space="preserve">&lt;0.001) and ≥ 46 years (aRR=1.64, 95%CI:1.41-1.92, </w:t>
            </w:r>
            <w:r w:rsidR="005C29A3" w:rsidRPr="005C29A3">
              <w:rPr>
                <w:i/>
                <w:sz w:val="20"/>
              </w:rPr>
              <w:t>P</w:t>
            </w:r>
            <w:r w:rsidR="005C29A3" w:rsidRPr="005C29A3">
              <w:rPr>
                <w:sz w:val="20"/>
              </w:rPr>
              <w:t>&lt;0.001). The length of the left liver lobe was associated with being female (</w:t>
            </w:r>
            <w:r w:rsidR="005C29A3" w:rsidRPr="005C29A3">
              <w:rPr>
                <w:i/>
                <w:sz w:val="20"/>
              </w:rPr>
              <w:t>P</w:t>
            </w:r>
            <w:r w:rsidR="005C29A3" w:rsidRPr="005C29A3">
              <w:rPr>
                <w:sz w:val="20"/>
              </w:rPr>
              <w:t>&lt;0.03), belong to the age group 1-5 years (</w:t>
            </w:r>
            <w:r w:rsidR="005C29A3" w:rsidRPr="005C29A3">
              <w:rPr>
                <w:i/>
                <w:sz w:val="20"/>
              </w:rPr>
              <w:t>P</w:t>
            </w:r>
            <w:r w:rsidR="005C29A3" w:rsidRPr="005C29A3">
              <w:rPr>
                <w:sz w:val="20"/>
              </w:rPr>
              <w:t>&lt;0.013), 6-15 years (</w:t>
            </w:r>
            <w:r w:rsidR="005C29A3" w:rsidRPr="005C29A3">
              <w:rPr>
                <w:i/>
                <w:sz w:val="20"/>
              </w:rPr>
              <w:t>P</w:t>
            </w:r>
            <w:r w:rsidR="005C29A3" w:rsidRPr="005C29A3">
              <w:rPr>
                <w:sz w:val="20"/>
              </w:rPr>
              <w:t xml:space="preserve">&lt;0.04) and </w:t>
            </w:r>
            <w:r w:rsidR="005C29A3" w:rsidRPr="005C29A3">
              <w:rPr>
                <w:i/>
                <w:sz w:val="20"/>
              </w:rPr>
              <w:t>S. mansoni</w:t>
            </w:r>
            <w:r w:rsidR="005C29A3" w:rsidRPr="005C29A3">
              <w:rPr>
                <w:sz w:val="20"/>
              </w:rPr>
              <w:t xml:space="preserve"> intensity of infection (</w:t>
            </w:r>
            <w:r w:rsidR="005C29A3" w:rsidRPr="005C29A3">
              <w:rPr>
                <w:i/>
                <w:sz w:val="20"/>
              </w:rPr>
              <w:t>P</w:t>
            </w:r>
            <w:r w:rsidR="005C29A3" w:rsidRPr="005C29A3">
              <w:rPr>
                <w:sz w:val="20"/>
              </w:rPr>
              <w:t xml:space="preserve">&lt;0.034). Similarly, being male (aRR=1.15, 95%CI:1.06-1.24, </w:t>
            </w:r>
            <w:r w:rsidR="005C29A3" w:rsidRPr="005C29A3">
              <w:rPr>
                <w:i/>
                <w:sz w:val="20"/>
              </w:rPr>
              <w:t>P</w:t>
            </w:r>
            <w:r w:rsidR="005C29A3" w:rsidRPr="005C29A3">
              <w:rPr>
                <w:sz w:val="20"/>
              </w:rPr>
              <w:t xml:space="preserve">&lt;0.001), belonging to the age group 16-25 years (aRR=1.27, 95%CI:1.05-1.54, </w:t>
            </w:r>
            <w:r w:rsidR="005C29A3" w:rsidRPr="005C29A3">
              <w:rPr>
                <w:i/>
                <w:sz w:val="20"/>
              </w:rPr>
              <w:t>P</w:t>
            </w:r>
            <w:r w:rsidR="005C29A3" w:rsidRPr="005C29A3">
              <w:rPr>
                <w:sz w:val="20"/>
              </w:rPr>
              <w:t xml:space="preserve">&lt;0.02), 26-35 years (aRR=1.32, 95%CI:108-1.61, </w:t>
            </w:r>
            <w:r w:rsidR="005C29A3" w:rsidRPr="005C29A3">
              <w:rPr>
                <w:i/>
                <w:sz w:val="20"/>
              </w:rPr>
              <w:t>P</w:t>
            </w:r>
            <w:r w:rsidR="005C29A3" w:rsidRPr="005C29A3">
              <w:rPr>
                <w:sz w:val="20"/>
              </w:rPr>
              <w:t>&lt;0.01) were associated with splenomegaly.</w:t>
            </w:r>
          </w:p>
        </w:tc>
        <w:tc>
          <w:tcPr>
            <w:tcW w:w="0" w:type="auto"/>
            <w:tcBorders>
              <w:top w:val="single" w:sz="4" w:space="0" w:color="auto"/>
              <w:left w:val="single" w:sz="4" w:space="0" w:color="auto"/>
              <w:bottom w:val="single" w:sz="4" w:space="0" w:color="auto"/>
            </w:tcBorders>
          </w:tcPr>
          <w:p w14:paraId="037A36AF" w14:textId="2652819E" w:rsidR="004D73F6" w:rsidRPr="0022554A" w:rsidRDefault="00237890" w:rsidP="004D73F6">
            <w:pPr>
              <w:tabs>
                <w:tab w:val="left" w:pos="5400"/>
              </w:tabs>
              <w:rPr>
                <w:sz w:val="20"/>
              </w:rPr>
            </w:pPr>
            <w:r>
              <w:rPr>
                <w:sz w:val="20"/>
              </w:rPr>
              <w:t>11-15</w:t>
            </w:r>
          </w:p>
        </w:tc>
      </w:tr>
      <w:tr w:rsidR="004D73F6" w:rsidRPr="0022554A" w14:paraId="14291964" w14:textId="77777777" w:rsidTr="00F968F7">
        <w:tc>
          <w:tcPr>
            <w:tcW w:w="0" w:type="auto"/>
            <w:vMerge/>
          </w:tcPr>
          <w:p w14:paraId="7FE54FDD" w14:textId="77777777" w:rsidR="004D73F6" w:rsidRPr="0022554A" w:rsidRDefault="004D73F6" w:rsidP="004D73F6">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1B35C893" w14:textId="77777777" w:rsidR="004D73F6" w:rsidRPr="0022554A" w:rsidRDefault="004D73F6" w:rsidP="004D73F6">
            <w:pPr>
              <w:tabs>
                <w:tab w:val="left" w:pos="5400"/>
              </w:tabs>
              <w:jc w:val="center"/>
              <w:rPr>
                <w:sz w:val="20"/>
              </w:rPr>
            </w:pPr>
          </w:p>
        </w:tc>
        <w:tc>
          <w:tcPr>
            <w:tcW w:w="0" w:type="auto"/>
            <w:tcBorders>
              <w:right w:val="single" w:sz="4" w:space="0" w:color="auto"/>
            </w:tcBorders>
          </w:tcPr>
          <w:p w14:paraId="795C808C" w14:textId="3931B5E0" w:rsidR="004D73F6" w:rsidRPr="006149D3" w:rsidRDefault="004D73F6" w:rsidP="004D73F6">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r>
              <w:rPr>
                <w:sz w:val="20"/>
              </w:rPr>
              <w:t xml:space="preserve">- </w:t>
            </w:r>
            <w:r w:rsidRPr="00921D49">
              <w:rPr>
                <w:b/>
                <w:sz w:val="20"/>
              </w:rPr>
              <w:t>Not applicable</w:t>
            </w:r>
          </w:p>
        </w:tc>
        <w:tc>
          <w:tcPr>
            <w:tcW w:w="0" w:type="auto"/>
            <w:tcBorders>
              <w:top w:val="single" w:sz="4" w:space="0" w:color="auto"/>
              <w:left w:val="single" w:sz="4" w:space="0" w:color="auto"/>
              <w:bottom w:val="single" w:sz="4" w:space="0" w:color="auto"/>
            </w:tcBorders>
          </w:tcPr>
          <w:p w14:paraId="6CBC7032" w14:textId="77777777" w:rsidR="004D73F6" w:rsidRPr="0022554A" w:rsidRDefault="004D73F6" w:rsidP="004D73F6">
            <w:pPr>
              <w:tabs>
                <w:tab w:val="left" w:pos="5400"/>
              </w:tabs>
              <w:rPr>
                <w:sz w:val="20"/>
              </w:rPr>
            </w:pPr>
          </w:p>
        </w:tc>
      </w:tr>
      <w:tr w:rsidR="004D73F6" w:rsidRPr="0022554A" w14:paraId="7E349397" w14:textId="77777777" w:rsidTr="00F968F7">
        <w:tc>
          <w:tcPr>
            <w:tcW w:w="0" w:type="auto"/>
            <w:vMerge/>
            <w:tcBorders>
              <w:bottom w:val="single" w:sz="4" w:space="0" w:color="auto"/>
            </w:tcBorders>
          </w:tcPr>
          <w:p w14:paraId="07BFC21C" w14:textId="77777777" w:rsidR="004D73F6" w:rsidRPr="0022554A" w:rsidRDefault="004D73F6" w:rsidP="004D73F6">
            <w:pPr>
              <w:tabs>
                <w:tab w:val="left" w:pos="5400"/>
              </w:tabs>
              <w:rPr>
                <w:bCs/>
                <w:sz w:val="20"/>
              </w:rPr>
            </w:pPr>
            <w:bookmarkStart w:id="78" w:name="italic42" w:colFirst="0" w:colLast="0"/>
            <w:bookmarkStart w:id="79" w:name="bold43" w:colFirst="0" w:colLast="0"/>
            <w:bookmarkEnd w:id="76"/>
            <w:bookmarkEnd w:id="77"/>
          </w:p>
        </w:tc>
        <w:tc>
          <w:tcPr>
            <w:tcW w:w="0" w:type="auto"/>
            <w:vMerge/>
            <w:tcBorders>
              <w:bottom w:val="single" w:sz="4" w:space="0" w:color="auto"/>
            </w:tcBorders>
          </w:tcPr>
          <w:p w14:paraId="62866929" w14:textId="77777777" w:rsidR="004D73F6" w:rsidRPr="0022554A" w:rsidRDefault="004D73F6" w:rsidP="004D73F6">
            <w:pPr>
              <w:tabs>
                <w:tab w:val="left" w:pos="5400"/>
              </w:tabs>
              <w:jc w:val="center"/>
              <w:rPr>
                <w:sz w:val="20"/>
              </w:rPr>
            </w:pPr>
          </w:p>
        </w:tc>
        <w:tc>
          <w:tcPr>
            <w:tcW w:w="0" w:type="auto"/>
            <w:tcBorders>
              <w:bottom w:val="single" w:sz="4" w:space="0" w:color="auto"/>
              <w:right w:val="single" w:sz="4" w:space="0" w:color="auto"/>
            </w:tcBorders>
          </w:tcPr>
          <w:p w14:paraId="597D448D" w14:textId="21ED9EE3" w:rsidR="004D73F6" w:rsidRPr="006149D3" w:rsidRDefault="004D73F6" w:rsidP="004D73F6">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Pr>
                <w:sz w:val="20"/>
              </w:rPr>
              <w:t xml:space="preserve">- </w:t>
            </w:r>
            <w:r w:rsidRPr="00921D49">
              <w:rPr>
                <w:b/>
                <w:sz w:val="20"/>
              </w:rPr>
              <w:t>Not applicable</w:t>
            </w:r>
          </w:p>
        </w:tc>
        <w:tc>
          <w:tcPr>
            <w:tcW w:w="0" w:type="auto"/>
            <w:tcBorders>
              <w:top w:val="single" w:sz="4" w:space="0" w:color="auto"/>
              <w:left w:val="single" w:sz="4" w:space="0" w:color="auto"/>
              <w:bottom w:val="single" w:sz="4" w:space="0" w:color="auto"/>
            </w:tcBorders>
          </w:tcPr>
          <w:p w14:paraId="35BBBC53" w14:textId="77777777" w:rsidR="004D73F6" w:rsidRPr="0022554A" w:rsidRDefault="004D73F6" w:rsidP="004D73F6">
            <w:pPr>
              <w:tabs>
                <w:tab w:val="left" w:pos="5400"/>
              </w:tabs>
              <w:rPr>
                <w:sz w:val="20"/>
              </w:rPr>
            </w:pPr>
          </w:p>
        </w:tc>
      </w:tr>
      <w:tr w:rsidR="004D73F6" w:rsidRPr="0022554A" w14:paraId="3CA59C8E" w14:textId="77777777" w:rsidTr="00F968F7">
        <w:tc>
          <w:tcPr>
            <w:tcW w:w="0" w:type="auto"/>
            <w:tcBorders>
              <w:top w:val="single" w:sz="4" w:space="0" w:color="auto"/>
              <w:bottom w:val="single" w:sz="4" w:space="0" w:color="auto"/>
            </w:tcBorders>
          </w:tcPr>
          <w:p w14:paraId="420F0715" w14:textId="77777777" w:rsidR="004D73F6" w:rsidRPr="0022554A" w:rsidRDefault="004D73F6" w:rsidP="004D73F6">
            <w:pPr>
              <w:tabs>
                <w:tab w:val="left" w:pos="5400"/>
              </w:tabs>
              <w:rPr>
                <w:bCs/>
                <w:sz w:val="20"/>
              </w:rPr>
            </w:pPr>
            <w:bookmarkStart w:id="80" w:name="italic43"/>
            <w:bookmarkStart w:id="81" w:name="bold44"/>
            <w:bookmarkEnd w:id="78"/>
            <w:bookmarkEnd w:id="79"/>
            <w:r w:rsidRPr="0022554A">
              <w:rPr>
                <w:bCs/>
                <w:sz w:val="20"/>
              </w:rPr>
              <w:t>Other analyses</w:t>
            </w:r>
            <w:bookmarkEnd w:id="80"/>
            <w:bookmarkEnd w:id="81"/>
          </w:p>
        </w:tc>
        <w:tc>
          <w:tcPr>
            <w:tcW w:w="0" w:type="auto"/>
            <w:tcBorders>
              <w:top w:val="single" w:sz="4" w:space="0" w:color="auto"/>
              <w:bottom w:val="single" w:sz="4" w:space="0" w:color="auto"/>
            </w:tcBorders>
          </w:tcPr>
          <w:p w14:paraId="558F9AF3" w14:textId="77777777" w:rsidR="004D73F6" w:rsidRPr="0022554A" w:rsidRDefault="004D73F6" w:rsidP="004D73F6">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013852D1" w14:textId="30EFE720" w:rsidR="004D73F6" w:rsidRPr="0022554A" w:rsidRDefault="004D73F6" w:rsidP="004D73F6">
            <w:pPr>
              <w:tabs>
                <w:tab w:val="left" w:pos="5400"/>
              </w:tabs>
              <w:rPr>
                <w:sz w:val="20"/>
              </w:rPr>
            </w:pPr>
            <w:r w:rsidRPr="0022554A">
              <w:rPr>
                <w:sz w:val="20"/>
              </w:rPr>
              <w:t>Report other analyses done—eg analyses of subgroups and interactions, and sensitivity analyses</w:t>
            </w:r>
            <w:r>
              <w:rPr>
                <w:sz w:val="20"/>
              </w:rPr>
              <w:t xml:space="preserve">- </w:t>
            </w:r>
            <w:r w:rsidRPr="00921D49">
              <w:rPr>
                <w:b/>
                <w:sz w:val="20"/>
              </w:rPr>
              <w:t>Not applicable</w:t>
            </w:r>
          </w:p>
        </w:tc>
        <w:tc>
          <w:tcPr>
            <w:tcW w:w="0" w:type="auto"/>
            <w:tcBorders>
              <w:top w:val="single" w:sz="4" w:space="0" w:color="auto"/>
              <w:left w:val="single" w:sz="4" w:space="0" w:color="auto"/>
              <w:bottom w:val="single" w:sz="4" w:space="0" w:color="auto"/>
            </w:tcBorders>
          </w:tcPr>
          <w:p w14:paraId="68CDDD09" w14:textId="77777777" w:rsidR="004D73F6" w:rsidRPr="0022554A" w:rsidRDefault="004D73F6" w:rsidP="004D73F6">
            <w:pPr>
              <w:tabs>
                <w:tab w:val="left" w:pos="5400"/>
              </w:tabs>
              <w:rPr>
                <w:sz w:val="20"/>
              </w:rPr>
            </w:pPr>
          </w:p>
        </w:tc>
      </w:tr>
      <w:tr w:rsidR="004D73F6" w:rsidRPr="0022554A" w14:paraId="4C1891BA" w14:textId="77777777" w:rsidTr="008E6252">
        <w:tc>
          <w:tcPr>
            <w:tcW w:w="0" w:type="auto"/>
            <w:gridSpan w:val="4"/>
            <w:tcBorders>
              <w:top w:val="single" w:sz="4" w:space="0" w:color="auto"/>
            </w:tcBorders>
          </w:tcPr>
          <w:p w14:paraId="3873C34F" w14:textId="77777777" w:rsidR="004D73F6" w:rsidRPr="0022554A" w:rsidRDefault="004D73F6" w:rsidP="004D73F6">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4D73F6" w:rsidRPr="0022554A" w14:paraId="73BA531C" w14:textId="77777777" w:rsidTr="00F968F7">
        <w:tc>
          <w:tcPr>
            <w:tcW w:w="0" w:type="auto"/>
          </w:tcPr>
          <w:p w14:paraId="659B7937" w14:textId="77777777" w:rsidR="004D73F6" w:rsidRPr="0022554A" w:rsidRDefault="004D73F6" w:rsidP="004D73F6">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18861B5C" w14:textId="77777777" w:rsidR="004D73F6" w:rsidRPr="0022554A" w:rsidRDefault="004D73F6" w:rsidP="004D73F6">
            <w:pPr>
              <w:tabs>
                <w:tab w:val="left" w:pos="5400"/>
              </w:tabs>
              <w:jc w:val="center"/>
              <w:rPr>
                <w:sz w:val="20"/>
              </w:rPr>
            </w:pPr>
            <w:r w:rsidRPr="0022554A">
              <w:rPr>
                <w:sz w:val="20"/>
              </w:rPr>
              <w:t>18</w:t>
            </w:r>
          </w:p>
        </w:tc>
        <w:tc>
          <w:tcPr>
            <w:tcW w:w="0" w:type="auto"/>
            <w:tcBorders>
              <w:right w:val="single" w:sz="4" w:space="0" w:color="auto"/>
            </w:tcBorders>
          </w:tcPr>
          <w:p w14:paraId="6BD44CDF" w14:textId="773BB6DD" w:rsidR="004D73F6" w:rsidRPr="0022554A" w:rsidRDefault="004D73F6" w:rsidP="004D73F6">
            <w:pPr>
              <w:tabs>
                <w:tab w:val="left" w:pos="5400"/>
              </w:tabs>
              <w:rPr>
                <w:sz w:val="20"/>
              </w:rPr>
            </w:pPr>
            <w:r>
              <w:rPr>
                <w:sz w:val="20"/>
              </w:rPr>
              <w:t>Done in the discussion section</w:t>
            </w:r>
          </w:p>
        </w:tc>
        <w:tc>
          <w:tcPr>
            <w:tcW w:w="0" w:type="auto"/>
            <w:tcBorders>
              <w:top w:val="single" w:sz="4" w:space="0" w:color="auto"/>
              <w:left w:val="single" w:sz="4" w:space="0" w:color="auto"/>
              <w:bottom w:val="single" w:sz="4" w:space="0" w:color="auto"/>
            </w:tcBorders>
          </w:tcPr>
          <w:p w14:paraId="4A95E68C" w14:textId="22467EC9" w:rsidR="004D73F6" w:rsidRPr="0022554A" w:rsidRDefault="004D73F6" w:rsidP="004D73F6">
            <w:pPr>
              <w:tabs>
                <w:tab w:val="left" w:pos="5400"/>
              </w:tabs>
              <w:rPr>
                <w:sz w:val="20"/>
              </w:rPr>
            </w:pPr>
            <w:r>
              <w:rPr>
                <w:sz w:val="20"/>
              </w:rPr>
              <w:t>1</w:t>
            </w:r>
            <w:r w:rsidR="00237890">
              <w:rPr>
                <w:sz w:val="20"/>
              </w:rPr>
              <w:t>5</w:t>
            </w:r>
            <w:r>
              <w:rPr>
                <w:sz w:val="20"/>
              </w:rPr>
              <w:t>-2</w:t>
            </w:r>
            <w:r w:rsidR="00237890">
              <w:rPr>
                <w:sz w:val="20"/>
              </w:rPr>
              <w:t>0</w:t>
            </w:r>
          </w:p>
        </w:tc>
      </w:tr>
      <w:tr w:rsidR="004D73F6" w:rsidRPr="0022554A" w14:paraId="1D910C96" w14:textId="77777777" w:rsidTr="00F968F7">
        <w:tc>
          <w:tcPr>
            <w:tcW w:w="0" w:type="auto"/>
          </w:tcPr>
          <w:p w14:paraId="4E135999" w14:textId="77777777" w:rsidR="004D73F6" w:rsidRPr="0022554A" w:rsidRDefault="004D73F6" w:rsidP="004D73F6">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5761294F" w14:textId="77777777" w:rsidR="004D73F6" w:rsidRPr="0022554A" w:rsidRDefault="004D73F6" w:rsidP="004D73F6">
            <w:pPr>
              <w:tabs>
                <w:tab w:val="left" w:pos="5400"/>
              </w:tabs>
              <w:jc w:val="center"/>
              <w:rPr>
                <w:sz w:val="20"/>
              </w:rPr>
            </w:pPr>
            <w:r w:rsidRPr="0022554A">
              <w:rPr>
                <w:sz w:val="20"/>
              </w:rPr>
              <w:t>19</w:t>
            </w:r>
          </w:p>
        </w:tc>
        <w:tc>
          <w:tcPr>
            <w:tcW w:w="0" w:type="auto"/>
            <w:tcBorders>
              <w:right w:val="single" w:sz="4" w:space="0" w:color="auto"/>
            </w:tcBorders>
          </w:tcPr>
          <w:p w14:paraId="457A96AA" w14:textId="4F8A73F9" w:rsidR="004D73F6" w:rsidRPr="0022554A" w:rsidRDefault="004D73F6" w:rsidP="004D73F6">
            <w:pPr>
              <w:tabs>
                <w:tab w:val="left" w:pos="5400"/>
              </w:tabs>
              <w:rPr>
                <w:sz w:val="20"/>
              </w:rPr>
            </w:pPr>
            <w:r>
              <w:rPr>
                <w:sz w:val="20"/>
              </w:rPr>
              <w:t>Limitation section provided</w:t>
            </w:r>
          </w:p>
        </w:tc>
        <w:tc>
          <w:tcPr>
            <w:tcW w:w="0" w:type="auto"/>
            <w:tcBorders>
              <w:top w:val="single" w:sz="4" w:space="0" w:color="auto"/>
              <w:left w:val="single" w:sz="4" w:space="0" w:color="auto"/>
              <w:bottom w:val="single" w:sz="4" w:space="0" w:color="auto"/>
            </w:tcBorders>
          </w:tcPr>
          <w:p w14:paraId="0AF2BEDE" w14:textId="05FDA8EA" w:rsidR="004D73F6" w:rsidRPr="0022554A" w:rsidRDefault="004D73F6" w:rsidP="004D73F6">
            <w:pPr>
              <w:tabs>
                <w:tab w:val="left" w:pos="5400"/>
              </w:tabs>
              <w:rPr>
                <w:sz w:val="20"/>
              </w:rPr>
            </w:pPr>
            <w:r>
              <w:rPr>
                <w:sz w:val="20"/>
              </w:rPr>
              <w:t>1</w:t>
            </w:r>
            <w:r w:rsidR="00237890">
              <w:rPr>
                <w:sz w:val="20"/>
              </w:rPr>
              <w:t>5</w:t>
            </w:r>
            <w:r>
              <w:rPr>
                <w:sz w:val="20"/>
              </w:rPr>
              <w:t>-2</w:t>
            </w:r>
            <w:r w:rsidR="00237890">
              <w:rPr>
                <w:sz w:val="20"/>
              </w:rPr>
              <w:t>0</w:t>
            </w:r>
          </w:p>
        </w:tc>
      </w:tr>
      <w:tr w:rsidR="004D73F6" w:rsidRPr="0022554A" w14:paraId="26120972" w14:textId="77777777" w:rsidTr="00F968F7">
        <w:tc>
          <w:tcPr>
            <w:tcW w:w="0" w:type="auto"/>
          </w:tcPr>
          <w:p w14:paraId="609CAA56" w14:textId="77777777" w:rsidR="004D73F6" w:rsidRPr="0022554A" w:rsidRDefault="004D73F6" w:rsidP="004D73F6">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753F88E5" w14:textId="77777777" w:rsidR="004D73F6" w:rsidRPr="0022554A" w:rsidRDefault="004D73F6" w:rsidP="004D73F6">
            <w:pPr>
              <w:tabs>
                <w:tab w:val="left" w:pos="5400"/>
              </w:tabs>
              <w:jc w:val="center"/>
              <w:rPr>
                <w:sz w:val="20"/>
              </w:rPr>
            </w:pPr>
            <w:r w:rsidRPr="0022554A">
              <w:rPr>
                <w:sz w:val="20"/>
              </w:rPr>
              <w:t>20</w:t>
            </w:r>
          </w:p>
        </w:tc>
        <w:tc>
          <w:tcPr>
            <w:tcW w:w="0" w:type="auto"/>
            <w:tcBorders>
              <w:right w:val="single" w:sz="4" w:space="0" w:color="auto"/>
            </w:tcBorders>
          </w:tcPr>
          <w:p w14:paraId="2173A95C" w14:textId="611E0B68" w:rsidR="004D73F6" w:rsidRPr="0022554A" w:rsidRDefault="004D73F6" w:rsidP="004D73F6">
            <w:pPr>
              <w:tabs>
                <w:tab w:val="left" w:pos="5400"/>
              </w:tabs>
              <w:rPr>
                <w:sz w:val="20"/>
              </w:rPr>
            </w:pPr>
            <w:r>
              <w:rPr>
                <w:sz w:val="20"/>
              </w:rPr>
              <w:t>This has been given in the discussion</w:t>
            </w:r>
          </w:p>
        </w:tc>
        <w:tc>
          <w:tcPr>
            <w:tcW w:w="0" w:type="auto"/>
            <w:tcBorders>
              <w:top w:val="single" w:sz="4" w:space="0" w:color="auto"/>
              <w:left w:val="single" w:sz="4" w:space="0" w:color="auto"/>
              <w:bottom w:val="single" w:sz="4" w:space="0" w:color="auto"/>
            </w:tcBorders>
          </w:tcPr>
          <w:p w14:paraId="6D35051D" w14:textId="43EF9EC0" w:rsidR="004D73F6" w:rsidRPr="0022554A" w:rsidRDefault="004D73F6" w:rsidP="004D73F6">
            <w:pPr>
              <w:tabs>
                <w:tab w:val="left" w:pos="5400"/>
              </w:tabs>
              <w:rPr>
                <w:sz w:val="20"/>
              </w:rPr>
            </w:pPr>
            <w:r>
              <w:rPr>
                <w:sz w:val="20"/>
              </w:rPr>
              <w:t>1</w:t>
            </w:r>
            <w:r w:rsidR="00237890">
              <w:rPr>
                <w:sz w:val="20"/>
              </w:rPr>
              <w:t>5</w:t>
            </w:r>
            <w:r>
              <w:rPr>
                <w:sz w:val="20"/>
              </w:rPr>
              <w:t>-2</w:t>
            </w:r>
            <w:r w:rsidR="00237890">
              <w:rPr>
                <w:sz w:val="20"/>
              </w:rPr>
              <w:t>0</w:t>
            </w:r>
          </w:p>
        </w:tc>
      </w:tr>
      <w:tr w:rsidR="004D73F6" w:rsidRPr="0022554A" w14:paraId="6A1EC04D" w14:textId="77777777" w:rsidTr="00F968F7">
        <w:tc>
          <w:tcPr>
            <w:tcW w:w="0" w:type="auto"/>
          </w:tcPr>
          <w:p w14:paraId="1D012113" w14:textId="77777777" w:rsidR="004D73F6" w:rsidRPr="0022554A" w:rsidRDefault="004D73F6" w:rsidP="004D73F6">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4F5E9464" w14:textId="77777777" w:rsidR="004D73F6" w:rsidRPr="0022554A" w:rsidRDefault="004D73F6" w:rsidP="004D73F6">
            <w:pPr>
              <w:tabs>
                <w:tab w:val="left" w:pos="5400"/>
              </w:tabs>
              <w:jc w:val="center"/>
              <w:rPr>
                <w:sz w:val="20"/>
              </w:rPr>
            </w:pPr>
            <w:r w:rsidRPr="0022554A">
              <w:rPr>
                <w:sz w:val="20"/>
              </w:rPr>
              <w:t>21</w:t>
            </w:r>
          </w:p>
        </w:tc>
        <w:tc>
          <w:tcPr>
            <w:tcW w:w="0" w:type="auto"/>
            <w:tcBorders>
              <w:right w:val="single" w:sz="4" w:space="0" w:color="auto"/>
            </w:tcBorders>
          </w:tcPr>
          <w:p w14:paraId="7A6FACE5" w14:textId="305AE8B0" w:rsidR="004D73F6" w:rsidRPr="0022554A" w:rsidRDefault="004D73F6" w:rsidP="004D73F6">
            <w:pPr>
              <w:tabs>
                <w:tab w:val="left" w:pos="5400"/>
              </w:tabs>
              <w:rPr>
                <w:sz w:val="20"/>
              </w:rPr>
            </w:pPr>
            <w:r>
              <w:rPr>
                <w:sz w:val="20"/>
              </w:rPr>
              <w:t>This has been discussed</w:t>
            </w:r>
          </w:p>
        </w:tc>
        <w:tc>
          <w:tcPr>
            <w:tcW w:w="0" w:type="auto"/>
            <w:tcBorders>
              <w:top w:val="single" w:sz="4" w:space="0" w:color="auto"/>
              <w:left w:val="single" w:sz="4" w:space="0" w:color="auto"/>
              <w:bottom w:val="single" w:sz="4" w:space="0" w:color="auto"/>
            </w:tcBorders>
          </w:tcPr>
          <w:p w14:paraId="2948D4F7" w14:textId="10E09EED" w:rsidR="004D73F6" w:rsidRPr="0022554A" w:rsidRDefault="004D73F6" w:rsidP="004D73F6">
            <w:pPr>
              <w:tabs>
                <w:tab w:val="left" w:pos="5400"/>
              </w:tabs>
              <w:rPr>
                <w:sz w:val="20"/>
              </w:rPr>
            </w:pPr>
            <w:r>
              <w:rPr>
                <w:sz w:val="20"/>
              </w:rPr>
              <w:t>1</w:t>
            </w:r>
            <w:r w:rsidR="00237890">
              <w:rPr>
                <w:sz w:val="20"/>
              </w:rPr>
              <w:t>5</w:t>
            </w:r>
            <w:r>
              <w:rPr>
                <w:sz w:val="20"/>
              </w:rPr>
              <w:t>-2</w:t>
            </w:r>
            <w:r w:rsidR="00237890">
              <w:rPr>
                <w:sz w:val="20"/>
              </w:rPr>
              <w:t>0</w:t>
            </w:r>
          </w:p>
        </w:tc>
      </w:tr>
      <w:tr w:rsidR="004D73F6" w:rsidRPr="0022554A" w14:paraId="586ACB0D" w14:textId="77777777" w:rsidTr="006941E6">
        <w:tc>
          <w:tcPr>
            <w:tcW w:w="0" w:type="auto"/>
            <w:gridSpan w:val="4"/>
            <w:tcBorders>
              <w:bottom w:val="single" w:sz="4" w:space="0" w:color="auto"/>
            </w:tcBorders>
          </w:tcPr>
          <w:p w14:paraId="38C42922" w14:textId="77777777" w:rsidR="004D73F6" w:rsidRPr="0022554A" w:rsidRDefault="004D73F6" w:rsidP="004D73F6">
            <w:pPr>
              <w:pStyle w:val="TableSubHead"/>
              <w:tabs>
                <w:tab w:val="left" w:pos="5400"/>
              </w:tabs>
              <w:rPr>
                <w:sz w:val="20"/>
              </w:rPr>
            </w:pPr>
            <w:bookmarkStart w:id="92" w:name="italic49"/>
            <w:bookmarkStart w:id="93" w:name="bold50"/>
            <w:bookmarkEnd w:id="90"/>
            <w:bookmarkEnd w:id="91"/>
            <w:r w:rsidRPr="0022554A">
              <w:rPr>
                <w:sz w:val="20"/>
              </w:rPr>
              <w:t>Other information</w:t>
            </w:r>
            <w:bookmarkEnd w:id="92"/>
            <w:bookmarkEnd w:id="93"/>
          </w:p>
        </w:tc>
      </w:tr>
      <w:tr w:rsidR="004D73F6" w:rsidRPr="0022554A" w14:paraId="11E4D287" w14:textId="77777777" w:rsidTr="00F968F7">
        <w:tc>
          <w:tcPr>
            <w:tcW w:w="0" w:type="auto"/>
            <w:tcBorders>
              <w:top w:val="single" w:sz="4" w:space="0" w:color="auto"/>
              <w:bottom w:val="single" w:sz="4" w:space="0" w:color="auto"/>
            </w:tcBorders>
          </w:tcPr>
          <w:p w14:paraId="13FC996D" w14:textId="77777777" w:rsidR="004D73F6" w:rsidRPr="0022554A" w:rsidRDefault="004D73F6" w:rsidP="004D73F6">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Borders>
              <w:top w:val="single" w:sz="4" w:space="0" w:color="auto"/>
              <w:bottom w:val="single" w:sz="4" w:space="0" w:color="auto"/>
            </w:tcBorders>
          </w:tcPr>
          <w:p w14:paraId="5C96AD0F" w14:textId="77777777" w:rsidR="004D73F6" w:rsidRPr="0022554A" w:rsidRDefault="004D73F6" w:rsidP="004D73F6">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1B79F6B6" w14:textId="1115379E" w:rsidR="004D73F6" w:rsidRPr="00237890" w:rsidRDefault="00237890" w:rsidP="00237890">
            <w:pPr>
              <w:tabs>
                <w:tab w:val="left" w:pos="5400"/>
              </w:tabs>
              <w:spacing w:line="240" w:lineRule="auto"/>
              <w:jc w:val="both"/>
              <w:rPr>
                <w:sz w:val="20"/>
              </w:rPr>
            </w:pPr>
            <w:r w:rsidRPr="00237890">
              <w:rPr>
                <w:sz w:val="20"/>
              </w:rPr>
              <w:t>Rexroth Foundation, Germany and German Academic Exchange Service (Deutscher Akademischer Austauschdienst (DAAD)</w:t>
            </w:r>
            <w:r w:rsidRPr="00237890">
              <w:rPr>
                <w:rFonts w:ascii="Calibri" w:hAnsi="Calibri" w:cs="Calibri"/>
                <w:color w:val="1F497D"/>
                <w:sz w:val="20"/>
                <w:shd w:val="clear" w:color="auto" w:fill="FFFFFF"/>
              </w:rPr>
              <w:t xml:space="preserve"> </w:t>
            </w:r>
            <w:r w:rsidRPr="00237890">
              <w:rPr>
                <w:sz w:val="20"/>
                <w:shd w:val="clear" w:color="auto" w:fill="FFFFFF"/>
              </w:rPr>
              <w:t>number is: 57141273</w:t>
            </w:r>
            <w:r w:rsidRPr="00237890">
              <w:rPr>
                <w:sz w:val="20"/>
              </w:rPr>
              <w:t xml:space="preserve"> (https://www.daad.de/de/)</w:t>
            </w:r>
          </w:p>
        </w:tc>
        <w:tc>
          <w:tcPr>
            <w:tcW w:w="0" w:type="auto"/>
            <w:tcBorders>
              <w:top w:val="single" w:sz="4" w:space="0" w:color="auto"/>
              <w:left w:val="single" w:sz="4" w:space="0" w:color="auto"/>
              <w:bottom w:val="single" w:sz="4" w:space="0" w:color="auto"/>
            </w:tcBorders>
          </w:tcPr>
          <w:p w14:paraId="30FA6AED" w14:textId="1BBE9779" w:rsidR="004D73F6" w:rsidRPr="0022554A" w:rsidRDefault="004D73F6" w:rsidP="004D73F6">
            <w:pPr>
              <w:tabs>
                <w:tab w:val="left" w:pos="5400"/>
              </w:tabs>
              <w:rPr>
                <w:sz w:val="20"/>
              </w:rPr>
            </w:pPr>
            <w:r>
              <w:rPr>
                <w:sz w:val="20"/>
              </w:rPr>
              <w:t>2</w:t>
            </w:r>
            <w:r w:rsidR="00237890">
              <w:rPr>
                <w:sz w:val="20"/>
              </w:rPr>
              <w:t>1</w:t>
            </w:r>
          </w:p>
        </w:tc>
      </w:tr>
      <w:bookmarkEnd w:id="94"/>
      <w:bookmarkEnd w:id="95"/>
    </w:tbl>
    <w:p w14:paraId="126D4303" w14:textId="77777777" w:rsidR="002602FB" w:rsidRDefault="002602FB" w:rsidP="0022554A">
      <w:pPr>
        <w:pStyle w:val="TableNote"/>
        <w:tabs>
          <w:tab w:val="left" w:pos="5400"/>
        </w:tabs>
        <w:rPr>
          <w:bCs/>
          <w:sz w:val="20"/>
        </w:rPr>
      </w:pPr>
    </w:p>
    <w:p w14:paraId="04B085E3"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030D06FF" w14:textId="77777777" w:rsidR="00AE2C57" w:rsidRDefault="00AE2C57" w:rsidP="0022554A">
      <w:pPr>
        <w:pStyle w:val="TableNote"/>
        <w:tabs>
          <w:tab w:val="left" w:pos="5400"/>
        </w:tabs>
        <w:rPr>
          <w:sz w:val="20"/>
        </w:rPr>
      </w:pPr>
    </w:p>
    <w:sectPr w:rsidR="00AE2C57"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3AB3F9" w14:textId="77777777" w:rsidR="00D50742" w:rsidRDefault="00D50742">
      <w:r>
        <w:separator/>
      </w:r>
    </w:p>
  </w:endnote>
  <w:endnote w:type="continuationSeparator" w:id="0">
    <w:p w14:paraId="71663B4C" w14:textId="77777777" w:rsidR="00D50742" w:rsidRDefault="00D50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BEAE66" w14:textId="77777777" w:rsidR="00CE4480" w:rsidRDefault="00CE4480" w:rsidP="002A7573">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end"/>
    </w:r>
  </w:p>
  <w:p w14:paraId="2B35518D" w14:textId="77777777" w:rsidR="00CE4480" w:rsidRDefault="00CE4480"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EE064" w14:textId="77777777" w:rsidR="002A7573" w:rsidRDefault="002A7573" w:rsidP="00F76668">
    <w:pPr>
      <w:pStyle w:val="Fuzeile"/>
      <w:framePr w:wrap="around" w:vAnchor="text" w:hAnchor="margin" w:xAlign="center" w:y="1"/>
      <w:rPr>
        <w:rStyle w:val="Seitenzahl"/>
      </w:rPr>
    </w:pPr>
    <w:r>
      <w:rPr>
        <w:rStyle w:val="Seitenzahl"/>
      </w:rPr>
      <w:fldChar w:fldCharType="begin"/>
    </w:r>
    <w:r>
      <w:rPr>
        <w:rStyle w:val="Seitenzahl"/>
      </w:rPr>
      <w:instrText xml:space="preserve">PAGE  </w:instrText>
    </w:r>
    <w:r>
      <w:rPr>
        <w:rStyle w:val="Seitenzahl"/>
      </w:rPr>
      <w:fldChar w:fldCharType="separate"/>
    </w:r>
    <w:r w:rsidR="00011B25">
      <w:rPr>
        <w:rStyle w:val="Seitenzahl"/>
        <w:noProof/>
      </w:rPr>
      <w:t>1</w:t>
    </w:r>
    <w:r>
      <w:rPr>
        <w:rStyle w:val="Seitenzahl"/>
      </w:rPr>
      <w:fldChar w:fldCharType="end"/>
    </w:r>
  </w:p>
  <w:p w14:paraId="19332C34" w14:textId="77777777" w:rsidR="00CE4480" w:rsidRDefault="00CE4480" w:rsidP="005D0CF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E6A53E" w14:textId="77777777" w:rsidR="00D50742" w:rsidRDefault="00D50742">
      <w:r>
        <w:separator/>
      </w:r>
    </w:p>
  </w:footnote>
  <w:footnote w:type="continuationSeparator" w:id="0">
    <w:p w14:paraId="39B8FCD0" w14:textId="77777777" w:rsidR="00D50742" w:rsidRDefault="00D507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37890"/>
    <w:rsid w:val="002552FD"/>
    <w:rsid w:val="00257BE0"/>
    <w:rsid w:val="002602FB"/>
    <w:rsid w:val="002A7573"/>
    <w:rsid w:val="002B385C"/>
    <w:rsid w:val="002C731D"/>
    <w:rsid w:val="002D06D0"/>
    <w:rsid w:val="002D1ABE"/>
    <w:rsid w:val="002E661E"/>
    <w:rsid w:val="002F1A87"/>
    <w:rsid w:val="003354B7"/>
    <w:rsid w:val="00342746"/>
    <w:rsid w:val="003508EF"/>
    <w:rsid w:val="00372129"/>
    <w:rsid w:val="00385050"/>
    <w:rsid w:val="003A3FDD"/>
    <w:rsid w:val="00400890"/>
    <w:rsid w:val="00404D2C"/>
    <w:rsid w:val="004060E6"/>
    <w:rsid w:val="004243C8"/>
    <w:rsid w:val="00434B5F"/>
    <w:rsid w:val="0045419E"/>
    <w:rsid w:val="0045734B"/>
    <w:rsid w:val="00465542"/>
    <w:rsid w:val="00472DF5"/>
    <w:rsid w:val="00495204"/>
    <w:rsid w:val="004A31B3"/>
    <w:rsid w:val="004D2067"/>
    <w:rsid w:val="004D73F6"/>
    <w:rsid w:val="004E1263"/>
    <w:rsid w:val="005044A6"/>
    <w:rsid w:val="005853F8"/>
    <w:rsid w:val="00590F64"/>
    <w:rsid w:val="005923E5"/>
    <w:rsid w:val="005A3FF5"/>
    <w:rsid w:val="005B567D"/>
    <w:rsid w:val="005C29A3"/>
    <w:rsid w:val="005D0CFC"/>
    <w:rsid w:val="005D19F4"/>
    <w:rsid w:val="005F254A"/>
    <w:rsid w:val="0065657F"/>
    <w:rsid w:val="00666336"/>
    <w:rsid w:val="00683E42"/>
    <w:rsid w:val="00685455"/>
    <w:rsid w:val="006A2F18"/>
    <w:rsid w:val="006A5DD9"/>
    <w:rsid w:val="006B2915"/>
    <w:rsid w:val="006B56D7"/>
    <w:rsid w:val="006B64CF"/>
    <w:rsid w:val="006C0B63"/>
    <w:rsid w:val="006C7601"/>
    <w:rsid w:val="006D16AA"/>
    <w:rsid w:val="006F66AC"/>
    <w:rsid w:val="00701AC5"/>
    <w:rsid w:val="00706CBB"/>
    <w:rsid w:val="007117B1"/>
    <w:rsid w:val="00711D81"/>
    <w:rsid w:val="0074576C"/>
    <w:rsid w:val="00754BA5"/>
    <w:rsid w:val="007562C3"/>
    <w:rsid w:val="007C72F6"/>
    <w:rsid w:val="00816966"/>
    <w:rsid w:val="00817D26"/>
    <w:rsid w:val="00821CD4"/>
    <w:rsid w:val="008423A7"/>
    <w:rsid w:val="008440CC"/>
    <w:rsid w:val="0089107E"/>
    <w:rsid w:val="00891604"/>
    <w:rsid w:val="008D225B"/>
    <w:rsid w:val="00916047"/>
    <w:rsid w:val="00921BF8"/>
    <w:rsid w:val="00921D49"/>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43837"/>
    <w:rsid w:val="00B50DF8"/>
    <w:rsid w:val="00B54EA0"/>
    <w:rsid w:val="00B60EFB"/>
    <w:rsid w:val="00B65366"/>
    <w:rsid w:val="00B77807"/>
    <w:rsid w:val="00B940E9"/>
    <w:rsid w:val="00BA1206"/>
    <w:rsid w:val="00BC7FE6"/>
    <w:rsid w:val="00BE3709"/>
    <w:rsid w:val="00CB6CC8"/>
    <w:rsid w:val="00CC4C93"/>
    <w:rsid w:val="00CE4480"/>
    <w:rsid w:val="00D0056B"/>
    <w:rsid w:val="00D120D2"/>
    <w:rsid w:val="00D20D7C"/>
    <w:rsid w:val="00D26FCA"/>
    <w:rsid w:val="00D50742"/>
    <w:rsid w:val="00D6152F"/>
    <w:rsid w:val="00D6407C"/>
    <w:rsid w:val="00D87AF7"/>
    <w:rsid w:val="00DA120C"/>
    <w:rsid w:val="00DC4BEF"/>
    <w:rsid w:val="00DD54E1"/>
    <w:rsid w:val="00E10628"/>
    <w:rsid w:val="00E144CD"/>
    <w:rsid w:val="00E2292B"/>
    <w:rsid w:val="00EA6E28"/>
    <w:rsid w:val="00F0752A"/>
    <w:rsid w:val="00F378D0"/>
    <w:rsid w:val="00F54120"/>
    <w:rsid w:val="00F76668"/>
    <w:rsid w:val="00F76A7F"/>
    <w:rsid w:val="00F83486"/>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3EF0BA"/>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0B6FD4"/>
    <w:pPr>
      <w:spacing w:line="300" w:lineRule="exact"/>
    </w:pPr>
    <w:rPr>
      <w:sz w:val="24"/>
      <w:lang w:val="en-GB"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uiPriority w:val="20"/>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Subtitle1">
    <w:name w:val="Subtitle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0</TotalTime>
  <Pages>3</Pages>
  <Words>1642</Words>
  <Characters>10348</Characters>
  <Application>Microsoft Office Word</Application>
  <DocSecurity>0</DocSecurity>
  <Lines>86</Lines>
  <Paragraphs>23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11967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Andreas Müller</cp:lastModifiedBy>
  <cp:revision>2</cp:revision>
  <cp:lastPrinted>2019-02-12T05:18:00Z</cp:lastPrinted>
  <dcterms:created xsi:type="dcterms:W3CDTF">2019-05-24T03:24:00Z</dcterms:created>
  <dcterms:modified xsi:type="dcterms:W3CDTF">2019-05-24T03:24:00Z</dcterms:modified>
</cp:coreProperties>
</file>