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0DD2E5" w14:textId="3EB55727" w:rsidR="00691DDE" w:rsidRDefault="006E1724"/>
    <w:p w14:paraId="4DDD5912" w14:textId="7F911A0B" w:rsidR="00B81AA2" w:rsidRDefault="00B81AA2">
      <w:r>
        <w:t>Supplementary figures</w:t>
      </w:r>
    </w:p>
    <w:p w14:paraId="0FB6DD31" w14:textId="2AFBC0B9" w:rsidR="00B81AA2" w:rsidRDefault="00B81AA2">
      <w:r>
        <w:rPr>
          <w:noProof/>
        </w:rPr>
        <w:drawing>
          <wp:inline distT="0" distB="0" distL="0" distR="0" wp14:anchorId="171D3E98" wp14:editId="57F70856">
            <wp:extent cx="5943277" cy="511489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1_hierarchical_clustering.pdf"/>
                    <pic:cNvPicPr/>
                  </pic:nvPicPr>
                  <pic:blipFill rotWithShape="1">
                    <a:blip r:embed="rId5">
                      <a:extLst>
                        <a:ext uri="{28A0092B-C50C-407E-A947-70E740481C1C}">
                          <a14:useLocalDpi xmlns:a14="http://schemas.microsoft.com/office/drawing/2010/main" val="0"/>
                        </a:ext>
                      </a:extLst>
                    </a:blip>
                    <a:srcRect t="8711" b="24787"/>
                    <a:stretch/>
                  </pic:blipFill>
                  <pic:spPr bwMode="auto">
                    <a:xfrm>
                      <a:off x="0" y="0"/>
                      <a:ext cx="5943600" cy="5115172"/>
                    </a:xfrm>
                    <a:prstGeom prst="rect">
                      <a:avLst/>
                    </a:prstGeom>
                    <a:ln>
                      <a:noFill/>
                    </a:ln>
                    <a:extLst>
                      <a:ext uri="{53640926-AAD7-44D8-BBD7-CCE9431645EC}">
                        <a14:shadowObscured xmlns:a14="http://schemas.microsoft.com/office/drawing/2010/main"/>
                      </a:ext>
                    </a:extLst>
                  </pic:spPr>
                </pic:pic>
              </a:graphicData>
            </a:graphic>
          </wp:inline>
        </w:drawing>
      </w:r>
    </w:p>
    <w:p w14:paraId="395459F9" w14:textId="740C704F" w:rsidR="00B81AA2" w:rsidRDefault="00B81AA2"/>
    <w:p w14:paraId="222F3F9D" w14:textId="16EB88FF" w:rsidR="00B81AA2" w:rsidRPr="0033072A" w:rsidRDefault="00B81AA2" w:rsidP="00B81AA2">
      <w:pPr>
        <w:spacing w:line="276" w:lineRule="auto"/>
        <w:rPr>
          <w:rFonts w:ascii="Times New Roman" w:eastAsia="Times New Roman" w:hAnsi="Times New Roman" w:cs="Times New Roman"/>
          <w:sz w:val="22"/>
          <w:szCs w:val="22"/>
        </w:rPr>
      </w:pPr>
      <w:r w:rsidRPr="0033072A">
        <w:rPr>
          <w:rFonts w:ascii="Arial" w:eastAsia="Times New Roman" w:hAnsi="Arial" w:cs="Arial"/>
          <w:b/>
          <w:bCs/>
          <w:color w:val="000000"/>
          <w:sz w:val="22"/>
          <w:szCs w:val="22"/>
        </w:rPr>
        <w:t>Figure S</w:t>
      </w:r>
      <w:r w:rsidRPr="00E10C4C">
        <w:rPr>
          <w:rFonts w:ascii="Arial" w:eastAsia="Times New Roman" w:hAnsi="Arial" w:cs="Arial"/>
          <w:b/>
          <w:bCs/>
          <w:color w:val="000000"/>
          <w:sz w:val="22"/>
          <w:szCs w:val="22"/>
        </w:rPr>
        <w:t>1</w:t>
      </w:r>
      <w:r w:rsidRPr="0033072A">
        <w:rPr>
          <w:rFonts w:ascii="Arial" w:eastAsia="Times New Roman" w:hAnsi="Arial" w:cs="Arial"/>
          <w:b/>
          <w:bCs/>
          <w:color w:val="000000"/>
          <w:sz w:val="22"/>
          <w:szCs w:val="22"/>
        </w:rPr>
        <w:t>:</w:t>
      </w:r>
      <w:r w:rsidRPr="0033072A">
        <w:rPr>
          <w:rFonts w:ascii="Arial" w:eastAsia="Times New Roman" w:hAnsi="Arial" w:cs="Arial"/>
          <w:color w:val="000000"/>
          <w:sz w:val="22"/>
          <w:szCs w:val="22"/>
        </w:rPr>
        <w:t xml:space="preserve"> Module detection by hierarchical clustering of 12,614 genes showing co-expressed sets of gene clusters. </w:t>
      </w:r>
      <w:r w:rsidRPr="0033072A">
        <w:rPr>
          <w:rFonts w:ascii="Arial" w:eastAsia="Times New Roman" w:hAnsi="Arial" w:cs="Arial"/>
          <w:i/>
          <w:iCs/>
          <w:color w:val="000000"/>
          <w:sz w:val="22"/>
          <w:szCs w:val="22"/>
        </w:rPr>
        <w:t>Top</w:t>
      </w:r>
      <w:r w:rsidRPr="0033072A">
        <w:rPr>
          <w:rFonts w:ascii="Arial" w:eastAsia="Times New Roman" w:hAnsi="Arial" w:cs="Arial"/>
          <w:color w:val="000000"/>
          <w:sz w:val="22"/>
          <w:szCs w:val="22"/>
        </w:rPr>
        <w:t xml:space="preserve">: Selection of soft-threshold power – effect of soft-thresholding on the scale-free model fit. Because metabolic networks are likely to be scale-free, higher values of soft threshold power reduces noise of the correlations in the adjacency matrix. An optimal threshold value is one that </w:t>
      </w:r>
      <w:r w:rsidRPr="00B81AA2">
        <w:rPr>
          <w:rFonts w:ascii="Arial" w:eastAsia="Times New Roman" w:hAnsi="Arial" w:cs="Arial"/>
          <w:color w:val="000000"/>
          <w:sz w:val="22"/>
          <w:szCs w:val="22"/>
        </w:rPr>
        <w:t>maximizes</w:t>
      </w:r>
      <w:r w:rsidRPr="0033072A">
        <w:rPr>
          <w:rFonts w:ascii="Arial" w:eastAsia="Times New Roman" w:hAnsi="Arial" w:cs="Arial"/>
          <w:color w:val="000000"/>
          <w:sz w:val="22"/>
          <w:szCs w:val="22"/>
        </w:rPr>
        <w:t xml:space="preserve"> network similarity to a scale-free graph - the lowest power for which the scale free topology index reaches 0.90 (i.e. 23 in this study, </w:t>
      </w:r>
      <w:r w:rsidRPr="0033072A">
        <w:rPr>
          <w:rFonts w:ascii="Arial" w:eastAsia="Times New Roman" w:hAnsi="Arial" w:cs="Arial"/>
          <w:i/>
          <w:iCs/>
          <w:color w:val="000000"/>
          <w:sz w:val="22"/>
          <w:szCs w:val="22"/>
        </w:rPr>
        <w:t>top left</w:t>
      </w:r>
      <w:r w:rsidRPr="0033072A">
        <w:rPr>
          <w:rFonts w:ascii="Arial" w:eastAsia="Times New Roman" w:hAnsi="Arial" w:cs="Arial"/>
          <w:color w:val="000000"/>
          <w:sz w:val="22"/>
          <w:szCs w:val="22"/>
        </w:rPr>
        <w:t xml:space="preserve">). </w:t>
      </w:r>
      <w:r w:rsidRPr="0033072A">
        <w:rPr>
          <w:rFonts w:ascii="Arial" w:eastAsia="Times New Roman" w:hAnsi="Arial" w:cs="Arial"/>
          <w:i/>
          <w:iCs/>
          <w:color w:val="000000"/>
          <w:sz w:val="22"/>
          <w:szCs w:val="22"/>
        </w:rPr>
        <w:t>Top right</w:t>
      </w:r>
      <w:r w:rsidRPr="0033072A">
        <w:rPr>
          <w:rFonts w:ascii="Arial" w:eastAsia="Times New Roman" w:hAnsi="Arial" w:cs="Arial"/>
          <w:color w:val="000000"/>
          <w:sz w:val="22"/>
          <w:szCs w:val="22"/>
        </w:rPr>
        <w:t xml:space="preserve"> shows the effect of soft-threshold power on the mean connectivity. </w:t>
      </w:r>
      <w:r w:rsidRPr="0033072A">
        <w:rPr>
          <w:rFonts w:ascii="Arial" w:eastAsia="Times New Roman" w:hAnsi="Arial" w:cs="Arial"/>
          <w:i/>
          <w:iCs/>
          <w:color w:val="000000"/>
          <w:sz w:val="22"/>
          <w:szCs w:val="22"/>
        </w:rPr>
        <w:t>Bottom</w:t>
      </w:r>
      <w:r w:rsidRPr="0033072A">
        <w:rPr>
          <w:rFonts w:ascii="Arial" w:eastAsia="Times New Roman" w:hAnsi="Arial" w:cs="Arial"/>
          <w:color w:val="000000"/>
          <w:sz w:val="22"/>
          <w:szCs w:val="22"/>
        </w:rPr>
        <w:t>: Hierarchical clustering of genes using dissimilarity based on topological overlap. Height (</w:t>
      </w:r>
      <w:r w:rsidRPr="0033072A">
        <w:rPr>
          <w:rFonts w:ascii="Arial" w:eastAsia="Times New Roman" w:hAnsi="Arial" w:cs="Arial"/>
          <w:i/>
          <w:iCs/>
          <w:color w:val="000000"/>
          <w:sz w:val="22"/>
          <w:szCs w:val="22"/>
        </w:rPr>
        <w:t>y</w:t>
      </w:r>
      <w:r w:rsidRPr="0033072A">
        <w:rPr>
          <w:rFonts w:ascii="Arial" w:eastAsia="Times New Roman" w:hAnsi="Arial" w:cs="Arial"/>
          <w:color w:val="000000"/>
          <w:sz w:val="22"/>
          <w:szCs w:val="22"/>
        </w:rPr>
        <w:t>-axis</w:t>
      </w:r>
      <w:r w:rsidRPr="0033072A">
        <w:rPr>
          <w:rFonts w:ascii="Arial" w:eastAsia="Times New Roman" w:hAnsi="Arial" w:cs="Arial"/>
          <w:i/>
          <w:iCs/>
          <w:color w:val="000000"/>
          <w:sz w:val="22"/>
          <w:szCs w:val="22"/>
        </w:rPr>
        <w:t>)</w:t>
      </w:r>
      <w:r w:rsidRPr="0033072A">
        <w:rPr>
          <w:rFonts w:ascii="Arial" w:eastAsia="Times New Roman" w:hAnsi="Arial" w:cs="Arial"/>
          <w:color w:val="000000"/>
          <w:sz w:val="22"/>
          <w:szCs w:val="22"/>
        </w:rPr>
        <w:t xml:space="preserve"> represents distance determined by the extent of topological overlap. A </w:t>
      </w:r>
      <w:r w:rsidRPr="00B81AA2">
        <w:rPr>
          <w:rFonts w:ascii="Arial" w:eastAsia="Times New Roman" w:hAnsi="Arial" w:cs="Arial"/>
          <w:color w:val="000000"/>
          <w:sz w:val="22"/>
          <w:szCs w:val="22"/>
        </w:rPr>
        <w:t>dendrogram</w:t>
      </w:r>
      <w:r w:rsidRPr="0033072A">
        <w:rPr>
          <w:rFonts w:ascii="Arial" w:eastAsia="Times New Roman" w:hAnsi="Arial" w:cs="Arial"/>
          <w:color w:val="000000"/>
          <w:sz w:val="22"/>
          <w:szCs w:val="22"/>
        </w:rPr>
        <w:t xml:space="preserve"> depicts gene clusters (modules) detected. Each module is assigned a color name. Top color panel displays modules automatically detected with </w:t>
      </w:r>
      <w:proofErr w:type="spellStart"/>
      <w:r w:rsidRPr="0033072A">
        <w:rPr>
          <w:rFonts w:ascii="Courier New" w:eastAsia="Times New Roman" w:hAnsi="Courier New" w:cs="Courier New"/>
          <w:color w:val="000000"/>
          <w:sz w:val="22"/>
          <w:szCs w:val="22"/>
        </w:rPr>
        <w:t>flashClust</w:t>
      </w:r>
      <w:proofErr w:type="spellEnd"/>
      <w:r w:rsidRPr="0033072A">
        <w:rPr>
          <w:rFonts w:ascii="Courier New" w:eastAsia="Times New Roman" w:hAnsi="Courier New" w:cs="Courier New"/>
          <w:color w:val="000000"/>
          <w:sz w:val="22"/>
          <w:szCs w:val="22"/>
        </w:rPr>
        <w:t>().</w:t>
      </w:r>
      <w:r w:rsidRPr="0033072A">
        <w:rPr>
          <w:rFonts w:ascii="Arial" w:eastAsia="Times New Roman" w:hAnsi="Arial" w:cs="Arial"/>
          <w:color w:val="000000"/>
          <w:sz w:val="22"/>
          <w:szCs w:val="22"/>
        </w:rPr>
        <w:t xml:space="preserve"> The lower panel depicts modules after merging highly correlated modules (</w:t>
      </w:r>
      <w:r w:rsidRPr="0033072A">
        <w:rPr>
          <w:rFonts w:ascii="Arial" w:eastAsia="Times New Roman" w:hAnsi="Arial" w:cs="Arial"/>
          <w:i/>
          <w:iCs/>
          <w:color w:val="000000"/>
          <w:sz w:val="22"/>
          <w:szCs w:val="22"/>
        </w:rPr>
        <w:t xml:space="preserve">r </w:t>
      </w:r>
      <w:r w:rsidRPr="0033072A">
        <w:rPr>
          <w:rFonts w:ascii="Cambria Math" w:eastAsia="Times New Roman" w:hAnsi="Cambria Math" w:cs="Cambria Math"/>
          <w:color w:val="000000"/>
          <w:sz w:val="22"/>
          <w:szCs w:val="22"/>
        </w:rPr>
        <w:t>⪰</w:t>
      </w:r>
      <w:r w:rsidRPr="0033072A">
        <w:rPr>
          <w:rFonts w:ascii="Arial" w:eastAsia="Times New Roman" w:hAnsi="Arial" w:cs="Arial"/>
          <w:color w:val="000000"/>
          <w:sz w:val="22"/>
          <w:szCs w:val="22"/>
        </w:rPr>
        <w:t xml:space="preserve"> 0.9).</w:t>
      </w:r>
    </w:p>
    <w:p w14:paraId="1C3D7226" w14:textId="29DDF3C0" w:rsidR="00B81AA2" w:rsidRDefault="00B81AA2">
      <w:r>
        <w:br w:type="page"/>
      </w:r>
    </w:p>
    <w:p w14:paraId="42DCD415" w14:textId="582DBBB8" w:rsidR="00B81AA2" w:rsidRDefault="004A5E46">
      <w:r>
        <w:rPr>
          <w:noProof/>
        </w:rPr>
        <w:lastRenderedPageBreak/>
        <w:drawing>
          <wp:inline distT="0" distB="0" distL="0" distR="0" wp14:anchorId="6D876426" wp14:editId="736204E0">
            <wp:extent cx="5943600" cy="445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nscripts_stat.pdf"/>
                    <pic:cNvPicPr/>
                  </pic:nvPicPr>
                  <pic:blipFill>
                    <a:blip r:embed="rId6">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33BE971" w14:textId="5DADBB42" w:rsidR="00B81AA2" w:rsidRDefault="00B81AA2">
      <w:pPr>
        <w:rPr>
          <w:noProof/>
        </w:rPr>
      </w:pPr>
    </w:p>
    <w:p w14:paraId="560A31AB" w14:textId="7EA8062E" w:rsidR="00B81AA2" w:rsidRPr="00B81AA2" w:rsidRDefault="00B81AA2" w:rsidP="00B81AA2"/>
    <w:p w14:paraId="0F020CFF" w14:textId="5CB956E5" w:rsidR="00B81AA2" w:rsidRDefault="00B81AA2" w:rsidP="00B81AA2">
      <w:pPr>
        <w:rPr>
          <w:noProof/>
        </w:rPr>
      </w:pPr>
    </w:p>
    <w:p w14:paraId="21D87BBC" w14:textId="450F9000" w:rsidR="00E10C4C" w:rsidRPr="00547E3C" w:rsidRDefault="00E10C4C" w:rsidP="00E65DB0">
      <w:pPr>
        <w:spacing w:line="276" w:lineRule="auto"/>
        <w:rPr>
          <w:rFonts w:ascii="Arial" w:eastAsia="Times New Roman" w:hAnsi="Arial" w:cs="Arial"/>
          <w:color w:val="000000"/>
        </w:rPr>
      </w:pPr>
      <w:r w:rsidRPr="00547E3C">
        <w:rPr>
          <w:rFonts w:ascii="Arial" w:hAnsi="Arial" w:cs="Arial"/>
          <w:b/>
          <w:bCs/>
        </w:rPr>
        <w:t>Figure S2:</w:t>
      </w:r>
      <w:r w:rsidRPr="00547E3C">
        <w:rPr>
          <w:rFonts w:ascii="Arial" w:hAnsi="Arial" w:cs="Arial"/>
        </w:rPr>
        <w:t xml:space="preserve"> </w:t>
      </w:r>
    </w:p>
    <w:p w14:paraId="348599E7" w14:textId="3ED25731" w:rsidR="00547E3C" w:rsidRPr="004A5E46" w:rsidRDefault="00547E3C" w:rsidP="00E65DB0">
      <w:pPr>
        <w:spacing w:line="276" w:lineRule="auto"/>
        <w:rPr>
          <w:rFonts w:ascii="Arial" w:eastAsia="Times New Roman" w:hAnsi="Arial" w:cs="Arial"/>
          <w:sz w:val="20"/>
          <w:szCs w:val="20"/>
        </w:rPr>
      </w:pPr>
      <w:r w:rsidRPr="00547E3C">
        <w:rPr>
          <w:rFonts w:ascii="Arial" w:eastAsia="Times New Roman" w:hAnsi="Arial" w:cs="Arial"/>
          <w:color w:val="000000"/>
        </w:rPr>
        <w:t xml:space="preserve">Global patterns of gene expression in 54 RNA samples. </w:t>
      </w:r>
      <w:r w:rsidRPr="00547E3C">
        <w:rPr>
          <w:rFonts w:ascii="Arial" w:eastAsia="Times New Roman" w:hAnsi="Arial" w:cs="Arial"/>
          <w:b/>
          <w:bCs/>
          <w:color w:val="000000"/>
        </w:rPr>
        <w:t>a.</w:t>
      </w:r>
      <w:r w:rsidRPr="00547E3C">
        <w:rPr>
          <w:rFonts w:ascii="Arial" w:eastAsia="Times New Roman" w:hAnsi="Arial" w:cs="Arial"/>
          <w:color w:val="000000"/>
        </w:rPr>
        <w:t xml:space="preserve"> Transcript abundance as </w:t>
      </w:r>
      <w:r w:rsidRPr="004A5E46">
        <w:rPr>
          <w:rFonts w:ascii="Arial" w:eastAsia="Times New Roman" w:hAnsi="Arial" w:cs="Arial"/>
          <w:color w:val="000000"/>
        </w:rPr>
        <w:t>log</w:t>
      </w:r>
      <w:r w:rsidRPr="004A5E46">
        <w:rPr>
          <w:rFonts w:ascii="Arial" w:eastAsia="Times New Roman" w:hAnsi="Arial" w:cs="Arial"/>
          <w:color w:val="000000"/>
          <w:vertAlign w:val="subscript"/>
        </w:rPr>
        <w:t>2</w:t>
      </w:r>
      <w:r w:rsidRPr="004A5E46">
        <w:rPr>
          <w:rFonts w:ascii="Arial" w:eastAsia="Times New Roman" w:hAnsi="Arial" w:cs="Arial"/>
          <w:color w:val="000000"/>
        </w:rPr>
        <w:t>(FPKM + 1)</w:t>
      </w:r>
      <w:r w:rsidRPr="00547E3C">
        <w:rPr>
          <w:rFonts w:ascii="Arial" w:eastAsia="Times New Roman" w:hAnsi="Arial" w:cs="Arial"/>
          <w:color w:val="000000"/>
        </w:rPr>
        <w:t xml:space="preserve"> for each sample </w:t>
      </w:r>
      <w:r w:rsidR="004A5E46">
        <w:rPr>
          <w:rFonts w:ascii="Arial" w:eastAsia="Times New Roman" w:hAnsi="Arial" w:cs="Arial"/>
          <w:color w:val="000000"/>
        </w:rPr>
        <w:t xml:space="preserve">on the </w:t>
      </w:r>
      <w:r w:rsidRPr="00547E3C">
        <w:rPr>
          <w:rFonts w:ascii="Arial" w:eastAsia="Times New Roman" w:hAnsi="Arial" w:cs="Arial"/>
          <w:color w:val="000000"/>
        </w:rPr>
        <w:t xml:space="preserve">x-axis: bodies, B1 - B6; heads, H1 - H6; and ovaries, O1 - O6), </w:t>
      </w:r>
      <w:r w:rsidR="004A5E46">
        <w:rPr>
          <w:rFonts w:ascii="Arial" w:eastAsia="Times New Roman" w:hAnsi="Arial" w:cs="Arial"/>
          <w:color w:val="000000"/>
        </w:rPr>
        <w:t>faceted by</w:t>
      </w:r>
      <w:r w:rsidRPr="00547E3C">
        <w:rPr>
          <w:rFonts w:ascii="Arial" w:eastAsia="Times New Roman" w:hAnsi="Arial" w:cs="Arial"/>
          <w:color w:val="000000"/>
        </w:rPr>
        <w:t xml:space="preserve"> diet</w:t>
      </w:r>
      <w:r w:rsidR="004A5E46">
        <w:rPr>
          <w:rFonts w:ascii="Arial" w:eastAsia="Times New Roman" w:hAnsi="Arial" w:cs="Arial"/>
          <w:color w:val="000000"/>
        </w:rPr>
        <w:t>:</w:t>
      </w:r>
      <w:r w:rsidRPr="00547E3C">
        <w:rPr>
          <w:rFonts w:ascii="Arial" w:eastAsia="Times New Roman" w:hAnsi="Arial" w:cs="Arial"/>
          <w:color w:val="000000"/>
        </w:rPr>
        <w:t xml:space="preserve"> C, DR, and HS. </w:t>
      </w:r>
      <w:r w:rsidRPr="00547E3C">
        <w:rPr>
          <w:rFonts w:ascii="Arial" w:eastAsia="Times New Roman" w:hAnsi="Arial" w:cs="Arial"/>
          <w:b/>
          <w:bCs/>
          <w:color w:val="000000"/>
        </w:rPr>
        <w:t>b.</w:t>
      </w:r>
      <w:r w:rsidRPr="00547E3C">
        <w:rPr>
          <w:rFonts w:ascii="Arial" w:eastAsia="Times New Roman" w:hAnsi="Arial" w:cs="Arial"/>
          <w:color w:val="000000"/>
        </w:rPr>
        <w:t xml:space="preserve"> Distribution of transcripts per gene - the number of transcripts associated with each gene symbol. </w:t>
      </w:r>
      <w:r w:rsidRPr="00547E3C">
        <w:rPr>
          <w:rFonts w:ascii="Arial" w:eastAsia="Times New Roman" w:hAnsi="Arial" w:cs="Arial"/>
          <w:b/>
          <w:bCs/>
          <w:color w:val="000000"/>
        </w:rPr>
        <w:t xml:space="preserve">c. </w:t>
      </w:r>
      <w:r w:rsidRPr="00547E3C">
        <w:rPr>
          <w:rFonts w:ascii="Arial" w:eastAsia="Times New Roman" w:hAnsi="Arial" w:cs="Arial"/>
          <w:color w:val="000000"/>
        </w:rPr>
        <w:t xml:space="preserve">Distribution of transcript sizes - based on transcript models of annotated genes. </w:t>
      </w:r>
      <w:r w:rsidRPr="00547E3C">
        <w:rPr>
          <w:rFonts w:ascii="Arial" w:eastAsia="Times New Roman" w:hAnsi="Arial" w:cs="Arial"/>
          <w:b/>
          <w:bCs/>
          <w:color w:val="000000"/>
        </w:rPr>
        <w:t>d.</w:t>
      </w:r>
      <w:r w:rsidRPr="00547E3C">
        <w:rPr>
          <w:rFonts w:ascii="Arial" w:eastAsia="Times New Roman" w:hAnsi="Arial" w:cs="Arial"/>
          <w:color w:val="000000"/>
        </w:rPr>
        <w:t xml:space="preserve"> Principal components analysis (PCA) to visualize the overall effect of diet and tissue before correcting for batch effects (compare with Figure 2 in </w:t>
      </w:r>
      <w:r w:rsidR="00E95725">
        <w:rPr>
          <w:rFonts w:ascii="Arial" w:eastAsia="Times New Roman" w:hAnsi="Arial" w:cs="Arial"/>
          <w:color w:val="000000"/>
        </w:rPr>
        <w:t xml:space="preserve">the </w:t>
      </w:r>
      <w:r w:rsidRPr="00547E3C">
        <w:rPr>
          <w:rFonts w:ascii="Arial" w:eastAsia="Times New Roman" w:hAnsi="Arial" w:cs="Arial"/>
          <w:color w:val="000000"/>
        </w:rPr>
        <w:t xml:space="preserve">main text after </w:t>
      </w:r>
      <w:r w:rsidR="004A5E46">
        <w:rPr>
          <w:rFonts w:ascii="Arial" w:eastAsia="Times New Roman" w:hAnsi="Arial" w:cs="Arial"/>
          <w:color w:val="000000"/>
        </w:rPr>
        <w:t xml:space="preserve">correction for </w:t>
      </w:r>
      <w:r w:rsidRPr="00547E3C">
        <w:rPr>
          <w:rFonts w:ascii="Arial" w:eastAsia="Times New Roman" w:hAnsi="Arial" w:cs="Arial"/>
          <w:color w:val="000000"/>
        </w:rPr>
        <w:t>batch effect). Two dimensions are shown (PC1 and PC2) accounting for 94% of the variance in sample gene expression.</w:t>
      </w:r>
      <w:r w:rsidR="004A5E46">
        <w:rPr>
          <w:rFonts w:ascii="Arial" w:eastAsia="Times New Roman" w:hAnsi="Arial" w:cs="Arial"/>
        </w:rPr>
        <w:t xml:space="preserve"> </w:t>
      </w:r>
      <w:r w:rsidRPr="004A5E46">
        <w:rPr>
          <w:rFonts w:ascii="Arial" w:eastAsia="Times New Roman" w:hAnsi="Arial" w:cs="Arial"/>
          <w:color w:val="000000"/>
          <w:sz w:val="20"/>
          <w:szCs w:val="20"/>
        </w:rPr>
        <w:t xml:space="preserve">FPKM - Fragments Per Kilobase Million. </w:t>
      </w:r>
    </w:p>
    <w:p w14:paraId="25D8B3D1" w14:textId="77777777" w:rsidR="006E1724" w:rsidRDefault="006E1724" w:rsidP="00B81AA2">
      <w:pPr>
        <w:rPr>
          <w:rFonts w:ascii="Arial" w:hAnsi="Arial" w:cs="Arial"/>
        </w:rPr>
      </w:pPr>
    </w:p>
    <w:p w14:paraId="43C495D9" w14:textId="77777777" w:rsidR="006E1724" w:rsidRDefault="006E1724" w:rsidP="00B81AA2">
      <w:pPr>
        <w:rPr>
          <w:rFonts w:ascii="Arial" w:hAnsi="Arial" w:cs="Arial"/>
        </w:rPr>
      </w:pPr>
    </w:p>
    <w:p w14:paraId="38C77CF8" w14:textId="77777777" w:rsidR="006E1724" w:rsidRDefault="006E1724" w:rsidP="00B81AA2">
      <w:pPr>
        <w:rPr>
          <w:rFonts w:ascii="Arial" w:hAnsi="Arial" w:cs="Arial"/>
        </w:rPr>
      </w:pPr>
    </w:p>
    <w:p w14:paraId="450EB71F" w14:textId="77777777" w:rsidR="006E1724" w:rsidRDefault="006E1724" w:rsidP="00B81AA2">
      <w:pPr>
        <w:rPr>
          <w:rFonts w:ascii="Arial" w:hAnsi="Arial" w:cs="Arial"/>
        </w:rPr>
      </w:pPr>
    </w:p>
    <w:p w14:paraId="2775CE8D" w14:textId="77777777" w:rsidR="006E1724" w:rsidRDefault="006E1724" w:rsidP="00B81AA2">
      <w:pPr>
        <w:rPr>
          <w:rFonts w:ascii="Arial" w:hAnsi="Arial" w:cs="Arial"/>
        </w:rPr>
      </w:pPr>
    </w:p>
    <w:p w14:paraId="255E4598" w14:textId="77777777" w:rsidR="006E1724" w:rsidRDefault="006E1724" w:rsidP="00B81AA2">
      <w:pPr>
        <w:rPr>
          <w:rFonts w:ascii="Arial" w:hAnsi="Arial" w:cs="Arial"/>
        </w:rPr>
      </w:pPr>
    </w:p>
    <w:p w14:paraId="2CA09E94" w14:textId="77777777" w:rsidR="006E1724" w:rsidRDefault="006E1724" w:rsidP="006E1724">
      <w:pPr>
        <w:spacing w:line="276" w:lineRule="auto"/>
        <w:rPr>
          <w:rFonts w:ascii="Arial" w:hAnsi="Arial" w:cs="Arial"/>
        </w:rPr>
      </w:pPr>
      <w:r>
        <w:rPr>
          <w:rFonts w:ascii="Arial" w:hAnsi="Arial" w:cs="Arial"/>
          <w:noProof/>
        </w:rPr>
        <w:lastRenderedPageBreak/>
        <w:drawing>
          <wp:inline distT="0" distB="0" distL="0" distR="0" wp14:anchorId="51438F48" wp14:editId="27DC8E9B">
            <wp:extent cx="5943600" cy="594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_sim_cor.pdf"/>
                    <pic:cNvPicPr/>
                  </pic:nvPicPr>
                  <pic:blipFill>
                    <a:blip r:embed="rId7">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8F05CBF" w14:textId="77777777" w:rsidR="006E1724" w:rsidRDefault="006E1724" w:rsidP="006E1724">
      <w:pPr>
        <w:spacing w:line="276" w:lineRule="auto"/>
        <w:rPr>
          <w:rFonts w:ascii="Arial" w:hAnsi="Arial" w:cs="Arial"/>
        </w:rPr>
      </w:pPr>
    </w:p>
    <w:p w14:paraId="2822E215" w14:textId="77777777" w:rsidR="006E1724" w:rsidRPr="00C32836" w:rsidRDefault="006E1724" w:rsidP="006E1724">
      <w:pPr>
        <w:rPr>
          <w:rFonts w:ascii="Times New Roman" w:eastAsia="Times New Roman" w:hAnsi="Times New Roman" w:cs="Times New Roman"/>
        </w:rPr>
      </w:pPr>
      <w:r w:rsidRPr="00C32836">
        <w:rPr>
          <w:rFonts w:ascii="Arial" w:eastAsia="Times New Roman" w:hAnsi="Arial" w:cs="Arial"/>
          <w:b/>
          <w:bCs/>
          <w:color w:val="000000"/>
        </w:rPr>
        <w:t>Figure S3</w:t>
      </w:r>
      <w:r>
        <w:rPr>
          <w:rFonts w:ascii="Arial" w:eastAsia="Times New Roman" w:hAnsi="Arial" w:cs="Arial"/>
          <w:color w:val="000000"/>
        </w:rPr>
        <w:t xml:space="preserve">: </w:t>
      </w:r>
      <w:r w:rsidRPr="00C32836">
        <w:rPr>
          <w:rFonts w:ascii="Arial" w:eastAsia="Times New Roman" w:hAnsi="Arial" w:cs="Arial"/>
          <w:color w:val="000000"/>
        </w:rPr>
        <w:t>Histograms of the correlation between fold changes for each pair of diets, calculated with each diet as the reference diet obtained from permuted data. The observed value is for each is shown as a vertical red line. </w:t>
      </w:r>
    </w:p>
    <w:p w14:paraId="5D47F92C" w14:textId="77777777" w:rsidR="006E1724" w:rsidRDefault="006E1724" w:rsidP="006E1724">
      <w:pPr>
        <w:rPr>
          <w:rFonts w:ascii="Times New Roman" w:eastAsia="Times New Roman" w:hAnsi="Times New Roman" w:cs="Times New Roman"/>
        </w:rPr>
      </w:pPr>
    </w:p>
    <w:p w14:paraId="2D2EFA02" w14:textId="77777777" w:rsidR="006E1724" w:rsidRDefault="006E1724" w:rsidP="006E1724">
      <w:pPr>
        <w:rPr>
          <w:rFonts w:ascii="Times New Roman" w:eastAsia="Times New Roman" w:hAnsi="Times New Roman" w:cs="Times New Roman"/>
        </w:rPr>
      </w:pPr>
    </w:p>
    <w:p w14:paraId="7E39DD37" w14:textId="77777777" w:rsidR="006E1724" w:rsidRDefault="006E1724" w:rsidP="006E1724">
      <w:pPr>
        <w:rPr>
          <w:rFonts w:ascii="Times New Roman" w:eastAsia="Times New Roman" w:hAnsi="Times New Roman" w:cs="Times New Roman"/>
        </w:rPr>
      </w:pPr>
    </w:p>
    <w:p w14:paraId="0CE8738E" w14:textId="77777777" w:rsidR="006E1724" w:rsidRDefault="006E1724" w:rsidP="006E1724">
      <w:pPr>
        <w:rPr>
          <w:rFonts w:ascii="Times New Roman" w:eastAsia="Times New Roman" w:hAnsi="Times New Roman" w:cs="Times New Roman"/>
        </w:rPr>
      </w:pPr>
    </w:p>
    <w:p w14:paraId="4CA5C9B4" w14:textId="77777777" w:rsidR="006E1724" w:rsidRDefault="006E1724" w:rsidP="006E1724">
      <w:pPr>
        <w:rPr>
          <w:rFonts w:ascii="Times New Roman" w:eastAsia="Times New Roman" w:hAnsi="Times New Roman" w:cs="Times New Roman"/>
        </w:rPr>
      </w:pPr>
    </w:p>
    <w:p w14:paraId="0F37E44C" w14:textId="77777777" w:rsidR="006E1724" w:rsidRDefault="006E1724" w:rsidP="006E1724">
      <w:pPr>
        <w:rPr>
          <w:rFonts w:ascii="Times New Roman" w:eastAsia="Times New Roman" w:hAnsi="Times New Roman" w:cs="Times New Roman"/>
        </w:rPr>
      </w:pPr>
    </w:p>
    <w:p w14:paraId="6E3DEC48" w14:textId="77777777" w:rsidR="006E1724" w:rsidRDefault="006E1724" w:rsidP="006E1724">
      <w:pPr>
        <w:rPr>
          <w:rFonts w:ascii="Times New Roman" w:eastAsia="Times New Roman" w:hAnsi="Times New Roman" w:cs="Times New Roman"/>
        </w:rPr>
      </w:pPr>
    </w:p>
    <w:p w14:paraId="589E7A98" w14:textId="77777777" w:rsidR="006E1724" w:rsidRDefault="006E1724" w:rsidP="006E1724">
      <w:pPr>
        <w:rPr>
          <w:rFonts w:ascii="Times New Roman" w:eastAsia="Times New Roman" w:hAnsi="Times New Roman" w:cs="Times New Roman"/>
        </w:rPr>
      </w:pPr>
    </w:p>
    <w:p w14:paraId="52D1FD8C" w14:textId="77777777" w:rsidR="006E1724" w:rsidRDefault="006E1724" w:rsidP="006E1724">
      <w:pP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535794CB" wp14:editId="61F40A55">
            <wp:extent cx="5943600" cy="5943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C_sim_ns.pdf"/>
                    <pic:cNvPicPr/>
                  </pic:nvPicPr>
                  <pic:blipFill>
                    <a:blip r:embed="rId8">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CF8C604" w14:textId="77777777" w:rsidR="006E1724" w:rsidRPr="00C32836" w:rsidRDefault="006E1724" w:rsidP="006E1724">
      <w:pPr>
        <w:rPr>
          <w:rFonts w:ascii="Times New Roman" w:eastAsia="Times New Roman" w:hAnsi="Times New Roman" w:cs="Times New Roman"/>
        </w:rPr>
      </w:pPr>
    </w:p>
    <w:p w14:paraId="4ED15F58" w14:textId="77777777" w:rsidR="006E1724" w:rsidRPr="00C32836" w:rsidRDefault="006E1724" w:rsidP="006E1724">
      <w:pPr>
        <w:rPr>
          <w:rFonts w:ascii="Times New Roman" w:eastAsia="Times New Roman" w:hAnsi="Times New Roman" w:cs="Times New Roman"/>
        </w:rPr>
      </w:pPr>
      <w:r w:rsidRPr="00C32836">
        <w:rPr>
          <w:rFonts w:ascii="Arial" w:eastAsia="Times New Roman" w:hAnsi="Arial" w:cs="Arial"/>
          <w:b/>
          <w:bCs/>
          <w:color w:val="000000"/>
        </w:rPr>
        <w:t>Figure S4</w:t>
      </w:r>
      <w:r>
        <w:rPr>
          <w:rFonts w:ascii="Arial" w:eastAsia="Times New Roman" w:hAnsi="Arial" w:cs="Arial"/>
          <w:color w:val="000000"/>
        </w:rPr>
        <w:t xml:space="preserve">: </w:t>
      </w:r>
      <w:r w:rsidRPr="00C32836">
        <w:rPr>
          <w:rFonts w:ascii="Arial" w:eastAsia="Times New Roman" w:hAnsi="Arial" w:cs="Arial"/>
          <w:color w:val="000000"/>
        </w:rPr>
        <w:t>Histograms of the proportion of genes that trend in the same direction, calculated with each diet as the reference diet obtained from permuted data. The observed value is for each is shown as a vertical red line. </w:t>
      </w:r>
    </w:p>
    <w:p w14:paraId="228FB4F9" w14:textId="6D81BDE1" w:rsidR="00B81AA2" w:rsidRPr="00547E3C" w:rsidRDefault="00B81AA2" w:rsidP="00B81AA2">
      <w:pPr>
        <w:rPr>
          <w:rFonts w:ascii="Arial" w:hAnsi="Arial" w:cs="Arial"/>
        </w:rPr>
      </w:pPr>
      <w:r w:rsidRPr="00547E3C">
        <w:rPr>
          <w:rFonts w:ascii="Arial" w:hAnsi="Arial" w:cs="Arial"/>
        </w:rPr>
        <w:br w:type="page"/>
      </w:r>
    </w:p>
    <w:p w14:paraId="71439973" w14:textId="4D34F970" w:rsidR="00B81AA2" w:rsidRDefault="0075059F" w:rsidP="00B81AA2">
      <w:pPr>
        <w:rPr>
          <w:noProof/>
        </w:rPr>
      </w:pPr>
      <w:r>
        <w:rPr>
          <w:noProof/>
        </w:rPr>
        <w:lastRenderedPageBreak/>
        <mc:AlternateContent>
          <mc:Choice Requires="wpg">
            <w:drawing>
              <wp:anchor distT="0" distB="0" distL="114300" distR="114300" simplePos="0" relativeHeight="251663360" behindDoc="0" locked="0" layoutInCell="1" allowOverlap="1" wp14:anchorId="04520B51" wp14:editId="65AE5D8B">
                <wp:simplePos x="0" y="0"/>
                <wp:positionH relativeFrom="column">
                  <wp:posOffset>-606592</wp:posOffset>
                </wp:positionH>
                <wp:positionV relativeFrom="paragraph">
                  <wp:posOffset>67021</wp:posOffset>
                </wp:positionV>
                <wp:extent cx="4746061" cy="5772464"/>
                <wp:effectExtent l="0" t="12700" r="16510" b="19050"/>
                <wp:wrapNone/>
                <wp:docPr id="10" name="Group 10"/>
                <wp:cNvGraphicFramePr/>
                <a:graphic xmlns:a="http://schemas.openxmlformats.org/drawingml/2006/main">
                  <a:graphicData uri="http://schemas.microsoft.com/office/word/2010/wordprocessingGroup">
                    <wpg:wgp>
                      <wpg:cNvGrpSpPr/>
                      <wpg:grpSpPr>
                        <a:xfrm>
                          <a:off x="0" y="0"/>
                          <a:ext cx="4746061" cy="5772464"/>
                          <a:chOff x="-10" y="0"/>
                          <a:chExt cx="4746061" cy="5772464"/>
                        </a:xfrm>
                      </wpg:grpSpPr>
                      <wps:wsp>
                        <wps:cNvPr id="3" name="Rectangle 3"/>
                        <wps:cNvSpPr/>
                        <wps:spPr>
                          <a:xfrm>
                            <a:off x="1936340" y="5006566"/>
                            <a:ext cx="2806574" cy="516047"/>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804657" y="0"/>
                            <a:ext cx="3941394" cy="5009786"/>
                          </a:xfrm>
                          <a:prstGeom prst="rect">
                            <a:avLst/>
                          </a:prstGeom>
                          <a:noFill/>
                          <a:ln w="1905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673C60" w14:textId="793E94F7" w:rsidR="0075059F" w:rsidRDefault="0075059F" w:rsidP="0075059F">
                              <w:pPr>
                                <w:jc w:val="center"/>
                              </w:pPr>
                              <w: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Text Box 7"/>
                        <wps:cNvSpPr txBox="1"/>
                        <wps:spPr>
                          <a:xfrm rot="16200000">
                            <a:off x="458166" y="677939"/>
                            <a:ext cx="680027" cy="1596380"/>
                          </a:xfrm>
                          <a:prstGeom prst="rect">
                            <a:avLst/>
                          </a:prstGeom>
                          <a:solidFill>
                            <a:schemeClr val="lt1"/>
                          </a:solidFill>
                          <a:ln w="6350">
                            <a:solidFill>
                              <a:prstClr val="black"/>
                            </a:solidFill>
                          </a:ln>
                        </wps:spPr>
                        <wps:txbx>
                          <w:txbxContent>
                            <w:p w14:paraId="57D71FAC" w14:textId="683B755C" w:rsidR="005213C5" w:rsidRPr="0075059F" w:rsidRDefault="005213C5">
                              <w:pPr>
                                <w:rPr>
                                  <w:rFonts w:ascii="Arial" w:hAnsi="Arial" w:cs="Arial"/>
                                  <w:color w:val="00B050"/>
                                  <w:sz w:val="22"/>
                                  <w:szCs w:val="22"/>
                                </w:rPr>
                              </w:pPr>
                              <w:r w:rsidRPr="0075059F">
                                <w:rPr>
                                  <w:rFonts w:ascii="Arial" w:hAnsi="Arial" w:cs="Arial"/>
                                  <w:color w:val="00B050"/>
                                  <w:sz w:val="22"/>
                                  <w:szCs w:val="22"/>
                                </w:rPr>
                                <w:t>GO terms represent a diverse set of biological processes affected</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9" name="Text Box 9"/>
                        <wps:cNvSpPr txBox="1"/>
                        <wps:spPr>
                          <a:xfrm>
                            <a:off x="4306" y="5283577"/>
                            <a:ext cx="2670772" cy="488887"/>
                          </a:xfrm>
                          <a:prstGeom prst="rect">
                            <a:avLst/>
                          </a:prstGeom>
                          <a:solidFill>
                            <a:schemeClr val="lt1"/>
                          </a:solidFill>
                          <a:ln w="6350">
                            <a:solidFill>
                              <a:prstClr val="black"/>
                            </a:solidFill>
                          </a:ln>
                        </wps:spPr>
                        <wps:txbx>
                          <w:txbxContent>
                            <w:p w14:paraId="438C1CFE" w14:textId="0A524D1F" w:rsidR="0075059F" w:rsidRPr="0075059F" w:rsidRDefault="0075059F">
                              <w:pPr>
                                <w:rPr>
                                  <w:rFonts w:ascii="Arial" w:hAnsi="Arial" w:cs="Arial"/>
                                  <w:color w:val="FF0000"/>
                                  <w:sz w:val="22"/>
                                  <w:szCs w:val="22"/>
                                </w:rPr>
                              </w:pPr>
                              <w:r w:rsidRPr="0075059F">
                                <w:rPr>
                                  <w:rFonts w:ascii="Arial" w:hAnsi="Arial" w:cs="Arial"/>
                                  <w:color w:val="FF0000"/>
                                  <w:sz w:val="22"/>
                                  <w:szCs w:val="22"/>
                                </w:rPr>
                                <w:t>Known nutrient sensors absent among pathways significantly enriched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4520B51" id="Group 10" o:spid="_x0000_s1026" style="position:absolute;margin-left:-47.75pt;margin-top:5.3pt;width:373.7pt;height:454.5pt;z-index:251663360" coordorigin="" coordsize="47460,5772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">
                <v:rect id="Rectangle 3" o:spid="_x0000_s1027" style="position:absolute;left:19363;top:50065;width:28066;height:5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" filled="f" strokecolor="red" strokeweight="1.5pt"/>
                <v:rect id="Rectangle 6" o:spid="_x0000_s1028" style="position:absolute;left:8046;width:39414;height:5009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" filled="f" strokecolor="#00b050" strokeweight="1.5pt">
                  <v:textbox>
                    <w:txbxContent>
                      <w:p w14:paraId="22673C60" w14:textId="793E94F7" w:rsidR="0075059F" w:rsidRDefault="0075059F" w:rsidP="0075059F">
                        <w:pPr>
                          <w:jc w:val="center"/>
                        </w:pPr>
                        <w:r>
                          <w:t>N</w:t>
                        </w:r>
                      </w:p>
                    </w:txbxContent>
                  </v:textbox>
                </v:rect>
                <v:shapetype id="_x0000_t202" coordsize="21600,21600" o:spt="202" path="m,l,21600r21600,l21600,xe">
                  <v:stroke joinstyle="miter"/>
                  <v:path gradientshapeok="t" o:connecttype="rect"/>
                </v:shapetype>
                <v:shape id="Text Box 7" o:spid="_x0000_s1029" type="#_x0000_t202" style="position:absolute;left:4582;top:6779;width:6800;height:15963;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" fillcolor="white [3201]" strokeweight=".5pt">
                  <v:textbox style="layout-flow:vertical-ideographic">
                    <w:txbxContent>
                      <w:p w14:paraId="57D71FAC" w14:textId="683B755C" w:rsidR="005213C5" w:rsidRPr="0075059F" w:rsidRDefault="005213C5">
                        <w:pPr>
                          <w:rPr>
                            <w:rFonts w:ascii="Arial" w:hAnsi="Arial" w:cs="Arial"/>
                            <w:color w:val="00B050"/>
                            <w:sz w:val="22"/>
                            <w:szCs w:val="22"/>
                          </w:rPr>
                        </w:pPr>
                        <w:r w:rsidRPr="0075059F">
                          <w:rPr>
                            <w:rFonts w:ascii="Arial" w:hAnsi="Arial" w:cs="Arial"/>
                            <w:color w:val="00B050"/>
                            <w:sz w:val="22"/>
                            <w:szCs w:val="22"/>
                          </w:rPr>
                          <w:t>GO terms represent a diverse set of biological processes affected</w:t>
                        </w:r>
                      </w:p>
                    </w:txbxContent>
                  </v:textbox>
                </v:shape>
                <v:shape id="Text Box 9" o:spid="_x0000_s1030" type="#_x0000_t202" style="position:absolute;left:43;top:52835;width:26707;height:48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" fillcolor="white [3201]" strokeweight=".5pt">
                  <v:textbox>
                    <w:txbxContent>
                      <w:p w14:paraId="438C1CFE" w14:textId="0A524D1F" w:rsidR="0075059F" w:rsidRPr="0075059F" w:rsidRDefault="0075059F">
                        <w:pPr>
                          <w:rPr>
                            <w:rFonts w:ascii="Arial" w:hAnsi="Arial" w:cs="Arial"/>
                            <w:color w:val="FF0000"/>
                            <w:sz w:val="22"/>
                            <w:szCs w:val="22"/>
                          </w:rPr>
                        </w:pPr>
                        <w:r w:rsidRPr="0075059F">
                          <w:rPr>
                            <w:rFonts w:ascii="Arial" w:hAnsi="Arial" w:cs="Arial"/>
                            <w:color w:val="FF0000"/>
                            <w:sz w:val="22"/>
                            <w:szCs w:val="22"/>
                          </w:rPr>
                          <w:t>Known nutrient sensors absent among pathways significantly enriched</w:t>
                        </w:r>
                      </w:p>
                    </w:txbxContent>
                  </v:textbox>
                </v:shape>
              </v:group>
            </w:pict>
          </mc:Fallback>
        </mc:AlternateContent>
      </w:r>
      <w:r w:rsidR="00B81AA2">
        <w:rPr>
          <w:noProof/>
        </w:rPr>
        <w:drawing>
          <wp:inline distT="0" distB="0" distL="0" distR="0" wp14:anchorId="220401C7" wp14:editId="5248473C">
            <wp:extent cx="59436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3_GSEA_Pathways_GOterms.pdf"/>
                    <pic:cNvPicPr/>
                  </pic:nvPicPr>
                  <pic:blipFill>
                    <a:blip r:embed="rId9">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374DC57B" w14:textId="03CA5733" w:rsidR="00916736" w:rsidRPr="00916736" w:rsidRDefault="00916736" w:rsidP="00916736"/>
    <w:p w14:paraId="4009FF48" w14:textId="28670AF3" w:rsidR="00E65DB0" w:rsidRDefault="00E65DB0" w:rsidP="00E65DB0">
      <w:pPr>
        <w:rPr>
          <w:rFonts w:ascii="Arial" w:hAnsi="Arial" w:cs="Arial"/>
          <w:b/>
          <w:bCs/>
        </w:rPr>
      </w:pPr>
    </w:p>
    <w:p w14:paraId="08D85A3E" w14:textId="6A3D4FDE" w:rsidR="00C32836" w:rsidRPr="00E65DB0" w:rsidRDefault="00E65DB0" w:rsidP="00E65DB0">
      <w:pPr>
        <w:spacing w:line="276" w:lineRule="auto"/>
        <w:rPr>
          <w:rFonts w:ascii="Arial" w:hAnsi="Arial" w:cs="Arial"/>
        </w:rPr>
      </w:pPr>
      <w:r>
        <w:rPr>
          <w:rFonts w:ascii="Arial" w:hAnsi="Arial" w:cs="Arial"/>
          <w:b/>
          <w:bCs/>
        </w:rPr>
        <w:t>Figure S</w:t>
      </w:r>
      <w:r w:rsidR="006E1724">
        <w:rPr>
          <w:rFonts w:ascii="Arial" w:hAnsi="Arial" w:cs="Arial"/>
          <w:b/>
          <w:bCs/>
        </w:rPr>
        <w:t>4</w:t>
      </w:r>
      <w:r>
        <w:rPr>
          <w:rFonts w:ascii="Arial" w:hAnsi="Arial" w:cs="Arial"/>
          <w:b/>
          <w:bCs/>
        </w:rPr>
        <w:t xml:space="preserve">: </w:t>
      </w:r>
      <w:r>
        <w:rPr>
          <w:rFonts w:ascii="Arial" w:hAnsi="Arial" w:cs="Arial"/>
        </w:rPr>
        <w:t>Gene set enrichment analysis (GSEA). Four pathways (starting with “</w:t>
      </w:r>
      <w:proofErr w:type="spellStart"/>
      <w:r>
        <w:rPr>
          <w:rFonts w:ascii="Arial" w:hAnsi="Arial" w:cs="Arial"/>
        </w:rPr>
        <w:t>dme</w:t>
      </w:r>
      <w:proofErr w:type="spellEnd"/>
      <w:r>
        <w:rPr>
          <w:rFonts w:ascii="Arial" w:hAnsi="Arial" w:cs="Arial"/>
        </w:rPr>
        <w:t>”) and 41 gene ontology terms (GO) were identified from GSEA of the whole list significantly differentially expressed genes (2,475) for the main effect of diet. GSEA differs from traditional GO analysis in that genes are weighted by their fold change in the analysis of enrichment against pre-computed gene sets. This analysis identifies four pathways that are not any of the canonical pathways for the response to diet in model organisms such as IIS/TOR pathway. Secondly, a large number of GO terms represent many other biological processes (BP) in addition to nutrient metabolism. Clearly, in this population, the response to diet is not limited to canonical nutrient sensing pathways.</w:t>
      </w:r>
      <w:bookmarkStart w:id="0" w:name="_GoBack"/>
      <w:bookmarkEnd w:id="0"/>
    </w:p>
    <w:sectPr w:rsidR="00C32836" w:rsidRPr="00E65DB0" w:rsidSect="00B72B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9AE"/>
    <w:rsid w:val="003F747C"/>
    <w:rsid w:val="004A5E46"/>
    <w:rsid w:val="005213C5"/>
    <w:rsid w:val="00547E3C"/>
    <w:rsid w:val="006E1724"/>
    <w:rsid w:val="00705395"/>
    <w:rsid w:val="0075059F"/>
    <w:rsid w:val="008C31C3"/>
    <w:rsid w:val="00916736"/>
    <w:rsid w:val="009E296D"/>
    <w:rsid w:val="00B72B64"/>
    <w:rsid w:val="00B81AA2"/>
    <w:rsid w:val="00C32836"/>
    <w:rsid w:val="00C33FEB"/>
    <w:rsid w:val="00DB2CA7"/>
    <w:rsid w:val="00E10C4C"/>
    <w:rsid w:val="00E63A56"/>
    <w:rsid w:val="00E65DB0"/>
    <w:rsid w:val="00E95725"/>
    <w:rsid w:val="00F47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6AAEF"/>
  <w14:defaultImageDpi w14:val="32767"/>
  <w15:chartTrackingRefBased/>
  <w15:docId w15:val="{30E056A2-7B21-C446-8926-2015999E0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673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132528">
      <w:bodyDiv w:val="1"/>
      <w:marLeft w:val="0"/>
      <w:marRight w:val="0"/>
      <w:marTop w:val="0"/>
      <w:marBottom w:val="0"/>
      <w:divBdr>
        <w:top w:val="none" w:sz="0" w:space="0" w:color="auto"/>
        <w:left w:val="none" w:sz="0" w:space="0" w:color="auto"/>
        <w:bottom w:val="none" w:sz="0" w:space="0" w:color="auto"/>
        <w:right w:val="none" w:sz="0" w:space="0" w:color="auto"/>
      </w:divBdr>
    </w:div>
    <w:div w:id="1169324382">
      <w:bodyDiv w:val="1"/>
      <w:marLeft w:val="0"/>
      <w:marRight w:val="0"/>
      <w:marTop w:val="0"/>
      <w:marBottom w:val="0"/>
      <w:divBdr>
        <w:top w:val="none" w:sz="0" w:space="0" w:color="auto"/>
        <w:left w:val="none" w:sz="0" w:space="0" w:color="auto"/>
        <w:bottom w:val="none" w:sz="0" w:space="0" w:color="auto"/>
        <w:right w:val="none" w:sz="0" w:space="0" w:color="auto"/>
      </w:divBdr>
    </w:div>
    <w:div w:id="2120563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829F2-99EE-194C-9230-2661D863E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5</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Enoch Ng'oma</dc:creator>
  <cp:keywords/>
  <dc:description/>
  <cp:lastModifiedBy>Enoch Ng'oma</cp:lastModifiedBy>
  <cp:revision>13</cp:revision>
  <dcterms:created xsi:type="dcterms:W3CDTF">2019-07-26T19:41:00Z</dcterms:created>
  <dcterms:modified xsi:type="dcterms:W3CDTF">2019-11-04T21:15:00Z</dcterms:modified>
</cp:coreProperties>
</file>