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3149" w:rsidRDefault="000D3149" w:rsidP="000D3149">
      <w:pPr>
        <w:pStyle w:val="1"/>
        <w:wordWrap/>
        <w:ind w:firstLine="0"/>
        <w:rPr>
          <w:color w:val="auto"/>
        </w:rPr>
      </w:pPr>
      <w:r>
        <w:rPr>
          <w:color w:val="auto"/>
        </w:rPr>
        <w:t>T</w:t>
      </w:r>
      <w:r>
        <w:rPr>
          <w:rFonts w:hint="eastAsia"/>
          <w:color w:val="auto"/>
        </w:rPr>
        <w:t xml:space="preserve">erminology </w:t>
      </w:r>
      <w:r>
        <w:rPr>
          <w:color w:val="auto"/>
        </w:rPr>
        <w:t>annotation</w:t>
      </w:r>
    </w:p>
    <w:p w:rsidR="000D3149" w:rsidRPr="005C09D7" w:rsidRDefault="000D3149" w:rsidP="000D3149">
      <w:pPr>
        <w:pStyle w:val="1"/>
        <w:wordWrap/>
        <w:ind w:firstLine="0"/>
        <w:rPr>
          <w:b/>
          <w:color w:val="auto"/>
        </w:rPr>
      </w:pPr>
      <w:r w:rsidRPr="005C09D7">
        <w:rPr>
          <w:b/>
          <w:color w:val="auto"/>
        </w:rPr>
        <w:t xml:space="preserve">#1. </w:t>
      </w:r>
      <w:proofErr w:type="spellStart"/>
      <w:r w:rsidRPr="005C09D7">
        <w:rPr>
          <w:b/>
          <w:color w:val="auto"/>
        </w:rPr>
        <w:t>Chemocentric</w:t>
      </w:r>
      <w:proofErr w:type="spellEnd"/>
    </w:p>
    <w:p w:rsidR="000D3149" w:rsidRDefault="000D3149" w:rsidP="000D3149">
      <w:pPr>
        <w:pStyle w:val="1"/>
        <w:wordWrap/>
        <w:ind w:firstLine="0"/>
        <w:rPr>
          <w:color w:val="auto"/>
        </w:rPr>
      </w:pPr>
      <w:r>
        <w:rPr>
          <w:color w:val="auto"/>
        </w:rPr>
        <w:t xml:space="preserve">Author list of the terminology: Christopher Thomas Walsh, </w:t>
      </w:r>
      <w:r w:rsidRPr="00C771DA">
        <w:rPr>
          <w:color w:val="auto"/>
        </w:rPr>
        <w:t>Michael J. Keiser</w:t>
      </w:r>
      <w:r>
        <w:rPr>
          <w:color w:val="auto"/>
        </w:rPr>
        <w:t xml:space="preserve">, John J. Irwin, </w:t>
      </w:r>
      <w:r w:rsidRPr="00C771DA">
        <w:rPr>
          <w:color w:val="auto"/>
        </w:rPr>
        <w:t>Brian K.</w:t>
      </w:r>
      <w:r>
        <w:rPr>
          <w:color w:val="auto"/>
        </w:rPr>
        <w:t xml:space="preserve"> </w:t>
      </w:r>
      <w:proofErr w:type="spellStart"/>
      <w:r>
        <w:rPr>
          <w:color w:val="auto"/>
        </w:rPr>
        <w:t>Shoichet</w:t>
      </w:r>
      <w:proofErr w:type="spellEnd"/>
      <w:r>
        <w:rPr>
          <w:color w:val="auto"/>
        </w:rPr>
        <w:t xml:space="preserve">, Alexander </w:t>
      </w:r>
      <w:proofErr w:type="spellStart"/>
      <w:r>
        <w:rPr>
          <w:color w:val="auto"/>
        </w:rPr>
        <w:t>Tropsha</w:t>
      </w:r>
      <w:proofErr w:type="spellEnd"/>
      <w:r>
        <w:rPr>
          <w:color w:val="auto"/>
        </w:rPr>
        <w:t xml:space="preserve">, and </w:t>
      </w:r>
      <w:proofErr w:type="spellStart"/>
      <w:r>
        <w:rPr>
          <w:color w:val="auto"/>
        </w:rPr>
        <w:t>Mi-hyun</w:t>
      </w:r>
      <w:proofErr w:type="spellEnd"/>
      <w:r>
        <w:rPr>
          <w:color w:val="auto"/>
        </w:rPr>
        <w:t xml:space="preserve"> Kim</w:t>
      </w:r>
    </w:p>
    <w:p w:rsidR="000D3149" w:rsidRPr="00C9637F" w:rsidRDefault="000D3149" w:rsidP="000D3149">
      <w:pPr>
        <w:widowControl/>
        <w:wordWrap/>
        <w:autoSpaceDE/>
        <w:autoSpaceDN/>
        <w:snapToGrid w:val="0"/>
        <w:spacing w:line="480" w:lineRule="auto"/>
        <w:rPr>
          <w:rFonts w:ascii="Times New Roman" w:eastAsia="바탕" w:hAnsi="Times New Roman"/>
          <w:kern w:val="0"/>
          <w:sz w:val="24"/>
          <w:szCs w:val="24"/>
        </w:rPr>
      </w:pPr>
      <w:r w:rsidRPr="00C9637F">
        <w:rPr>
          <w:rFonts w:ascii="Times New Roman" w:eastAsia="바탕" w:hAnsi="Times New Roman"/>
          <w:b/>
          <w:kern w:val="0"/>
          <w:sz w:val="24"/>
          <w:szCs w:val="24"/>
        </w:rPr>
        <w:t>‘</w:t>
      </w:r>
      <w:proofErr w:type="spellStart"/>
      <w:r w:rsidRPr="00C9637F">
        <w:rPr>
          <w:rFonts w:ascii="Times New Roman" w:eastAsia="바탕" w:hAnsi="Times New Roman"/>
          <w:b/>
          <w:kern w:val="0"/>
          <w:sz w:val="24"/>
          <w:szCs w:val="24"/>
        </w:rPr>
        <w:t>Chemocentric</w:t>
      </w:r>
      <w:proofErr w:type="spellEnd"/>
      <w:r w:rsidRPr="00C9637F">
        <w:rPr>
          <w:rFonts w:ascii="Times New Roman" w:eastAsia="바탕" w:hAnsi="Times New Roman"/>
          <w:b/>
          <w:kern w:val="0"/>
          <w:sz w:val="24"/>
          <w:szCs w:val="24"/>
        </w:rPr>
        <w:t xml:space="preserve"> assumption’</w:t>
      </w:r>
      <w:r>
        <w:rPr>
          <w:rFonts w:ascii="Times New Roman" w:eastAsia="바탕" w:hAnsi="Times New Roman"/>
          <w:kern w:val="0"/>
          <w:sz w:val="24"/>
          <w:szCs w:val="24"/>
        </w:rPr>
        <w:t xml:space="preserve"> means</w:t>
      </w:r>
      <w:r w:rsidRPr="00C9637F">
        <w:rPr>
          <w:rFonts w:ascii="Times New Roman" w:eastAsia="바탕" w:hAnsi="Times New Roman"/>
          <w:kern w:val="0"/>
          <w:sz w:val="24"/>
          <w:szCs w:val="24"/>
        </w:rPr>
        <w:t xml:space="preserve"> two similar molecules are likely to have similar properties so that they can share biological targets or can show similar pharmacological profile [3-4].</w:t>
      </w:r>
    </w:p>
    <w:p w:rsidR="000D3149" w:rsidRPr="00C9637F" w:rsidRDefault="000D3149" w:rsidP="000D3149">
      <w:pPr>
        <w:widowControl/>
        <w:wordWrap/>
        <w:autoSpaceDE/>
        <w:autoSpaceDN/>
        <w:snapToGrid w:val="0"/>
        <w:spacing w:line="480" w:lineRule="auto"/>
        <w:rPr>
          <w:rFonts w:ascii="Times New Roman" w:eastAsia="바탕" w:hAnsi="Times New Roman" w:hint="eastAsia"/>
          <w:kern w:val="0"/>
          <w:sz w:val="24"/>
          <w:szCs w:val="24"/>
        </w:rPr>
      </w:pPr>
    </w:p>
    <w:p w:rsidR="000D3149" w:rsidRDefault="000D3149" w:rsidP="000D3149">
      <w:pPr>
        <w:pStyle w:val="1"/>
        <w:wordWrap/>
        <w:ind w:firstLine="0"/>
        <w:rPr>
          <w:b/>
          <w:color w:val="auto"/>
        </w:rPr>
      </w:pPr>
      <w:r>
        <w:rPr>
          <w:color w:val="auto"/>
        </w:rPr>
        <w:t xml:space="preserve">#2. </w:t>
      </w:r>
      <w:r w:rsidRPr="00C9637F">
        <w:rPr>
          <w:b/>
          <w:color w:val="auto"/>
        </w:rPr>
        <w:t>unprecedented drug scaffold</w:t>
      </w:r>
    </w:p>
    <w:p w:rsidR="000D3149" w:rsidRDefault="000D3149" w:rsidP="000D3149">
      <w:pPr>
        <w:pStyle w:val="1"/>
        <w:wordWrap/>
        <w:ind w:firstLine="0"/>
        <w:rPr>
          <w:color w:val="auto"/>
        </w:rPr>
      </w:pPr>
      <w:r>
        <w:rPr>
          <w:color w:val="auto"/>
        </w:rPr>
        <w:t xml:space="preserve">Author list of the terminology: </w:t>
      </w:r>
      <w:proofErr w:type="spellStart"/>
      <w:r>
        <w:rPr>
          <w:color w:val="auto"/>
        </w:rPr>
        <w:t>Mi-hyun</w:t>
      </w:r>
      <w:proofErr w:type="spellEnd"/>
      <w:r>
        <w:rPr>
          <w:color w:val="auto"/>
        </w:rPr>
        <w:t xml:space="preserve"> Kim </w:t>
      </w:r>
    </w:p>
    <w:p w:rsidR="000D3149" w:rsidRPr="00C9637F" w:rsidRDefault="000D3149" w:rsidP="000D3149">
      <w:pPr>
        <w:pStyle w:val="1"/>
        <w:wordWrap/>
        <w:ind w:firstLine="0"/>
        <w:rPr>
          <w:color w:val="auto"/>
        </w:rPr>
      </w:pPr>
      <w:r>
        <w:rPr>
          <w:color w:val="auto"/>
        </w:rPr>
        <w:t>However</w:t>
      </w:r>
      <w:r w:rsidRPr="00C9637F">
        <w:rPr>
          <w:color w:val="auto"/>
        </w:rPr>
        <w:t>, ‘drug scaffold’ is very general word in medicinal chemists or synthetic chemists.</w:t>
      </w:r>
    </w:p>
    <w:p w:rsidR="000D3149" w:rsidRDefault="000D3149" w:rsidP="000D3149">
      <w:pPr>
        <w:pStyle w:val="1"/>
        <w:wordWrap/>
        <w:ind w:firstLine="0"/>
        <w:rPr>
          <w:color w:val="auto"/>
        </w:rPr>
      </w:pPr>
      <w:r>
        <w:rPr>
          <w:b/>
          <w:color w:val="auto"/>
        </w:rPr>
        <w:t>‘</w:t>
      </w:r>
      <w:r w:rsidRPr="00C9637F">
        <w:rPr>
          <w:b/>
          <w:color w:val="auto"/>
        </w:rPr>
        <w:t>unprecedented drug scaffold</w:t>
      </w:r>
      <w:r>
        <w:rPr>
          <w:b/>
          <w:color w:val="auto"/>
        </w:rPr>
        <w:t>’</w:t>
      </w:r>
      <w:r>
        <w:rPr>
          <w:color w:val="auto"/>
        </w:rPr>
        <w:t xml:space="preserve"> means </w:t>
      </w:r>
      <w:r w:rsidRPr="000F043A">
        <w:rPr>
          <w:color w:val="auto"/>
        </w:rPr>
        <w:t>unprecedented</w:t>
      </w:r>
      <w:r>
        <w:rPr>
          <w:color w:val="auto"/>
        </w:rPr>
        <w:t xml:space="preserve"> molecular framework having drug-like properties </w:t>
      </w:r>
      <w:r w:rsidRPr="00992F5C">
        <w:rPr>
          <w:color w:val="auto"/>
        </w:rPr>
        <w:t>[6]</w:t>
      </w:r>
      <w:r w:rsidR="00097B0F">
        <w:rPr>
          <w:color w:val="auto"/>
        </w:rPr>
        <w:t>. Typically, a novel scaffold means distinct scaffold from known drug scaffolds. However, ‘novel’ cannot means ‘first existing’. ‘Unprecedented’ means ‘n</w:t>
      </w:r>
      <w:bookmarkStart w:id="0" w:name="_GoBack"/>
      <w:bookmarkEnd w:id="0"/>
      <w:r w:rsidR="00097B0F">
        <w:rPr>
          <w:color w:val="auto"/>
        </w:rPr>
        <w:t>ot existing before the first’.</w:t>
      </w:r>
    </w:p>
    <w:p w:rsidR="000D3149" w:rsidRDefault="000D3149" w:rsidP="000D3149">
      <w:pPr>
        <w:pStyle w:val="1"/>
        <w:wordWrap/>
        <w:ind w:firstLine="0"/>
        <w:rPr>
          <w:color w:val="auto"/>
        </w:rPr>
      </w:pPr>
    </w:p>
    <w:p w:rsidR="000D3149" w:rsidRDefault="000D3149" w:rsidP="000D3149">
      <w:pPr>
        <w:pStyle w:val="1"/>
        <w:wordWrap/>
        <w:ind w:firstLine="0"/>
        <w:rPr>
          <w:color w:val="auto"/>
        </w:rPr>
      </w:pPr>
      <w:r>
        <w:rPr>
          <w:rFonts w:hint="eastAsia"/>
          <w:color w:val="auto"/>
        </w:rPr>
        <w:t xml:space="preserve">#3. </w:t>
      </w:r>
      <w:r w:rsidRPr="00992F5C">
        <w:rPr>
          <w:rFonts w:hint="eastAsia"/>
          <w:b/>
          <w:color w:val="auto"/>
        </w:rPr>
        <w:t>‘</w:t>
      </w:r>
      <w:r w:rsidRPr="00992F5C">
        <w:rPr>
          <w:b/>
          <w:color w:val="auto"/>
        </w:rPr>
        <w:t>chemistry-oriented synthesis’</w:t>
      </w:r>
    </w:p>
    <w:p w:rsidR="000D3149" w:rsidRDefault="000D3149" w:rsidP="000D3149">
      <w:pPr>
        <w:pStyle w:val="1"/>
        <w:wordWrap/>
        <w:ind w:firstLine="0"/>
        <w:rPr>
          <w:color w:val="auto"/>
        </w:rPr>
      </w:pPr>
      <w:r>
        <w:rPr>
          <w:color w:val="auto"/>
        </w:rPr>
        <w:t xml:space="preserve">Author list of the terminology: </w:t>
      </w:r>
      <w:proofErr w:type="spellStart"/>
      <w:r>
        <w:rPr>
          <w:color w:val="auto"/>
        </w:rPr>
        <w:t>Mi-hyun</w:t>
      </w:r>
      <w:proofErr w:type="spellEnd"/>
      <w:r>
        <w:rPr>
          <w:color w:val="auto"/>
        </w:rPr>
        <w:t xml:space="preserve"> Kim </w:t>
      </w:r>
    </w:p>
    <w:p w:rsidR="000D3149" w:rsidRDefault="000D3149" w:rsidP="000D3149">
      <w:pPr>
        <w:pStyle w:val="1"/>
        <w:wordWrap/>
        <w:ind w:firstLine="0"/>
        <w:rPr>
          <w:color w:val="auto"/>
        </w:rPr>
      </w:pPr>
      <w:r w:rsidRPr="00E75E57">
        <w:rPr>
          <w:lang w:eastAsia="en-US"/>
        </w:rPr>
        <w:t>In drug discovery, how much diverse structures of drugs are applicable for both selective and effective targeting? Even though it can be a very curious question in academia, current approaches combining cheminformatics with medicinal chemistry commonly use ‘targets’ as their queries so that ‘structural uniqueness or diversity of drugs’ cannot be considered with either the highest priority or the uncoupling with SAR. Therefore, rational drug design or virtual screening using a built molecular database cannot consider ‘structural diversity of a drug’ enough</w:t>
      </w:r>
      <w:r>
        <w:rPr>
          <w:lang w:eastAsia="en-US"/>
        </w:rPr>
        <w:t>.</w:t>
      </w:r>
      <w:r w:rsidRPr="00E75E57">
        <w:rPr>
          <w:lang w:eastAsia="en-US"/>
        </w:rPr>
        <w:t xml:space="preserve"> However, a part of ‘not existing compounds’</w:t>
      </w:r>
      <w:r>
        <w:rPr>
          <w:lang w:eastAsia="en-US"/>
        </w:rPr>
        <w:t xml:space="preserve"> can be unfound treasure island. For the purpose, </w:t>
      </w:r>
      <w:r w:rsidRPr="00992F5C">
        <w:rPr>
          <w:color w:val="auto"/>
        </w:rPr>
        <w:t xml:space="preserve">we devised </w:t>
      </w:r>
      <w:r>
        <w:rPr>
          <w:color w:val="auto"/>
        </w:rPr>
        <w:t>‘</w:t>
      </w:r>
      <w:proofErr w:type="spellStart"/>
      <w:r w:rsidRPr="00992F5C">
        <w:rPr>
          <w:color w:val="auto"/>
        </w:rPr>
        <w:t>C</w:t>
      </w:r>
      <w:r>
        <w:rPr>
          <w:color w:val="auto"/>
        </w:rPr>
        <w:t>h</w:t>
      </w:r>
      <w:r w:rsidRPr="00992F5C">
        <w:rPr>
          <w:color w:val="auto"/>
        </w:rPr>
        <w:t>OS</w:t>
      </w:r>
      <w:proofErr w:type="spellEnd"/>
      <w:r w:rsidRPr="00992F5C">
        <w:rPr>
          <w:color w:val="auto"/>
        </w:rPr>
        <w:t xml:space="preserve"> (Chemistry oriented synthesis)</w:t>
      </w:r>
      <w:r>
        <w:rPr>
          <w:color w:val="auto"/>
        </w:rPr>
        <w:t>’</w:t>
      </w:r>
      <w:r w:rsidRPr="00E40B78">
        <w:rPr>
          <w:color w:val="auto"/>
        </w:rPr>
        <w:t xml:space="preserve"> </w:t>
      </w:r>
      <w:r>
        <w:rPr>
          <w:color w:val="auto"/>
        </w:rPr>
        <w:t>without any chosen target.</w:t>
      </w:r>
    </w:p>
    <w:p w:rsidR="000D3149" w:rsidRDefault="000D3149" w:rsidP="000D3149">
      <w:pPr>
        <w:pStyle w:val="1"/>
        <w:wordWrap/>
        <w:ind w:firstLine="0"/>
        <w:rPr>
          <w:color w:val="auto"/>
        </w:rPr>
      </w:pPr>
      <w:r>
        <w:rPr>
          <w:color w:val="auto"/>
        </w:rPr>
        <w:lastRenderedPageBreak/>
        <w:t>T</w:t>
      </w:r>
      <w:r w:rsidRPr="00992F5C">
        <w:rPr>
          <w:color w:val="auto"/>
        </w:rPr>
        <w:t xml:space="preserve">he strategy ‘CHOS (Chemistry oriented synthesis)’ </w:t>
      </w:r>
      <w:r>
        <w:rPr>
          <w:color w:val="auto"/>
        </w:rPr>
        <w:t>try to</w:t>
      </w:r>
      <w:r w:rsidRPr="00992F5C">
        <w:rPr>
          <w:color w:val="auto"/>
        </w:rPr>
        <w:t xml:space="preserve"> </w:t>
      </w:r>
      <w:r>
        <w:rPr>
          <w:color w:val="auto"/>
        </w:rPr>
        <w:t>get</w:t>
      </w:r>
      <w:r w:rsidRPr="00992F5C">
        <w:rPr>
          <w:color w:val="auto"/>
        </w:rPr>
        <w:t xml:space="preserve"> biological usage from synthetic methodology and it is different with current existing strategies: DOS (Diversity oriented synthesis), BIOS (Biology oriented synthesis), FOS (Function oriented synthesis) and TOS (Target oriented synthesis)</w:t>
      </w:r>
      <w:r>
        <w:rPr>
          <w:color w:val="auto"/>
        </w:rPr>
        <w:t xml:space="preserve"> [7,9]</w:t>
      </w:r>
      <w:r w:rsidRPr="00992F5C">
        <w:rPr>
          <w:color w:val="auto"/>
        </w:rPr>
        <w:t>.</w:t>
      </w:r>
      <w:r>
        <w:rPr>
          <w:color w:val="auto"/>
        </w:rPr>
        <w:t xml:space="preserve"> </w:t>
      </w:r>
      <w:proofErr w:type="spellStart"/>
      <w:r w:rsidRPr="00723E34">
        <w:rPr>
          <w:rStyle w:val="1Char"/>
        </w:rPr>
        <w:t>ChOS</w:t>
      </w:r>
      <w:proofErr w:type="spellEnd"/>
      <w:r w:rsidRPr="00723E34">
        <w:rPr>
          <w:rStyle w:val="1Char"/>
        </w:rPr>
        <w:t xml:space="preserve"> consisting of</w:t>
      </w:r>
      <w:r w:rsidRPr="00723E34">
        <w:rPr>
          <w:rStyle w:val="1Char"/>
          <w:rFonts w:hint="eastAsia"/>
        </w:rPr>
        <w:t xml:space="preserve"> </w:t>
      </w:r>
      <w:r w:rsidRPr="00723E34">
        <w:rPr>
          <w:rStyle w:val="1Char"/>
        </w:rPr>
        <w:t>four</w:t>
      </w:r>
      <w:r w:rsidRPr="00723E34">
        <w:rPr>
          <w:rStyle w:val="1Char"/>
          <w:rFonts w:hint="eastAsia"/>
        </w:rPr>
        <w:t xml:space="preserve"> </w:t>
      </w:r>
      <w:r w:rsidRPr="00723E34">
        <w:rPr>
          <w:rStyle w:val="1Char"/>
        </w:rPr>
        <w:t xml:space="preserve">stepwise </w:t>
      </w:r>
      <w:r w:rsidRPr="00723E34">
        <w:rPr>
          <w:rStyle w:val="1Char"/>
          <w:rFonts w:hint="eastAsia"/>
        </w:rPr>
        <w:t>components;</w:t>
      </w:r>
      <w:r w:rsidRPr="00723E34">
        <w:rPr>
          <w:rStyle w:val="1Char"/>
        </w:rPr>
        <w:t xml:space="preserve"> (1) the development</w:t>
      </w:r>
      <w:r w:rsidRPr="00723E34">
        <w:t xml:space="preserve"> of </w:t>
      </w:r>
      <w:r w:rsidRPr="00723E34">
        <w:rPr>
          <w:rFonts w:hint="eastAsia"/>
        </w:rPr>
        <w:t>efficient</w:t>
      </w:r>
      <w:r w:rsidRPr="00723E34">
        <w:t xml:space="preserve"> </w:t>
      </w:r>
      <w:r w:rsidRPr="00E40B78">
        <w:t>synthetic methodology of an unprecedented</w:t>
      </w:r>
      <w:r w:rsidRPr="00E40B78">
        <w:rPr>
          <w:rFonts w:hint="eastAsia"/>
        </w:rPr>
        <w:t xml:space="preserve"> </w:t>
      </w:r>
      <w:proofErr w:type="spellStart"/>
      <w:r w:rsidRPr="00E40B78">
        <w:t>druglike</w:t>
      </w:r>
      <w:proofErr w:type="spellEnd"/>
      <w:r w:rsidRPr="00E40B78">
        <w:t xml:space="preserve"> scaffold, (2) small diverse chemical</w:t>
      </w:r>
      <w:r w:rsidRPr="00E40B78">
        <w:rPr>
          <w:rFonts w:hint="eastAsia"/>
        </w:rPr>
        <w:t xml:space="preserve"> library</w:t>
      </w:r>
      <w:r w:rsidRPr="00E40B78">
        <w:t xml:space="preserve"> of the scaffold </w:t>
      </w:r>
      <w:r w:rsidRPr="00E40B78">
        <w:rPr>
          <w:rFonts w:hint="eastAsia"/>
        </w:rPr>
        <w:t>from the reaction methodology</w:t>
      </w:r>
      <w:r w:rsidRPr="00E40B78">
        <w:t xml:space="preserve">, (3) in </w:t>
      </w:r>
      <w:proofErr w:type="spellStart"/>
      <w:r w:rsidRPr="00E40B78">
        <w:t>silico</w:t>
      </w:r>
      <w:proofErr w:type="spellEnd"/>
      <w:r w:rsidRPr="00E40B78">
        <w:t xml:space="preserve"> target screening of the library, and (4) in</w:t>
      </w:r>
      <w:r w:rsidRPr="00723E34">
        <w:t xml:space="preserve"> vitro activity check against selected targets</w:t>
      </w:r>
      <w:r w:rsidRPr="00723E34">
        <w:rPr>
          <w:rFonts w:hint="eastAsia"/>
        </w:rPr>
        <w:t xml:space="preserve"> through in </w:t>
      </w:r>
      <w:proofErr w:type="spellStart"/>
      <w:r w:rsidRPr="00723E34">
        <w:rPr>
          <w:rFonts w:hint="eastAsia"/>
        </w:rPr>
        <w:t>silico</w:t>
      </w:r>
      <w:proofErr w:type="spellEnd"/>
      <w:r w:rsidRPr="00723E34">
        <w:t>.</w:t>
      </w:r>
      <w:r>
        <w:t xml:space="preserve"> </w:t>
      </w:r>
    </w:p>
    <w:p w:rsidR="000D3149" w:rsidRPr="00992F5C" w:rsidRDefault="000D3149" w:rsidP="000D3149">
      <w:pPr>
        <w:pStyle w:val="1"/>
        <w:wordWrap/>
        <w:ind w:firstLine="0"/>
        <w:rPr>
          <w:color w:val="auto"/>
        </w:rPr>
      </w:pPr>
    </w:p>
    <w:p w:rsidR="000D3149" w:rsidRDefault="000D3149" w:rsidP="000D3149">
      <w:pPr>
        <w:pStyle w:val="1"/>
        <w:wordWrap/>
        <w:ind w:firstLine="0"/>
        <w:rPr>
          <w:color w:val="auto"/>
        </w:rPr>
      </w:pPr>
      <w:r>
        <w:rPr>
          <w:color w:val="auto"/>
        </w:rPr>
        <w:t xml:space="preserve">#4. </w:t>
      </w:r>
      <w:r w:rsidRPr="000F043A">
        <w:rPr>
          <w:color w:val="auto"/>
        </w:rPr>
        <w:t>fitted representative univariate distribution</w:t>
      </w:r>
    </w:p>
    <w:p w:rsidR="000D3149" w:rsidRDefault="000D3149" w:rsidP="000D3149">
      <w:pPr>
        <w:pStyle w:val="1"/>
        <w:wordWrap/>
        <w:ind w:firstLine="0"/>
        <w:rPr>
          <w:color w:val="auto"/>
        </w:rPr>
      </w:pPr>
      <w:r>
        <w:rPr>
          <w:color w:val="auto"/>
        </w:rPr>
        <w:t>‘</w:t>
      </w:r>
      <w:r w:rsidRPr="00992F5C">
        <w:rPr>
          <w:b/>
          <w:color w:val="auto"/>
        </w:rPr>
        <w:t>univariate distribution</w:t>
      </w:r>
      <w:r>
        <w:rPr>
          <w:color w:val="auto"/>
        </w:rPr>
        <w:t>’ means probability distribution of one variable and ‘</w:t>
      </w:r>
      <w:r w:rsidRPr="00992F5C">
        <w:rPr>
          <w:b/>
          <w:color w:val="auto"/>
        </w:rPr>
        <w:t>representative univariate distribution</w:t>
      </w:r>
      <w:r>
        <w:rPr>
          <w:color w:val="auto"/>
        </w:rPr>
        <w:t>’ means representative among probable distributions of the variable. ‘</w:t>
      </w:r>
      <w:r w:rsidRPr="00992F5C">
        <w:rPr>
          <w:b/>
          <w:color w:val="auto"/>
        </w:rPr>
        <w:t>fitted representative univariate distribution</w:t>
      </w:r>
      <w:r>
        <w:rPr>
          <w:color w:val="auto"/>
        </w:rPr>
        <w:t xml:space="preserve">’ means representative distribution estimated through fitting algorithm. </w:t>
      </w:r>
    </w:p>
    <w:p w:rsidR="00444672" w:rsidRPr="000D3149" w:rsidRDefault="00444672"/>
    <w:sectPr w:rsidR="00444672" w:rsidRPr="000D3149">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149"/>
    <w:rsid w:val="00097B0F"/>
    <w:rsid w:val="000D3149"/>
    <w:rsid w:val="0044467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0A0C1"/>
  <w15:chartTrackingRefBased/>
  <w15:docId w15:val="{F917BEE4-E68F-438D-A769-8813BCDDA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3149"/>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스타일1"/>
    <w:basedOn w:val="a"/>
    <w:link w:val="1Char"/>
    <w:qFormat/>
    <w:rsid w:val="000D3149"/>
    <w:pPr>
      <w:spacing w:line="480" w:lineRule="auto"/>
      <w:ind w:firstLine="800"/>
    </w:pPr>
    <w:rPr>
      <w:rFonts w:ascii="Times New Roman" w:eastAsia="바탕" w:hAnsi="Times New Roman"/>
      <w:color w:val="000000" w:themeColor="text1"/>
      <w:kern w:val="0"/>
      <w:sz w:val="24"/>
      <w:szCs w:val="24"/>
    </w:rPr>
  </w:style>
  <w:style w:type="character" w:customStyle="1" w:styleId="1Char">
    <w:name w:val="스타일1 Char"/>
    <w:basedOn w:val="a0"/>
    <w:link w:val="1"/>
    <w:rsid w:val="000D3149"/>
    <w:rPr>
      <w:rFonts w:ascii="Times New Roman" w:eastAsia="바탕" w:hAnsi="Times New Roman" w:cs="Times New Roman"/>
      <w:color w:val="000000" w:themeColor="text1"/>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395</Words>
  <Characters>2253</Characters>
  <Application>Microsoft Office Word</Application>
  <DocSecurity>0</DocSecurity>
  <Lines>18</Lines>
  <Paragraphs>5</Paragraphs>
  <ScaleCrop>false</ScaleCrop>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GC</dc:creator>
  <cp:keywords/>
  <dc:description/>
  <cp:lastModifiedBy>GC</cp:lastModifiedBy>
  <cp:revision>2</cp:revision>
  <dcterms:created xsi:type="dcterms:W3CDTF">2020-02-17T06:47:00Z</dcterms:created>
  <dcterms:modified xsi:type="dcterms:W3CDTF">2020-02-17T06:50:00Z</dcterms:modified>
</cp:coreProperties>
</file>