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5074" w:rsidRPr="00D6796C" w:rsidRDefault="00675074" w:rsidP="00675074">
      <w:pPr>
        <w:pStyle w:val="MDPI31text"/>
        <w:ind w:firstLine="0"/>
        <w:jc w:val="center"/>
        <w:rPr>
          <w:b/>
          <w:bCs/>
          <w:color w:val="auto"/>
        </w:rPr>
      </w:pPr>
      <w:r w:rsidRPr="00D6796C">
        <w:rPr>
          <w:b/>
          <w:bCs/>
          <w:color w:val="auto"/>
        </w:rPr>
        <w:t>Table 1. Effects of phosphate and Ca2+ ions on ejections of DNAs from virions of T4.</w:t>
      </w:r>
    </w:p>
    <w:p w:rsidR="00675074" w:rsidRPr="00D6796C" w:rsidRDefault="00675074" w:rsidP="00675074">
      <w:pPr>
        <w:pStyle w:val="MDPI31text"/>
        <w:ind w:firstLine="0"/>
        <w:jc w:val="left"/>
        <w:rPr>
          <w:color w:val="auto"/>
        </w:rPr>
      </w:pPr>
      <w:r w:rsidRPr="00D6796C">
        <w:rPr>
          <w:color w:val="auto"/>
        </w:rPr>
        <w:t>The higher the concentration of Pi and the lower the concentration of Ca2+, the more DNA molecules were ejected from T4 heads. Pi and Ca2+ acted antagonistically on the ejection of DNA in vitro. More than 80% of virions ejected their DNA when the ambient concentration of Pi was higher than 10 mM and that of Ca2+ was lower than 0.1 mM. Mg2+ ion worked as a counteractive ion to Pi in the DNA ejection, while the effects were weaker than Ca2+.</w:t>
      </w:r>
    </w:p>
    <w:p w:rsidR="00675074" w:rsidRPr="00D6796C" w:rsidRDefault="00675074" w:rsidP="00675074">
      <w:pPr>
        <w:pStyle w:val="MDPI31text"/>
        <w:ind w:firstLine="0"/>
        <w:rPr>
          <w:color w:val="auto"/>
        </w:rPr>
      </w:pPr>
    </w:p>
    <w:p w:rsidR="00675074" w:rsidRPr="00D6796C" w:rsidRDefault="00675074" w:rsidP="00675074">
      <w:pPr>
        <w:pStyle w:val="MDPI31text"/>
        <w:ind w:firstLine="0"/>
        <w:jc w:val="center"/>
        <w:rPr>
          <w:color w:val="auto"/>
        </w:rPr>
      </w:pPr>
      <w:r w:rsidRPr="00D6796C">
        <w:rPr>
          <w:noProof/>
          <w:color w:val="auto"/>
        </w:rPr>
        <w:drawing>
          <wp:inline distT="0" distB="0" distL="0" distR="0" wp14:anchorId="37B4EBE9" wp14:editId="32CB0AD5">
            <wp:extent cx="4535805" cy="2188845"/>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35805" cy="2188845"/>
                    </a:xfrm>
                    <a:prstGeom prst="rect">
                      <a:avLst/>
                    </a:prstGeom>
                    <a:noFill/>
                    <a:ln>
                      <a:noFill/>
                    </a:ln>
                  </pic:spPr>
                </pic:pic>
              </a:graphicData>
            </a:graphic>
          </wp:inline>
        </w:drawing>
      </w:r>
    </w:p>
    <w:p w:rsidR="00675074" w:rsidRPr="00D6796C" w:rsidRDefault="00675074" w:rsidP="00675074">
      <w:pPr>
        <w:pStyle w:val="MDPI31text"/>
        <w:ind w:firstLine="0"/>
        <w:jc w:val="center"/>
        <w:rPr>
          <w:color w:val="auto"/>
        </w:rPr>
      </w:pPr>
      <w:r w:rsidRPr="00D6796C">
        <w:rPr>
          <w:color w:val="auto"/>
        </w:rPr>
        <w:t>Rates of ejections: +++: &gt;80%, ++: 20 – 80%, +: 5 – 20%, -: &lt;5%</w:t>
      </w:r>
    </w:p>
    <w:p w:rsidR="00675074" w:rsidRPr="00D6796C" w:rsidRDefault="00675074" w:rsidP="00675074">
      <w:pPr>
        <w:spacing w:line="240" w:lineRule="auto"/>
        <w:jc w:val="left"/>
        <w:rPr>
          <w:rFonts w:ascii="Palatino Linotype" w:hAnsi="Palatino Linotype"/>
          <w:b/>
          <w:snapToGrid w:val="0"/>
          <w:color w:val="auto"/>
          <w:sz w:val="18"/>
          <w:lang w:eastAsia="en-US" w:bidi="en-US"/>
        </w:rPr>
      </w:pPr>
    </w:p>
    <w:p w:rsidR="00675074" w:rsidRPr="00D6796C" w:rsidRDefault="00675074" w:rsidP="00675074">
      <w:pPr>
        <w:spacing w:line="240" w:lineRule="auto"/>
        <w:jc w:val="left"/>
        <w:rPr>
          <w:rFonts w:ascii="Palatino Linotype" w:hAnsi="Palatino Linotype"/>
          <w:b/>
          <w:snapToGrid w:val="0"/>
          <w:color w:val="auto"/>
          <w:sz w:val="18"/>
          <w:lang w:eastAsia="en-US" w:bidi="en-US"/>
        </w:rPr>
      </w:pPr>
    </w:p>
    <w:p w:rsidR="00675074" w:rsidRPr="00D6796C" w:rsidRDefault="00675074" w:rsidP="00675074">
      <w:pPr>
        <w:pStyle w:val="MDPI31text"/>
        <w:ind w:firstLine="0"/>
        <w:jc w:val="center"/>
        <w:rPr>
          <w:b/>
          <w:color w:val="auto"/>
        </w:rPr>
      </w:pPr>
    </w:p>
    <w:p w:rsidR="00675074" w:rsidRPr="00D6796C" w:rsidRDefault="00675074" w:rsidP="00675074">
      <w:pPr>
        <w:pStyle w:val="MDPI31text"/>
        <w:ind w:firstLine="0"/>
        <w:jc w:val="center"/>
        <w:rPr>
          <w:b/>
          <w:color w:val="auto"/>
        </w:rPr>
      </w:pPr>
    </w:p>
    <w:p w:rsidR="00675074" w:rsidRPr="00D6796C" w:rsidRDefault="00675074" w:rsidP="00675074">
      <w:pPr>
        <w:pStyle w:val="MDPI31text"/>
        <w:ind w:firstLine="0"/>
        <w:jc w:val="center"/>
        <w:rPr>
          <w:b/>
          <w:color w:val="auto"/>
        </w:rPr>
      </w:pPr>
      <w:r w:rsidRPr="00D6796C">
        <w:rPr>
          <w:b/>
          <w:color w:val="auto"/>
        </w:rPr>
        <w:t xml:space="preserve">Table </w:t>
      </w:r>
      <w:r>
        <w:rPr>
          <w:b/>
          <w:color w:val="auto"/>
        </w:rPr>
        <w:t>2</w:t>
      </w:r>
      <w:r w:rsidRPr="00D6796C">
        <w:rPr>
          <w:b/>
          <w:color w:val="auto"/>
        </w:rPr>
        <w:t>. The effects of the differences of the initial densities on the regeneration rates of infectious virions.</w:t>
      </w:r>
    </w:p>
    <w:p w:rsidR="00675074" w:rsidRPr="00D6796C" w:rsidRDefault="00675074" w:rsidP="00675074">
      <w:pPr>
        <w:pStyle w:val="MDPI31text"/>
        <w:rPr>
          <w:color w:val="auto"/>
        </w:rPr>
      </w:pPr>
      <w:r w:rsidRPr="00D6796C">
        <w:rPr>
          <w:color w:val="auto"/>
        </w:rPr>
        <w:t>Numbers, except for pfu, are the dilution rate, e.g. -</w:t>
      </w:r>
      <w:r w:rsidRPr="00D6796C">
        <w:rPr>
          <w:rFonts w:hint="eastAsia"/>
          <w:color w:val="auto"/>
        </w:rPr>
        <w:t>n</w:t>
      </w:r>
      <w:r w:rsidRPr="00D6796C">
        <w:rPr>
          <w:color w:val="auto"/>
        </w:rPr>
        <w:t xml:space="preserve"> indicates 10</w:t>
      </w:r>
      <w:r w:rsidRPr="00D6796C">
        <w:rPr>
          <w:rFonts w:hint="eastAsia"/>
          <w:color w:val="auto"/>
          <w:vertAlign w:val="superscript"/>
        </w:rPr>
        <w:t>n</w:t>
      </w:r>
      <w:r w:rsidRPr="00D6796C">
        <w:rPr>
          <w:color w:val="auto"/>
        </w:rPr>
        <w:t xml:space="preserve">-fold dilution and 0 means no dilution. In all the cases, packaging of viral DNA, and the regeneration of virions, happened at the 100-fold dilution </w:t>
      </w:r>
      <w:r w:rsidRPr="00D6796C">
        <w:rPr>
          <w:rFonts w:hint="eastAsia"/>
          <w:color w:val="auto"/>
        </w:rPr>
        <w:t>from</w:t>
      </w:r>
      <w:r w:rsidRPr="00D6796C">
        <w:rPr>
          <w:color w:val="auto"/>
        </w:rPr>
        <w:t xml:space="preserve"> 30 mM Pi </w:t>
      </w:r>
      <w:r w:rsidRPr="00D6796C">
        <w:rPr>
          <w:rFonts w:hint="eastAsia"/>
          <w:color w:val="auto"/>
        </w:rPr>
        <w:t>to 0.3 mM Pi</w:t>
      </w:r>
      <w:r w:rsidRPr="00D6796C">
        <w:rPr>
          <w:color w:val="auto"/>
        </w:rPr>
        <w:t xml:space="preserve"> at the 2</w:t>
      </w:r>
      <w:r w:rsidRPr="00D6796C">
        <w:rPr>
          <w:color w:val="auto"/>
          <w:vertAlign w:val="superscript"/>
        </w:rPr>
        <w:t>nd</w:t>
      </w:r>
      <w:r w:rsidRPr="00D6796C">
        <w:rPr>
          <w:color w:val="auto"/>
        </w:rPr>
        <w:t xml:space="preserve"> dilution. </w:t>
      </w:r>
      <w:r w:rsidRPr="00D6796C">
        <w:rPr>
          <w:rFonts w:hint="eastAsia"/>
          <w:color w:val="auto"/>
        </w:rPr>
        <w:t>The</w:t>
      </w:r>
      <w:r w:rsidRPr="00D6796C">
        <w:rPr>
          <w:color w:val="auto"/>
        </w:rPr>
        <w:t xml:space="preserve"> densities of the original specimens were ca. 10</w:t>
      </w:r>
      <w:r w:rsidRPr="00D6796C">
        <w:rPr>
          <w:color w:val="auto"/>
          <w:vertAlign w:val="superscript"/>
        </w:rPr>
        <w:t>7</w:t>
      </w:r>
      <w:r w:rsidRPr="00D6796C">
        <w:rPr>
          <w:color w:val="auto"/>
        </w:rPr>
        <w:t xml:space="preserve"> ml</w:t>
      </w:r>
      <w:r w:rsidRPr="00D6796C">
        <w:rPr>
          <w:color w:val="auto"/>
          <w:vertAlign w:val="superscript"/>
        </w:rPr>
        <w:t>-1</w:t>
      </w:r>
      <w:r w:rsidRPr="00D6796C">
        <w:rPr>
          <w:color w:val="auto"/>
        </w:rPr>
        <w:t xml:space="preserve">. The case I packaging was started 1000 times higher density of ejected DNAs than the case IV. After packaging, the </w:t>
      </w:r>
      <w:r w:rsidRPr="00D6796C">
        <w:rPr>
          <w:rFonts w:hint="eastAsia"/>
          <w:color w:val="auto"/>
        </w:rPr>
        <w:t>content</w:t>
      </w:r>
      <w:r w:rsidRPr="00D6796C">
        <w:rPr>
          <w:color w:val="auto"/>
        </w:rPr>
        <w:t xml:space="preserve"> densit</w:t>
      </w:r>
      <w:r w:rsidRPr="00D6796C">
        <w:rPr>
          <w:rFonts w:hint="eastAsia"/>
          <w:color w:val="auto"/>
        </w:rPr>
        <w:t>ies</w:t>
      </w:r>
      <w:r w:rsidRPr="00D6796C">
        <w:rPr>
          <w:color w:val="auto"/>
        </w:rPr>
        <w:t xml:space="preserve"> of the specimen</w:t>
      </w:r>
      <w:r w:rsidRPr="00D6796C">
        <w:rPr>
          <w:rFonts w:hint="eastAsia"/>
          <w:color w:val="auto"/>
        </w:rPr>
        <w:t>s</w:t>
      </w:r>
      <w:r w:rsidRPr="00D6796C">
        <w:rPr>
          <w:color w:val="auto"/>
        </w:rPr>
        <w:t xml:space="preserve"> </w:t>
      </w:r>
      <w:r w:rsidRPr="00D6796C">
        <w:rPr>
          <w:rFonts w:hint="eastAsia"/>
          <w:color w:val="auto"/>
        </w:rPr>
        <w:t xml:space="preserve">were adjusted to the same </w:t>
      </w:r>
      <w:r w:rsidRPr="00D6796C">
        <w:rPr>
          <w:color w:val="auto"/>
        </w:rPr>
        <w:t>densities</w:t>
      </w:r>
      <w:r w:rsidRPr="00D6796C">
        <w:rPr>
          <w:rFonts w:hint="eastAsia"/>
          <w:color w:val="auto"/>
        </w:rPr>
        <w:t xml:space="preserve"> at the 3</w:t>
      </w:r>
      <w:r w:rsidRPr="00D6796C">
        <w:rPr>
          <w:rFonts w:hint="eastAsia"/>
          <w:color w:val="auto"/>
          <w:vertAlign w:val="superscript"/>
        </w:rPr>
        <w:t>rd</w:t>
      </w:r>
      <w:r w:rsidRPr="00D6796C">
        <w:rPr>
          <w:rFonts w:hint="eastAsia"/>
          <w:color w:val="auto"/>
        </w:rPr>
        <w:t xml:space="preserve"> dilution</w:t>
      </w:r>
      <w:r w:rsidRPr="00D6796C">
        <w:rPr>
          <w:color w:val="auto"/>
        </w:rPr>
        <w:t xml:space="preserve">. The </w:t>
      </w:r>
      <w:r w:rsidRPr="00D6796C">
        <w:rPr>
          <w:rFonts w:hint="eastAsia"/>
          <w:color w:val="auto"/>
        </w:rPr>
        <w:t>three order</w:t>
      </w:r>
      <w:r w:rsidRPr="00D6796C">
        <w:rPr>
          <w:color w:val="auto"/>
        </w:rPr>
        <w:t>s of magnitude</w:t>
      </w:r>
      <w:r w:rsidRPr="00D6796C">
        <w:rPr>
          <w:rFonts w:hint="eastAsia"/>
          <w:color w:val="auto"/>
        </w:rPr>
        <w:t xml:space="preserve"> difference</w:t>
      </w:r>
      <w:r w:rsidRPr="00D6796C">
        <w:rPr>
          <w:color w:val="auto"/>
        </w:rPr>
        <w:t xml:space="preserve"> of the substrate densities at the 2</w:t>
      </w:r>
      <w:r w:rsidRPr="00D6796C">
        <w:rPr>
          <w:color w:val="auto"/>
          <w:vertAlign w:val="superscript"/>
        </w:rPr>
        <w:t>nd</w:t>
      </w:r>
      <w:r w:rsidRPr="00D6796C">
        <w:rPr>
          <w:color w:val="auto"/>
        </w:rPr>
        <w:t xml:space="preserve"> dilution </w:t>
      </w:r>
      <w:r w:rsidRPr="00D6796C">
        <w:rPr>
          <w:rFonts w:hint="eastAsia"/>
          <w:color w:val="auto"/>
        </w:rPr>
        <w:t>induced less than three times difference on</w:t>
      </w:r>
      <w:r w:rsidRPr="00D6796C">
        <w:rPr>
          <w:color w:val="auto"/>
        </w:rPr>
        <w:t xml:space="preserve"> the regeneration rates of the infectious virions.</w:t>
      </w:r>
    </w:p>
    <w:p w:rsidR="00675074" w:rsidRPr="00D6796C" w:rsidRDefault="00675074" w:rsidP="00675074">
      <w:pPr>
        <w:pStyle w:val="MDPI31text"/>
        <w:ind w:firstLine="0"/>
        <w:jc w:val="center"/>
        <w:rPr>
          <w:color w:val="auto"/>
        </w:rPr>
      </w:pPr>
      <w:r w:rsidRPr="00D6796C">
        <w:rPr>
          <w:noProof/>
          <w:color w:val="auto"/>
        </w:rPr>
        <w:drawing>
          <wp:inline distT="0" distB="0" distL="0" distR="0" wp14:anchorId="326B6845" wp14:editId="5D8BDF34">
            <wp:extent cx="5003800" cy="2368550"/>
            <wp:effectExtent l="0" t="0" r="635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03800" cy="2368550"/>
                    </a:xfrm>
                    <a:prstGeom prst="rect">
                      <a:avLst/>
                    </a:prstGeom>
                    <a:noFill/>
                    <a:ln>
                      <a:noFill/>
                    </a:ln>
                  </pic:spPr>
                </pic:pic>
              </a:graphicData>
            </a:graphic>
          </wp:inline>
        </w:drawing>
      </w:r>
    </w:p>
    <w:p w:rsidR="00675074" w:rsidRDefault="00675074" w:rsidP="00675074">
      <w:pPr>
        <w:spacing w:line="240" w:lineRule="auto"/>
        <w:jc w:val="left"/>
        <w:rPr>
          <w:rFonts w:ascii="Palatino Linotype" w:hAnsi="Palatino Linotype"/>
          <w:b/>
          <w:snapToGrid w:val="0"/>
          <w:color w:val="auto"/>
          <w:sz w:val="18"/>
          <w:lang w:eastAsia="en-US" w:bidi="en-US"/>
        </w:rPr>
      </w:pPr>
    </w:p>
    <w:p w:rsidR="00675074" w:rsidRDefault="00675074" w:rsidP="00675074">
      <w:pPr>
        <w:spacing w:line="240" w:lineRule="auto"/>
        <w:jc w:val="left"/>
        <w:rPr>
          <w:rFonts w:ascii="Palatino Linotype" w:hAnsi="Palatino Linotype"/>
          <w:b/>
          <w:snapToGrid w:val="0"/>
          <w:color w:val="auto"/>
          <w:sz w:val="18"/>
          <w:lang w:eastAsia="en-US" w:bidi="en-US"/>
        </w:rPr>
      </w:pPr>
    </w:p>
    <w:p w:rsidR="00675074" w:rsidRDefault="00675074" w:rsidP="00675074">
      <w:pPr>
        <w:spacing w:line="240" w:lineRule="auto"/>
        <w:jc w:val="left"/>
        <w:rPr>
          <w:rFonts w:ascii="Palatino Linotype" w:hAnsi="Palatino Linotype"/>
          <w:b/>
          <w:snapToGrid w:val="0"/>
          <w:color w:val="auto"/>
          <w:sz w:val="18"/>
          <w:lang w:eastAsia="en-US" w:bidi="en-US"/>
        </w:rPr>
      </w:pPr>
    </w:p>
    <w:p w:rsidR="00675074" w:rsidRDefault="00675074" w:rsidP="00675074">
      <w:pPr>
        <w:spacing w:line="240" w:lineRule="auto"/>
        <w:jc w:val="left"/>
        <w:rPr>
          <w:rFonts w:ascii="Palatino Linotype" w:hAnsi="Palatino Linotype"/>
          <w:b/>
          <w:snapToGrid w:val="0"/>
          <w:color w:val="auto"/>
          <w:sz w:val="18"/>
          <w:lang w:eastAsia="en-US" w:bidi="en-US"/>
        </w:rPr>
      </w:pPr>
    </w:p>
    <w:p w:rsidR="00675074" w:rsidRPr="00D6796C" w:rsidRDefault="00675074" w:rsidP="00675074">
      <w:pPr>
        <w:pStyle w:val="MDPI31text"/>
        <w:ind w:firstLine="0"/>
        <w:jc w:val="center"/>
        <w:rPr>
          <w:b/>
          <w:color w:val="auto"/>
        </w:rPr>
      </w:pPr>
      <w:r w:rsidRPr="00D6796C">
        <w:rPr>
          <w:b/>
          <w:color w:val="auto"/>
        </w:rPr>
        <w:t xml:space="preserve">Table </w:t>
      </w:r>
      <w:r>
        <w:rPr>
          <w:b/>
          <w:color w:val="auto"/>
        </w:rPr>
        <w:t>3</w:t>
      </w:r>
      <w:r w:rsidRPr="00D6796C">
        <w:rPr>
          <w:b/>
          <w:color w:val="auto"/>
        </w:rPr>
        <w:t xml:space="preserve">. </w:t>
      </w:r>
      <w:r>
        <w:rPr>
          <w:b/>
          <w:color w:val="auto"/>
        </w:rPr>
        <w:t>Estimation</w:t>
      </w:r>
      <w:r w:rsidRPr="00D6796C">
        <w:rPr>
          <w:b/>
          <w:color w:val="auto"/>
        </w:rPr>
        <w:t xml:space="preserve"> of</w:t>
      </w:r>
      <w:r>
        <w:rPr>
          <w:b/>
          <w:color w:val="auto"/>
        </w:rPr>
        <w:t xml:space="preserve"> the abundance of</w:t>
      </w:r>
      <w:r w:rsidRPr="00D6796C">
        <w:rPr>
          <w:b/>
          <w:color w:val="auto"/>
        </w:rPr>
        <w:t xml:space="preserve"> infectious virions</w:t>
      </w:r>
      <w:r>
        <w:rPr>
          <w:b/>
          <w:color w:val="auto"/>
        </w:rPr>
        <w:t xml:space="preserve"> in 30 mM Pi</w:t>
      </w:r>
      <w:r w:rsidRPr="00D6796C">
        <w:rPr>
          <w:b/>
          <w:color w:val="auto"/>
        </w:rPr>
        <w:t>.</w:t>
      </w:r>
    </w:p>
    <w:p w:rsidR="00675074" w:rsidRPr="00A61A24" w:rsidRDefault="00675074" w:rsidP="00675074">
      <w:pPr>
        <w:spacing w:line="240" w:lineRule="auto"/>
        <w:jc w:val="left"/>
        <w:rPr>
          <w:rFonts w:ascii="Palatino Linotype" w:hAnsi="Palatino Linotype"/>
          <w:b/>
          <w:snapToGrid w:val="0"/>
          <w:color w:val="auto"/>
          <w:sz w:val="20"/>
          <w:lang w:eastAsia="en-US" w:bidi="en-US"/>
        </w:rPr>
      </w:pPr>
      <w:r w:rsidRPr="00A61A24">
        <w:rPr>
          <w:rFonts w:ascii="Palatino Linotype" w:hAnsi="Palatino Linotype"/>
          <w:color w:val="auto"/>
          <w:sz w:val="20"/>
        </w:rPr>
        <w:t>Numbers are relative values of pfu. The original suspensions of T4 virions were deionized by two steps, dialysis against Milli-Q water for one week and immersion in 30 mM Pi. The first step deionization did not induce the ejection of DNA from virions but took infectivity away from the virions. The abundance of virions survived in this step was less than one percent. Immersion of the dialysis virion in EL recovered the infectivity to 76 %. The next deionization was immersion of dialysis virions in 30 mM Pi. The whole virions ejected their DNA at this deionization. Dilution of the suspension of virions in 30 mM Pi reproduced compact DNA covered by capsid and recovered the infectivity to 13</w:t>
      </w:r>
      <w:r>
        <w:rPr>
          <w:rFonts w:ascii="Palatino Linotype" w:hAnsi="Palatino Linotype"/>
          <w:color w:val="auto"/>
          <w:sz w:val="20"/>
        </w:rPr>
        <w:t>9</w:t>
      </w:r>
      <w:r w:rsidRPr="00A61A24">
        <w:rPr>
          <w:rFonts w:ascii="Palatino Linotype" w:hAnsi="Palatino Linotype"/>
          <w:color w:val="auto"/>
          <w:sz w:val="20"/>
        </w:rPr>
        <w:t>%.</w:t>
      </w:r>
    </w:p>
    <w:p w:rsidR="00675074" w:rsidRDefault="00675074" w:rsidP="00675074">
      <w:pPr>
        <w:spacing w:line="240" w:lineRule="auto"/>
        <w:jc w:val="left"/>
        <w:rPr>
          <w:rFonts w:ascii="Palatino Linotype" w:hAnsi="Palatino Linotype"/>
          <w:b/>
          <w:snapToGrid w:val="0"/>
          <w:color w:val="auto"/>
          <w:sz w:val="18"/>
          <w:lang w:eastAsia="en-US" w:bidi="en-US"/>
        </w:rPr>
      </w:pPr>
    </w:p>
    <w:p w:rsidR="00675074" w:rsidRDefault="00675074" w:rsidP="00675074">
      <w:pPr>
        <w:spacing w:line="240" w:lineRule="auto"/>
        <w:jc w:val="center"/>
        <w:rPr>
          <w:rFonts w:ascii="Palatino Linotype" w:hAnsi="Palatino Linotype"/>
          <w:b/>
          <w:snapToGrid w:val="0"/>
          <w:color w:val="auto"/>
          <w:sz w:val="18"/>
          <w:lang w:eastAsia="en-US" w:bidi="en-US"/>
        </w:rPr>
      </w:pPr>
    </w:p>
    <w:p w:rsidR="00675074" w:rsidRDefault="00675074" w:rsidP="00675074">
      <w:pPr>
        <w:spacing w:line="240" w:lineRule="auto"/>
        <w:jc w:val="center"/>
        <w:rPr>
          <w:rFonts w:ascii="Palatino Linotype" w:hAnsi="Palatino Linotype"/>
          <w:b/>
          <w:snapToGrid w:val="0"/>
          <w:color w:val="auto"/>
          <w:sz w:val="18"/>
          <w:lang w:eastAsia="en-US" w:bidi="en-US"/>
        </w:rPr>
      </w:pPr>
      <w:r w:rsidRPr="00A61A24">
        <w:rPr>
          <w:noProof/>
        </w:rPr>
        <w:drawing>
          <wp:inline distT="0" distB="0" distL="0" distR="0" wp14:anchorId="59FEBA50" wp14:editId="1C3E6289">
            <wp:extent cx="4352925" cy="495300"/>
            <wp:effectExtent l="0" t="0" r="9525" b="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52925" cy="495300"/>
                    </a:xfrm>
                    <a:prstGeom prst="rect">
                      <a:avLst/>
                    </a:prstGeom>
                    <a:noFill/>
                    <a:ln>
                      <a:noFill/>
                    </a:ln>
                  </pic:spPr>
                </pic:pic>
              </a:graphicData>
            </a:graphic>
          </wp:inline>
        </w:drawing>
      </w:r>
    </w:p>
    <w:p w:rsidR="00675074" w:rsidRPr="00A61A24" w:rsidRDefault="00675074" w:rsidP="00675074">
      <w:pPr>
        <w:spacing w:line="240" w:lineRule="auto"/>
        <w:ind w:left="840" w:firstLine="420"/>
        <w:jc w:val="left"/>
        <w:rPr>
          <w:rFonts w:ascii="Palatino Linotype" w:eastAsiaTheme="minorEastAsia" w:hAnsi="Palatino Linotype"/>
          <w:b/>
          <w:snapToGrid w:val="0"/>
          <w:color w:val="auto"/>
          <w:sz w:val="20"/>
          <w:lang w:eastAsia="ja-JP" w:bidi="en-US"/>
        </w:rPr>
      </w:pPr>
      <w:r w:rsidRPr="00A61A24">
        <w:rPr>
          <w:rFonts w:ascii="Palatino Linotype" w:eastAsiaTheme="minorEastAsia" w:hAnsi="Palatino Linotype"/>
          <w:b/>
          <w:snapToGrid w:val="0"/>
          <w:color w:val="auto"/>
          <w:sz w:val="20"/>
          <w:lang w:eastAsia="ja-JP" w:bidi="en-US"/>
        </w:rPr>
        <w:t>pfu values: av. (SD)</w:t>
      </w:r>
    </w:p>
    <w:p w:rsidR="00675074" w:rsidRDefault="00675074" w:rsidP="00675074">
      <w:pPr>
        <w:spacing w:line="240" w:lineRule="auto"/>
        <w:jc w:val="left"/>
        <w:rPr>
          <w:rFonts w:ascii="Palatino Linotype" w:hAnsi="Palatino Linotype"/>
          <w:b/>
          <w:snapToGrid w:val="0"/>
          <w:color w:val="auto"/>
          <w:sz w:val="18"/>
          <w:lang w:eastAsia="en-US" w:bidi="en-US"/>
        </w:rPr>
      </w:pPr>
    </w:p>
    <w:p w:rsidR="00EB3BB0" w:rsidRDefault="00EB3BB0">
      <w:bookmarkStart w:id="0" w:name="_GoBack"/>
      <w:bookmarkEnd w:id="0"/>
    </w:p>
    <w:sectPr w:rsidR="00EB3B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074"/>
    <w:rsid w:val="00675074"/>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435940-309E-4CB4-A0BA-B745B1981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074"/>
    <w:pPr>
      <w:spacing w:after="0" w:line="340" w:lineRule="atLeast"/>
      <w:jc w:val="both"/>
    </w:pPr>
    <w:rPr>
      <w:rFonts w:ascii="Times New Roman" w:eastAsia="Times New Roman" w:hAnsi="Times New Roman" w:cs="Times New Roman"/>
      <w:color w:val="000000"/>
      <w:sz w:val="24"/>
      <w:szCs w:val="20"/>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31text">
    <w:name w:val="MDPI_3.1_text"/>
    <w:qFormat/>
    <w:rsid w:val="00675074"/>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333</Words>
  <Characters>1899</Characters>
  <Application>Microsoft Office Word</Application>
  <DocSecurity>0</DocSecurity>
  <Lines>15</Lines>
  <Paragraphs>4</Paragraphs>
  <ScaleCrop>false</ScaleCrop>
  <Company/>
  <LinksUpToDate>false</LinksUpToDate>
  <CharactersWithSpaces>2228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2020-02-27T23:49:00Z</dcterms:created>
  <dcterms:modified xsi:type="dcterms:W3CDTF">2020-02-27T23:49:00Z</dcterms:modified>
</cp:coreProperties>
</file>