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67C" w:rsidRDefault="00BB68D2" w:rsidP="00CC767C">
      <w:pPr>
        <w:rPr>
          <w:b/>
        </w:rPr>
      </w:pPr>
      <w:r>
        <w:rPr>
          <w:b/>
        </w:rPr>
        <w:t>Supplemental Table 1</w:t>
      </w:r>
      <w:r w:rsidR="00EB79AA">
        <w:rPr>
          <w:b/>
        </w:rPr>
        <w:t xml:space="preserve">. Frequency of detection of HHV-6 and EBV viral DNA by </w:t>
      </w:r>
      <w:proofErr w:type="spellStart"/>
      <w:r w:rsidR="00EB79AA">
        <w:rPr>
          <w:b/>
        </w:rPr>
        <w:t>ddPCR</w:t>
      </w:r>
      <w:proofErr w:type="spellEnd"/>
      <w:r w:rsidR="00EB79AA">
        <w:rPr>
          <w:b/>
        </w:rPr>
        <w:t xml:space="preserve"> and viral loads</w:t>
      </w:r>
      <w:r w:rsidR="00CC767C">
        <w:rPr>
          <w:b/>
        </w:rPr>
        <w:t xml:space="preserve"> </w:t>
      </w:r>
    </w:p>
    <w:p w:rsidR="00CC767C" w:rsidRDefault="00CC767C" w:rsidP="00CC767C">
      <w:pPr>
        <w:rPr>
          <w:b/>
        </w:rPr>
      </w:pPr>
    </w:p>
    <w:p w:rsidR="00CC767C" w:rsidRDefault="00CC767C" w:rsidP="00CC767C">
      <w:pPr>
        <w:rPr>
          <w:b/>
        </w:rPr>
      </w:pPr>
      <w:r>
        <w:rPr>
          <w:b/>
        </w:rPr>
        <w:t>SALIVA</w:t>
      </w:r>
    </w:p>
    <w:p w:rsidR="00CC767C" w:rsidRPr="00882FF1" w:rsidRDefault="00CC767C" w:rsidP="00CC767C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6"/>
        <w:gridCol w:w="1082"/>
        <w:gridCol w:w="1400"/>
        <w:gridCol w:w="1015"/>
        <w:gridCol w:w="1516"/>
      </w:tblGrid>
      <w:tr w:rsidR="00275599" w:rsidTr="00275599">
        <w:tc>
          <w:tcPr>
            <w:tcW w:w="1636" w:type="dxa"/>
          </w:tcPr>
          <w:p w:rsidR="00275599" w:rsidRDefault="00275599" w:rsidP="00F635A8"/>
        </w:tc>
        <w:tc>
          <w:tcPr>
            <w:tcW w:w="1082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HHV-6 pos</w:t>
            </w:r>
          </w:p>
        </w:tc>
        <w:tc>
          <w:tcPr>
            <w:tcW w:w="1400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 xml:space="preserve">HHV-6 </w:t>
            </w:r>
          </w:p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Viral load (copies/mL) Mean (SD)</w:t>
            </w:r>
          </w:p>
        </w:tc>
        <w:tc>
          <w:tcPr>
            <w:tcW w:w="1015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EBV pos</w:t>
            </w:r>
          </w:p>
        </w:tc>
        <w:tc>
          <w:tcPr>
            <w:tcW w:w="1516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 xml:space="preserve">EBV </w:t>
            </w:r>
          </w:p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Viral load (copies/mL)</w:t>
            </w:r>
          </w:p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Mean (SD)</w:t>
            </w:r>
          </w:p>
        </w:tc>
      </w:tr>
      <w:tr w:rsidR="00275599" w:rsidTr="00275599">
        <w:tc>
          <w:tcPr>
            <w:tcW w:w="1636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New onset</w:t>
            </w:r>
          </w:p>
        </w:tc>
        <w:tc>
          <w:tcPr>
            <w:tcW w:w="1082" w:type="dxa"/>
          </w:tcPr>
          <w:p w:rsidR="00275599" w:rsidRDefault="00275599" w:rsidP="00F635A8">
            <w:r>
              <w:t>7/18 (39%)</w:t>
            </w:r>
          </w:p>
        </w:tc>
        <w:tc>
          <w:tcPr>
            <w:tcW w:w="1400" w:type="dxa"/>
          </w:tcPr>
          <w:p w:rsidR="00275599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10,469.3</w:t>
            </w:r>
          </w:p>
          <w:p w:rsidR="00275599" w:rsidRPr="009C72F0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(14,549.9)</w:t>
            </w:r>
          </w:p>
        </w:tc>
        <w:tc>
          <w:tcPr>
            <w:tcW w:w="1015" w:type="dxa"/>
          </w:tcPr>
          <w:p w:rsidR="00275599" w:rsidRDefault="00275599" w:rsidP="00F635A8">
            <w:r>
              <w:t>7/18 (39%)</w:t>
            </w:r>
          </w:p>
        </w:tc>
        <w:tc>
          <w:tcPr>
            <w:tcW w:w="1516" w:type="dxa"/>
          </w:tcPr>
          <w:p w:rsidR="00275599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631,289.0</w:t>
            </w:r>
          </w:p>
          <w:p w:rsidR="00275599" w:rsidRPr="003E036D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(878,817.0)</w:t>
            </w:r>
          </w:p>
        </w:tc>
        <w:bookmarkStart w:id="0" w:name="_GoBack"/>
        <w:bookmarkEnd w:id="0"/>
      </w:tr>
      <w:tr w:rsidR="00275599" w:rsidTr="00275599">
        <w:tc>
          <w:tcPr>
            <w:tcW w:w="1636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Breakthrough</w:t>
            </w:r>
          </w:p>
        </w:tc>
        <w:tc>
          <w:tcPr>
            <w:tcW w:w="1082" w:type="dxa"/>
          </w:tcPr>
          <w:p w:rsidR="00275599" w:rsidRDefault="00275599" w:rsidP="00F635A8">
            <w:r>
              <w:t>24/35 (68%)</w:t>
            </w:r>
          </w:p>
        </w:tc>
        <w:tc>
          <w:tcPr>
            <w:tcW w:w="1400" w:type="dxa"/>
          </w:tcPr>
          <w:p w:rsidR="00275599" w:rsidRPr="009C72F0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8,540.9 (11,080.6)</w:t>
            </w:r>
          </w:p>
        </w:tc>
        <w:tc>
          <w:tcPr>
            <w:tcW w:w="1015" w:type="dxa"/>
          </w:tcPr>
          <w:p w:rsidR="00275599" w:rsidRDefault="00275599" w:rsidP="00F635A8">
            <w:r>
              <w:t>6/35 (17%)</w:t>
            </w:r>
          </w:p>
        </w:tc>
        <w:tc>
          <w:tcPr>
            <w:tcW w:w="1516" w:type="dxa"/>
          </w:tcPr>
          <w:p w:rsidR="00275599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6,797.8 </w:t>
            </w:r>
          </w:p>
          <w:p w:rsidR="00275599" w:rsidRPr="0095570A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(8,157.7)</w:t>
            </w:r>
          </w:p>
        </w:tc>
      </w:tr>
      <w:tr w:rsidR="00275599" w:rsidTr="00275599">
        <w:tc>
          <w:tcPr>
            <w:tcW w:w="1636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Febrile</w:t>
            </w:r>
          </w:p>
        </w:tc>
        <w:tc>
          <w:tcPr>
            <w:tcW w:w="1082" w:type="dxa"/>
          </w:tcPr>
          <w:p w:rsidR="00275599" w:rsidRDefault="00275599" w:rsidP="00F635A8">
            <w:r>
              <w:t>8/12 (67%)</w:t>
            </w:r>
          </w:p>
        </w:tc>
        <w:tc>
          <w:tcPr>
            <w:tcW w:w="1400" w:type="dxa"/>
          </w:tcPr>
          <w:p w:rsidR="00275599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14,970.1</w:t>
            </w:r>
          </w:p>
          <w:p w:rsidR="00275599" w:rsidRPr="009C72F0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(13,880.5)</w:t>
            </w:r>
          </w:p>
        </w:tc>
        <w:tc>
          <w:tcPr>
            <w:tcW w:w="1015" w:type="dxa"/>
          </w:tcPr>
          <w:p w:rsidR="00275599" w:rsidRDefault="00275599" w:rsidP="00F635A8">
            <w:r>
              <w:t>4/12 (33%)</w:t>
            </w:r>
          </w:p>
        </w:tc>
        <w:tc>
          <w:tcPr>
            <w:tcW w:w="1516" w:type="dxa"/>
          </w:tcPr>
          <w:p w:rsidR="00275599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628,428.0</w:t>
            </w:r>
          </w:p>
          <w:p w:rsidR="00275599" w:rsidRPr="003E036D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(1,055,856.8)</w:t>
            </w:r>
          </w:p>
        </w:tc>
      </w:tr>
      <w:tr w:rsidR="00275599" w:rsidTr="00275599">
        <w:tc>
          <w:tcPr>
            <w:tcW w:w="1636" w:type="dxa"/>
          </w:tcPr>
          <w:p w:rsidR="00275599" w:rsidRPr="003C0ECE" w:rsidRDefault="00275599" w:rsidP="00F635A8">
            <w:pPr>
              <w:rPr>
                <w:b/>
              </w:rPr>
            </w:pPr>
            <w:r w:rsidRPr="003C0ECE">
              <w:rPr>
                <w:b/>
              </w:rPr>
              <w:t>Controls</w:t>
            </w:r>
          </w:p>
        </w:tc>
        <w:tc>
          <w:tcPr>
            <w:tcW w:w="1082" w:type="dxa"/>
          </w:tcPr>
          <w:p w:rsidR="00275599" w:rsidRDefault="00275599" w:rsidP="00F635A8">
            <w:r>
              <w:t>28/44 (63%)</w:t>
            </w:r>
          </w:p>
        </w:tc>
        <w:tc>
          <w:tcPr>
            <w:tcW w:w="1400" w:type="dxa"/>
          </w:tcPr>
          <w:p w:rsidR="00275599" w:rsidRPr="00386EAF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11,486.7 (</w:t>
            </w:r>
            <w:r w:rsidRPr="00386EAF">
              <w:rPr>
                <w:rFonts w:ascii="Calibri" w:hAnsi="Calibri" w:cs="Calibri"/>
                <w:color w:val="000000"/>
              </w:rPr>
              <w:t>14</w:t>
            </w:r>
            <w:r>
              <w:rPr>
                <w:rFonts w:ascii="Calibri" w:hAnsi="Calibri" w:cs="Calibri"/>
                <w:color w:val="000000"/>
              </w:rPr>
              <w:t>,</w:t>
            </w:r>
            <w:r w:rsidRPr="00386EAF">
              <w:rPr>
                <w:rFonts w:ascii="Calibri" w:hAnsi="Calibri" w:cs="Calibri"/>
                <w:color w:val="000000"/>
              </w:rPr>
              <w:t>560.</w:t>
            </w:r>
            <w:r>
              <w:rPr>
                <w:rFonts w:ascii="Calibri" w:hAnsi="Calibri" w:cs="Calibri"/>
                <w:color w:val="000000"/>
              </w:rPr>
              <w:t>6)</w:t>
            </w:r>
          </w:p>
        </w:tc>
        <w:tc>
          <w:tcPr>
            <w:tcW w:w="1015" w:type="dxa"/>
          </w:tcPr>
          <w:p w:rsidR="00275599" w:rsidRDefault="00275599" w:rsidP="00F635A8">
            <w:r>
              <w:t>8/44 (18%)</w:t>
            </w:r>
          </w:p>
        </w:tc>
        <w:tc>
          <w:tcPr>
            <w:tcW w:w="1516" w:type="dxa"/>
          </w:tcPr>
          <w:p w:rsidR="00275599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47,652.7</w:t>
            </w:r>
          </w:p>
          <w:p w:rsidR="00275599" w:rsidRPr="00386EAF" w:rsidRDefault="00275599" w:rsidP="00F635A8">
            <w:r>
              <w:t>(</w:t>
            </w:r>
            <w:r w:rsidRPr="00386EAF">
              <w:t>111</w:t>
            </w:r>
            <w:r>
              <w:t>,</w:t>
            </w:r>
            <w:r w:rsidRPr="00386EAF">
              <w:t>717.4</w:t>
            </w:r>
            <w:r>
              <w:t>)</w:t>
            </w:r>
          </w:p>
          <w:p w:rsidR="00275599" w:rsidRDefault="00275599" w:rsidP="00F635A8"/>
        </w:tc>
      </w:tr>
      <w:tr w:rsidR="00275599" w:rsidTr="00275599">
        <w:tc>
          <w:tcPr>
            <w:tcW w:w="1636" w:type="dxa"/>
          </w:tcPr>
          <w:p w:rsidR="00275599" w:rsidRPr="003C0ECE" w:rsidRDefault="00275599" w:rsidP="00F635A8">
            <w:pPr>
              <w:jc w:val="right"/>
              <w:rPr>
                <w:b/>
              </w:rPr>
            </w:pPr>
            <w:r w:rsidRPr="003C0ECE">
              <w:rPr>
                <w:b/>
              </w:rPr>
              <w:t>p-value</w:t>
            </w:r>
          </w:p>
        </w:tc>
        <w:tc>
          <w:tcPr>
            <w:tcW w:w="1082" w:type="dxa"/>
          </w:tcPr>
          <w:p w:rsidR="00275599" w:rsidRPr="00EE07D7" w:rsidRDefault="00275599" w:rsidP="00F635A8">
            <w:pPr>
              <w:rPr>
                <w:vertAlign w:val="superscript"/>
              </w:rPr>
            </w:pPr>
            <w:r>
              <w:t>0.2</w:t>
            </w:r>
            <w:r w:rsidRPr="00EE07D7">
              <w:rPr>
                <w:vertAlign w:val="superscript"/>
              </w:rPr>
              <w:t>a</w:t>
            </w:r>
          </w:p>
        </w:tc>
        <w:tc>
          <w:tcPr>
            <w:tcW w:w="1400" w:type="dxa"/>
          </w:tcPr>
          <w:p w:rsidR="00275599" w:rsidRPr="00EE07D7" w:rsidRDefault="00275599" w:rsidP="00F635A8">
            <w:pPr>
              <w:rPr>
                <w:rFonts w:ascii="Calibri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1015" w:type="dxa"/>
          </w:tcPr>
          <w:p w:rsidR="00275599" w:rsidRPr="00EE07D7" w:rsidRDefault="00275599" w:rsidP="00F635A8">
            <w:pPr>
              <w:rPr>
                <w:vertAlign w:val="superscript"/>
              </w:rPr>
            </w:pPr>
            <w:r>
              <w:t>0.2</w:t>
            </w:r>
            <w:r>
              <w:rPr>
                <w:vertAlign w:val="superscript"/>
              </w:rPr>
              <w:t>a</w:t>
            </w:r>
          </w:p>
        </w:tc>
        <w:tc>
          <w:tcPr>
            <w:tcW w:w="1516" w:type="dxa"/>
          </w:tcPr>
          <w:p w:rsidR="00275599" w:rsidRPr="00EE07D7" w:rsidRDefault="00275599" w:rsidP="00F635A8">
            <w:pPr>
              <w:rPr>
                <w:rFonts w:ascii="Calibri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0.2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</w:tr>
    </w:tbl>
    <w:p w:rsidR="00CC767C" w:rsidRDefault="00CC767C" w:rsidP="00CC767C">
      <w:r>
        <w:rPr>
          <w:vertAlign w:val="superscript"/>
        </w:rPr>
        <w:t>a</w:t>
      </w:r>
      <w:r>
        <w:t xml:space="preserve"> Chi-square test</w:t>
      </w:r>
      <w:r w:rsidR="003D1A3D">
        <w:t xml:space="preserve">; </w:t>
      </w:r>
      <w:r>
        <w:rPr>
          <w:vertAlign w:val="superscript"/>
        </w:rPr>
        <w:t xml:space="preserve">b </w:t>
      </w:r>
      <w:r>
        <w:t xml:space="preserve">ANOVA </w:t>
      </w:r>
    </w:p>
    <w:p w:rsidR="00CC767C" w:rsidRDefault="00CC767C" w:rsidP="00CC767C">
      <w:pPr>
        <w:rPr>
          <w:b/>
        </w:rPr>
      </w:pPr>
    </w:p>
    <w:p w:rsidR="00CC767C" w:rsidRDefault="00CC767C" w:rsidP="00CC767C">
      <w:pPr>
        <w:rPr>
          <w:b/>
        </w:rPr>
      </w:pPr>
    </w:p>
    <w:p w:rsidR="00CC767C" w:rsidRPr="00882FF1" w:rsidRDefault="00951579" w:rsidP="00CC767C">
      <w:pPr>
        <w:rPr>
          <w:b/>
        </w:rPr>
      </w:pPr>
      <w:r>
        <w:rPr>
          <w:b/>
        </w:rPr>
        <w:t>BLOOD</w:t>
      </w:r>
    </w:p>
    <w:tbl>
      <w:tblPr>
        <w:tblStyle w:val="TableGrid"/>
        <w:tblW w:w="8619" w:type="dxa"/>
        <w:tblLook w:val="04A0" w:firstRow="1" w:lastRow="0" w:firstColumn="1" w:lastColumn="0" w:noHBand="0" w:noVBand="1"/>
      </w:tblPr>
      <w:tblGrid>
        <w:gridCol w:w="1616"/>
        <w:gridCol w:w="1004"/>
        <w:gridCol w:w="2433"/>
        <w:gridCol w:w="1406"/>
        <w:gridCol w:w="2160"/>
      </w:tblGrid>
      <w:tr w:rsidR="00275599" w:rsidTr="00275599">
        <w:tc>
          <w:tcPr>
            <w:tcW w:w="1616" w:type="dxa"/>
          </w:tcPr>
          <w:p w:rsidR="00275599" w:rsidRDefault="00275599" w:rsidP="00F635A8"/>
        </w:tc>
        <w:tc>
          <w:tcPr>
            <w:tcW w:w="1004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HHV-6 pos</w:t>
            </w:r>
          </w:p>
        </w:tc>
        <w:tc>
          <w:tcPr>
            <w:tcW w:w="2433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 xml:space="preserve">HHV-6 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Viral load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(copies/10</w:t>
            </w:r>
            <w:r w:rsidRPr="009C110C">
              <w:rPr>
                <w:b/>
                <w:vertAlign w:val="superscript"/>
              </w:rPr>
              <w:t>6</w:t>
            </w:r>
            <w:r w:rsidRPr="009C110C">
              <w:rPr>
                <w:b/>
              </w:rPr>
              <w:t xml:space="preserve"> cells)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 xml:space="preserve">Mean </w:t>
            </w:r>
            <w:r w:rsidRPr="00C75446">
              <w:rPr>
                <w:b/>
              </w:rPr>
              <w:t xml:space="preserve">± </w:t>
            </w:r>
            <w:r w:rsidRPr="009C110C">
              <w:rPr>
                <w:b/>
              </w:rPr>
              <w:t>SD</w:t>
            </w:r>
          </w:p>
        </w:tc>
        <w:tc>
          <w:tcPr>
            <w:tcW w:w="1406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EBV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pos</w:t>
            </w:r>
          </w:p>
        </w:tc>
        <w:tc>
          <w:tcPr>
            <w:tcW w:w="2160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EBV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Viral load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(copies/10</w:t>
            </w:r>
            <w:r w:rsidRPr="009C110C">
              <w:rPr>
                <w:b/>
                <w:vertAlign w:val="superscript"/>
              </w:rPr>
              <w:t>6</w:t>
            </w:r>
            <w:r w:rsidRPr="009C110C">
              <w:rPr>
                <w:b/>
              </w:rPr>
              <w:t xml:space="preserve"> cells)</w:t>
            </w:r>
          </w:p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Mean</w:t>
            </w:r>
            <w:r>
              <w:rPr>
                <w:b/>
              </w:rPr>
              <w:t xml:space="preserve"> </w:t>
            </w:r>
            <w:r w:rsidRPr="00C75446">
              <w:rPr>
                <w:b/>
              </w:rPr>
              <w:t xml:space="preserve">± </w:t>
            </w:r>
            <w:r w:rsidRPr="009C110C">
              <w:rPr>
                <w:b/>
              </w:rPr>
              <w:t>SD</w:t>
            </w:r>
          </w:p>
        </w:tc>
      </w:tr>
      <w:tr w:rsidR="00275599" w:rsidTr="00275599">
        <w:tc>
          <w:tcPr>
            <w:tcW w:w="1616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New onset</w:t>
            </w:r>
          </w:p>
        </w:tc>
        <w:tc>
          <w:tcPr>
            <w:tcW w:w="1004" w:type="dxa"/>
          </w:tcPr>
          <w:p w:rsidR="00275599" w:rsidRDefault="00275599" w:rsidP="00F635A8">
            <w:r>
              <w:t>0/10</w:t>
            </w:r>
          </w:p>
        </w:tc>
        <w:tc>
          <w:tcPr>
            <w:tcW w:w="2433" w:type="dxa"/>
          </w:tcPr>
          <w:p w:rsidR="00275599" w:rsidRDefault="00275599" w:rsidP="00F635A8">
            <w:r>
              <w:t>N/A</w:t>
            </w:r>
          </w:p>
        </w:tc>
        <w:tc>
          <w:tcPr>
            <w:tcW w:w="1406" w:type="dxa"/>
          </w:tcPr>
          <w:p w:rsidR="00275599" w:rsidRDefault="00275599" w:rsidP="00F635A8">
            <w:r>
              <w:t>1/10 (10%)</w:t>
            </w:r>
          </w:p>
        </w:tc>
        <w:tc>
          <w:tcPr>
            <w:tcW w:w="2160" w:type="dxa"/>
          </w:tcPr>
          <w:p w:rsidR="00275599" w:rsidRDefault="00275599" w:rsidP="00F635A8">
            <w:r>
              <w:t>2,082</w:t>
            </w:r>
          </w:p>
        </w:tc>
      </w:tr>
      <w:tr w:rsidR="00275599" w:rsidTr="00275599">
        <w:tc>
          <w:tcPr>
            <w:tcW w:w="1616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Breakthrough</w:t>
            </w:r>
          </w:p>
        </w:tc>
        <w:tc>
          <w:tcPr>
            <w:tcW w:w="1004" w:type="dxa"/>
          </w:tcPr>
          <w:p w:rsidR="00275599" w:rsidRDefault="00275599" w:rsidP="00F635A8">
            <w:r>
              <w:t>2/19 (10%)</w:t>
            </w:r>
          </w:p>
        </w:tc>
        <w:tc>
          <w:tcPr>
            <w:tcW w:w="2433" w:type="dxa"/>
          </w:tcPr>
          <w:p w:rsidR="00275599" w:rsidRDefault="00275599" w:rsidP="00F635A8">
            <w:r>
              <w:t xml:space="preserve">966.5 </w:t>
            </w:r>
            <w:r w:rsidRPr="00E80E26">
              <w:t>±</w:t>
            </w:r>
            <w:r w:rsidRPr="00C75446">
              <w:rPr>
                <w:b/>
              </w:rPr>
              <w:t xml:space="preserve"> </w:t>
            </w:r>
            <w:r>
              <w:t>645.5</w:t>
            </w:r>
          </w:p>
        </w:tc>
        <w:tc>
          <w:tcPr>
            <w:tcW w:w="1406" w:type="dxa"/>
          </w:tcPr>
          <w:p w:rsidR="00275599" w:rsidRDefault="00275599" w:rsidP="00F635A8">
            <w:r>
              <w:t>1/19 (5%)</w:t>
            </w:r>
          </w:p>
        </w:tc>
        <w:tc>
          <w:tcPr>
            <w:tcW w:w="2160" w:type="dxa"/>
          </w:tcPr>
          <w:p w:rsidR="00275599" w:rsidRDefault="00275599" w:rsidP="00F635A8">
            <w:r>
              <w:t>202</w:t>
            </w:r>
          </w:p>
        </w:tc>
      </w:tr>
      <w:tr w:rsidR="00275599" w:rsidTr="00275599">
        <w:tc>
          <w:tcPr>
            <w:tcW w:w="1616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Febrile</w:t>
            </w:r>
          </w:p>
        </w:tc>
        <w:tc>
          <w:tcPr>
            <w:tcW w:w="1004" w:type="dxa"/>
          </w:tcPr>
          <w:p w:rsidR="00275599" w:rsidRDefault="00275599" w:rsidP="00F635A8">
            <w:r>
              <w:t>0/6</w:t>
            </w:r>
          </w:p>
        </w:tc>
        <w:tc>
          <w:tcPr>
            <w:tcW w:w="2433" w:type="dxa"/>
          </w:tcPr>
          <w:p w:rsidR="00275599" w:rsidRDefault="00275599" w:rsidP="00F635A8">
            <w:r>
              <w:t>N/A</w:t>
            </w:r>
          </w:p>
        </w:tc>
        <w:tc>
          <w:tcPr>
            <w:tcW w:w="1406" w:type="dxa"/>
          </w:tcPr>
          <w:p w:rsidR="00275599" w:rsidRDefault="00275599" w:rsidP="00F635A8">
            <w:r>
              <w:t>1/6 (17%)</w:t>
            </w:r>
          </w:p>
        </w:tc>
        <w:tc>
          <w:tcPr>
            <w:tcW w:w="2160" w:type="dxa"/>
          </w:tcPr>
          <w:p w:rsidR="00275599" w:rsidRDefault="00275599" w:rsidP="00F635A8">
            <w:r>
              <w:t>294</w:t>
            </w:r>
          </w:p>
        </w:tc>
      </w:tr>
      <w:tr w:rsidR="00275599" w:rsidTr="00275599">
        <w:tc>
          <w:tcPr>
            <w:tcW w:w="1616" w:type="dxa"/>
          </w:tcPr>
          <w:p w:rsidR="00275599" w:rsidRPr="009C110C" w:rsidRDefault="00275599" w:rsidP="00F635A8">
            <w:pPr>
              <w:rPr>
                <w:b/>
              </w:rPr>
            </w:pPr>
            <w:r w:rsidRPr="009C110C">
              <w:rPr>
                <w:b/>
              </w:rPr>
              <w:t>Controls</w:t>
            </w:r>
          </w:p>
        </w:tc>
        <w:tc>
          <w:tcPr>
            <w:tcW w:w="1004" w:type="dxa"/>
          </w:tcPr>
          <w:p w:rsidR="00275599" w:rsidRDefault="00275599" w:rsidP="00F635A8">
            <w:r>
              <w:t>4/26 (15%)</w:t>
            </w:r>
          </w:p>
        </w:tc>
        <w:tc>
          <w:tcPr>
            <w:tcW w:w="2433" w:type="dxa"/>
          </w:tcPr>
          <w:p w:rsidR="00275599" w:rsidRPr="00DF7B14" w:rsidRDefault="00275599" w:rsidP="00F635A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228.3 </w:t>
            </w:r>
            <w:r w:rsidRPr="00E80E26">
              <w:t>±</w:t>
            </w:r>
            <w:r>
              <w:t xml:space="preserve"> </w:t>
            </w:r>
            <w:r>
              <w:rPr>
                <w:rFonts w:ascii="Calibri" w:hAnsi="Calibri" w:cs="Calibri"/>
                <w:color w:val="000000"/>
              </w:rPr>
              <w:t>247.7</w:t>
            </w:r>
          </w:p>
        </w:tc>
        <w:tc>
          <w:tcPr>
            <w:tcW w:w="1406" w:type="dxa"/>
          </w:tcPr>
          <w:p w:rsidR="00275599" w:rsidRDefault="00275599" w:rsidP="00F635A8">
            <w:r>
              <w:t>5/26 (19%)</w:t>
            </w:r>
          </w:p>
        </w:tc>
        <w:tc>
          <w:tcPr>
            <w:tcW w:w="2160" w:type="dxa"/>
          </w:tcPr>
          <w:p w:rsidR="00275599" w:rsidRDefault="00275599" w:rsidP="00F635A8">
            <w:r>
              <w:t xml:space="preserve">287 </w:t>
            </w:r>
            <w:r w:rsidRPr="00E80E26">
              <w:t>±</w:t>
            </w:r>
            <w:r>
              <w:t xml:space="preserve"> 263.7</w:t>
            </w:r>
          </w:p>
        </w:tc>
      </w:tr>
      <w:tr w:rsidR="00275599" w:rsidTr="00275599">
        <w:tc>
          <w:tcPr>
            <w:tcW w:w="1616" w:type="dxa"/>
          </w:tcPr>
          <w:p w:rsidR="00275599" w:rsidRPr="009C110C" w:rsidRDefault="00275599" w:rsidP="00F635A8">
            <w:pPr>
              <w:jc w:val="right"/>
              <w:rPr>
                <w:b/>
              </w:rPr>
            </w:pPr>
            <w:r w:rsidRPr="009C110C">
              <w:rPr>
                <w:b/>
              </w:rPr>
              <w:t>p-value</w:t>
            </w:r>
          </w:p>
        </w:tc>
        <w:tc>
          <w:tcPr>
            <w:tcW w:w="1004" w:type="dxa"/>
          </w:tcPr>
          <w:p w:rsidR="00275599" w:rsidRPr="00A02F1D" w:rsidRDefault="00275599" w:rsidP="00F635A8">
            <w:pPr>
              <w:rPr>
                <w:vertAlign w:val="superscript"/>
              </w:rPr>
            </w:pPr>
            <w:r>
              <w:t>0.9</w:t>
            </w:r>
            <w:r>
              <w:rPr>
                <w:vertAlign w:val="superscript"/>
              </w:rPr>
              <w:t>a</w:t>
            </w:r>
          </w:p>
        </w:tc>
        <w:tc>
          <w:tcPr>
            <w:tcW w:w="2433" w:type="dxa"/>
          </w:tcPr>
          <w:p w:rsidR="00275599" w:rsidRPr="00A02F1D" w:rsidRDefault="00275599" w:rsidP="00F635A8">
            <w:pPr>
              <w:rPr>
                <w:rFonts w:ascii="Calibri" w:hAnsi="Calibri" w:cs="Calibri"/>
                <w:color w:val="000000"/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0.2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b</w:t>
            </w:r>
          </w:p>
        </w:tc>
        <w:tc>
          <w:tcPr>
            <w:tcW w:w="1406" w:type="dxa"/>
          </w:tcPr>
          <w:p w:rsidR="00275599" w:rsidRPr="00A02F1D" w:rsidRDefault="00275599" w:rsidP="00F635A8">
            <w:pPr>
              <w:rPr>
                <w:vertAlign w:val="superscript"/>
              </w:rPr>
            </w:pPr>
            <w:r>
              <w:t>0.6</w:t>
            </w:r>
            <w:r>
              <w:rPr>
                <w:vertAlign w:val="superscript"/>
              </w:rPr>
              <w:t>c</w:t>
            </w:r>
          </w:p>
        </w:tc>
        <w:tc>
          <w:tcPr>
            <w:tcW w:w="2160" w:type="dxa"/>
          </w:tcPr>
          <w:p w:rsidR="00275599" w:rsidRPr="00A02F1D" w:rsidRDefault="00275599" w:rsidP="00F635A8">
            <w:pPr>
              <w:rPr>
                <w:vertAlign w:val="superscript"/>
              </w:rPr>
            </w:pPr>
            <w:r>
              <w:t>&lt;0.0001</w:t>
            </w:r>
            <w:r>
              <w:rPr>
                <w:vertAlign w:val="superscript"/>
              </w:rPr>
              <w:t>d</w:t>
            </w:r>
          </w:p>
        </w:tc>
      </w:tr>
    </w:tbl>
    <w:p w:rsidR="00CC767C" w:rsidRPr="00A02F1D" w:rsidRDefault="00CC767C" w:rsidP="00CC767C">
      <w:r>
        <w:rPr>
          <w:vertAlign w:val="superscript"/>
        </w:rPr>
        <w:t>a</w:t>
      </w:r>
      <w:r>
        <w:t xml:space="preserve"> Fischer exact test; </w:t>
      </w:r>
      <w:r>
        <w:rPr>
          <w:vertAlign w:val="superscript"/>
        </w:rPr>
        <w:t xml:space="preserve">b </w:t>
      </w:r>
      <w:r>
        <w:t xml:space="preserve">t-test; </w:t>
      </w:r>
      <w:r>
        <w:rPr>
          <w:vertAlign w:val="superscript"/>
        </w:rPr>
        <w:t xml:space="preserve">c </w:t>
      </w:r>
      <w:r>
        <w:t xml:space="preserve">Chi square test; </w:t>
      </w:r>
      <w:r>
        <w:rPr>
          <w:vertAlign w:val="superscript"/>
        </w:rPr>
        <w:t>d</w:t>
      </w:r>
      <w:r>
        <w:t xml:space="preserve"> ANOVA</w:t>
      </w:r>
    </w:p>
    <w:p w:rsidR="00F14E0B" w:rsidRDefault="00275599"/>
    <w:sectPr w:rsidR="00F14E0B" w:rsidSect="00030D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67C"/>
    <w:rsid w:val="00165CC5"/>
    <w:rsid w:val="00275599"/>
    <w:rsid w:val="003D1A3D"/>
    <w:rsid w:val="00906D5C"/>
    <w:rsid w:val="00951579"/>
    <w:rsid w:val="00BB68D2"/>
    <w:rsid w:val="00CC767C"/>
    <w:rsid w:val="00E04133"/>
    <w:rsid w:val="00EB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A23AC"/>
  <w15:chartTrackingRefBased/>
  <w15:docId w15:val="{A0A4DD06-99A5-4AD9-BF0C-8561D9465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767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767C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Bartolini, Luca</dc:creator>
  <cp:keywords/>
  <dc:description/>
  <cp:lastModifiedBy>Bartolini, Luca</cp:lastModifiedBy>
  <cp:revision>3</cp:revision>
  <dcterms:created xsi:type="dcterms:W3CDTF">2019-09-03T15:24:00Z</dcterms:created>
  <dcterms:modified xsi:type="dcterms:W3CDTF">2019-09-03T15:31:00Z</dcterms:modified>
</cp:coreProperties>
</file>