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95809" w14:textId="77777777" w:rsidR="00B24635" w:rsidRPr="00C91AB2" w:rsidRDefault="00B24635" w:rsidP="00B24635">
      <w:pPr>
        <w:tabs>
          <w:tab w:val="left" w:pos="6037"/>
        </w:tabs>
        <w:spacing w:after="0"/>
        <w:jc w:val="both"/>
        <w:rPr>
          <w:rFonts w:cs="Times New Roman"/>
        </w:rPr>
      </w:pPr>
      <w:r w:rsidRPr="00C91AB2">
        <w:rPr>
          <w:rFonts w:cs="Times New Roman"/>
          <w:b/>
          <w:bCs/>
        </w:rPr>
        <w:t xml:space="preserve">Table 1: Patient Demographics </w:t>
      </w:r>
      <w:r>
        <w:rPr>
          <w:rFonts w:cs="Times New Roman"/>
          <w:b/>
          <w:bCs/>
        </w:rPr>
        <w:tab/>
      </w:r>
    </w:p>
    <w:p w14:paraId="0993050C" w14:textId="77777777" w:rsidR="00B24635" w:rsidRDefault="00B24635" w:rsidP="00B24635">
      <w:pPr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object w:dxaOrig="8076" w:dyaOrig="5539" w14:anchorId="7FB96B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7.75pt;height:225pt" o:ole="">
            <v:imagedata r:id="rId4" o:title=""/>
          </v:shape>
          <o:OLEObject Type="Embed" ProgID="Excel.Sheet.12" ShapeID="_x0000_i1025" DrawAspect="Content" ObjectID="_1644048714" r:id="rId5"/>
        </w:object>
      </w:r>
    </w:p>
    <w:p w14:paraId="6835648A" w14:textId="77777777" w:rsidR="00B24635" w:rsidRDefault="00B24635" w:rsidP="00B24635">
      <w:pPr>
        <w:spacing w:after="0"/>
        <w:jc w:val="both"/>
        <w:rPr>
          <w:rFonts w:cs="Times New Roman"/>
          <w:b/>
          <w:i/>
          <w:sz w:val="18"/>
          <w:szCs w:val="18"/>
        </w:rPr>
      </w:pPr>
      <w:r w:rsidRPr="00F93C3E">
        <w:rPr>
          <w:rFonts w:cs="Times New Roman"/>
          <w:b/>
          <w:i/>
          <w:sz w:val="18"/>
          <w:szCs w:val="18"/>
        </w:rPr>
        <w:t xml:space="preserve">Self-declared ethnicities (left) and age distribution by gender (right); NA refers to individuals whose ethnicity </w:t>
      </w:r>
    </w:p>
    <w:p w14:paraId="635EF166" w14:textId="77777777" w:rsidR="00B24635" w:rsidRPr="00F93C3E" w:rsidRDefault="00B24635" w:rsidP="00B24635">
      <w:pPr>
        <w:spacing w:after="0"/>
        <w:jc w:val="both"/>
        <w:rPr>
          <w:rFonts w:cs="Times New Roman"/>
          <w:b/>
          <w:i/>
          <w:sz w:val="18"/>
          <w:szCs w:val="18"/>
        </w:rPr>
      </w:pPr>
      <w:r w:rsidRPr="00F93C3E">
        <w:rPr>
          <w:rFonts w:cs="Times New Roman"/>
          <w:b/>
          <w:i/>
          <w:sz w:val="18"/>
          <w:szCs w:val="18"/>
        </w:rPr>
        <w:t>was not recorded</w:t>
      </w:r>
    </w:p>
    <w:p w14:paraId="1EE1EDB9" w14:textId="4C5FCC24" w:rsidR="00E95803" w:rsidRDefault="00E95803"/>
    <w:p w14:paraId="750D054C" w14:textId="77777777" w:rsidR="00B24635" w:rsidRDefault="00B24635" w:rsidP="00B24635">
      <w:pPr>
        <w:spacing w:after="0"/>
      </w:pPr>
      <w:r>
        <w:rPr>
          <w:b/>
        </w:rPr>
        <w:t>Table 2</w:t>
      </w:r>
      <w:r w:rsidRPr="00173AA1">
        <w:rPr>
          <w:b/>
        </w:rPr>
        <w:t>:</w:t>
      </w:r>
      <w:r>
        <w:t xml:space="preserve"> </w:t>
      </w:r>
      <w:r w:rsidRPr="000467FC">
        <w:rPr>
          <w:b/>
        </w:rPr>
        <w:t>Mutations and Variants Analyzed</w:t>
      </w:r>
    </w:p>
    <w:p w14:paraId="0F912E99" w14:textId="77777777" w:rsidR="00B24635" w:rsidRDefault="00B24635" w:rsidP="00B24635">
      <w:pPr>
        <w:spacing w:after="0"/>
      </w:pPr>
      <w:r>
        <w:object w:dxaOrig="7395" w:dyaOrig="6701" w14:anchorId="4EA6EE33">
          <v:shape id="_x0000_i1027" type="#_x0000_t75" style="width:267pt;height:242.25pt" o:ole="">
            <v:imagedata r:id="rId6" o:title=""/>
          </v:shape>
          <o:OLEObject Type="Embed" ProgID="Excel.Sheet.12" ShapeID="_x0000_i1027" DrawAspect="Content" ObjectID="_1644048715" r:id="rId7"/>
        </w:object>
      </w:r>
    </w:p>
    <w:p w14:paraId="4FB54BF8" w14:textId="77777777" w:rsidR="00B24635" w:rsidRDefault="00B24635" w:rsidP="00B24635">
      <w:pPr>
        <w:spacing w:after="0"/>
        <w:rPr>
          <w:b/>
          <w:sz w:val="18"/>
          <w:szCs w:val="18"/>
        </w:rPr>
      </w:pPr>
    </w:p>
    <w:p w14:paraId="79303F42" w14:textId="77777777" w:rsidR="00B24635" w:rsidRPr="00F93C3E" w:rsidRDefault="00B24635" w:rsidP="00B24635">
      <w:pPr>
        <w:spacing w:after="0"/>
        <w:rPr>
          <w:b/>
          <w:i/>
          <w:sz w:val="18"/>
          <w:szCs w:val="18"/>
        </w:rPr>
      </w:pPr>
      <w:r w:rsidRPr="00F93C3E">
        <w:rPr>
          <w:b/>
          <w:i/>
          <w:sz w:val="18"/>
          <w:szCs w:val="18"/>
        </w:rPr>
        <w:t xml:space="preserve">Mutation types β(+) and β(0) are in accordance with </w:t>
      </w:r>
      <w:hyperlink r:id="rId8" w:history="1">
        <w:r w:rsidRPr="00F93C3E">
          <w:rPr>
            <w:rStyle w:val="Hyperlink"/>
            <w:b/>
            <w:i/>
            <w:sz w:val="18"/>
            <w:szCs w:val="18"/>
          </w:rPr>
          <w:t>http://globin.cse.psu.edu/</w:t>
        </w:r>
      </w:hyperlink>
      <w:r>
        <w:rPr>
          <w:b/>
          <w:i/>
          <w:sz w:val="18"/>
          <w:szCs w:val="18"/>
        </w:rPr>
        <w:t xml:space="preserve"> [17]; </w:t>
      </w:r>
      <w:r w:rsidRPr="00F93C3E">
        <w:rPr>
          <w:b/>
          <w:i/>
          <w:sz w:val="18"/>
          <w:szCs w:val="18"/>
        </w:rPr>
        <w:t xml:space="preserve">the HBB variants marked “SNP” were  not included in the final LSQ selection </w:t>
      </w:r>
    </w:p>
    <w:p w14:paraId="1227651C" w14:textId="662E61E8" w:rsidR="00B24635" w:rsidRDefault="00B24635"/>
    <w:p w14:paraId="08DA62A8" w14:textId="77777777" w:rsidR="00B24635" w:rsidRDefault="00B24635" w:rsidP="00B24635">
      <w:pPr>
        <w:spacing w:after="0"/>
        <w:jc w:val="both"/>
        <w:rPr>
          <w:rFonts w:cs="Times New Roman"/>
          <w:b/>
          <w:bCs/>
          <w:sz w:val="20"/>
          <w:szCs w:val="20"/>
        </w:rPr>
      </w:pPr>
    </w:p>
    <w:p w14:paraId="63EDB3A5" w14:textId="77777777" w:rsidR="00B24635" w:rsidRDefault="00B24635" w:rsidP="00B24635">
      <w:pPr>
        <w:spacing w:after="0"/>
        <w:jc w:val="both"/>
        <w:rPr>
          <w:rFonts w:cs="Times New Roman"/>
          <w:b/>
          <w:bCs/>
          <w:sz w:val="20"/>
          <w:szCs w:val="20"/>
        </w:rPr>
      </w:pPr>
    </w:p>
    <w:p w14:paraId="03A88C9E" w14:textId="3D078107" w:rsidR="00B24635" w:rsidRDefault="00B24635" w:rsidP="00B24635">
      <w:pPr>
        <w:spacing w:after="0"/>
        <w:jc w:val="both"/>
        <w:rPr>
          <w:rFonts w:cs="Times New Roman"/>
          <w:b/>
          <w:sz w:val="20"/>
          <w:szCs w:val="20"/>
        </w:rPr>
      </w:pPr>
      <w:r w:rsidRPr="000467FC">
        <w:rPr>
          <w:rFonts w:cs="Times New Roman"/>
          <w:b/>
          <w:bCs/>
          <w:sz w:val="20"/>
          <w:szCs w:val="20"/>
        </w:rPr>
        <w:lastRenderedPageBreak/>
        <w:t>Table 3</w:t>
      </w:r>
      <w:r w:rsidRPr="000467FC">
        <w:rPr>
          <w:rFonts w:cs="Times New Roman"/>
          <w:b/>
          <w:sz w:val="20"/>
          <w:szCs w:val="20"/>
        </w:rPr>
        <w:t xml:space="preserve">: Pan-ethnic Frequencies of Observed HBB and HFE Mutations &amp; Variants </w:t>
      </w:r>
    </w:p>
    <w:p w14:paraId="1C6EEBFB" w14:textId="3111B36F" w:rsidR="00B24635" w:rsidRDefault="00B24635" w:rsidP="00B24635">
      <w:pPr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object w:dxaOrig="12708" w:dyaOrig="2889" w14:anchorId="665FC8D5">
          <v:shape id="_x0000_i1029" type="#_x0000_t75" style="width:466.5pt;height:106.5pt" o:ole="">
            <v:imagedata r:id="rId9" o:title=""/>
          </v:shape>
          <o:OLEObject Type="Embed" ProgID="Excel.Sheet.12" ShapeID="_x0000_i1029" DrawAspect="Content" ObjectID="_1644048716" r:id="rId10"/>
        </w:object>
      </w:r>
    </w:p>
    <w:p w14:paraId="0F1D71C8" w14:textId="77A2D1EE" w:rsidR="00B24635" w:rsidRDefault="00B24635" w:rsidP="00B24635">
      <w:pPr>
        <w:rPr>
          <w:rFonts w:cs="Times New Roman"/>
          <w:b/>
          <w:sz w:val="20"/>
          <w:szCs w:val="20"/>
        </w:rPr>
      </w:pPr>
    </w:p>
    <w:p w14:paraId="6C99880F" w14:textId="77777777" w:rsidR="00B24635" w:rsidRDefault="00B24635" w:rsidP="00B24635">
      <w:pPr>
        <w:spacing w:after="0"/>
        <w:jc w:val="both"/>
        <w:rPr>
          <w:rFonts w:cs="Times New Roman"/>
          <w:b/>
          <w:bCs/>
        </w:rPr>
      </w:pPr>
      <w:r w:rsidRPr="00E75FE9">
        <w:rPr>
          <w:rFonts w:cs="Times New Roman"/>
          <w:b/>
          <w:bCs/>
        </w:rPr>
        <w:t xml:space="preserve">Table 4: Configuration of </w:t>
      </w:r>
      <w:r>
        <w:rPr>
          <w:rFonts w:cs="Times New Roman"/>
          <w:b/>
          <w:bCs/>
        </w:rPr>
        <w:t xml:space="preserve">Observed </w:t>
      </w:r>
      <w:r w:rsidRPr="00E75FE9">
        <w:rPr>
          <w:rFonts w:cs="Times New Roman"/>
          <w:b/>
          <w:bCs/>
        </w:rPr>
        <w:t>β-Thalassemia M</w:t>
      </w:r>
      <w:r>
        <w:rPr>
          <w:rFonts w:cs="Times New Roman"/>
          <w:b/>
          <w:bCs/>
        </w:rPr>
        <w:t>utations</w:t>
      </w:r>
      <w:r w:rsidRPr="00E75FE9">
        <w:rPr>
          <w:rFonts w:cs="Times New Roman"/>
          <w:b/>
          <w:bCs/>
        </w:rPr>
        <w:t xml:space="preserve">  </w:t>
      </w:r>
    </w:p>
    <w:p w14:paraId="59059179" w14:textId="77777777" w:rsidR="00B24635" w:rsidRDefault="00B24635" w:rsidP="00B24635">
      <w:pPr>
        <w:spacing w:after="0"/>
        <w:rPr>
          <w:rFonts w:cs="Times New Roman"/>
          <w:b/>
          <w:bCs/>
          <w:sz w:val="18"/>
          <w:szCs w:val="18"/>
        </w:rPr>
      </w:pPr>
      <w:r>
        <w:rPr>
          <w:rFonts w:cs="Times New Roman"/>
          <w:b/>
          <w:bCs/>
          <w:sz w:val="18"/>
          <w:szCs w:val="18"/>
        </w:rPr>
        <w:object w:dxaOrig="8589" w:dyaOrig="2634" w14:anchorId="697FF2FB">
          <v:shape id="_x0000_i1032" type="#_x0000_t75" style="width:397.5pt;height:121.5pt" o:ole="">
            <v:imagedata r:id="rId11" o:title=""/>
          </v:shape>
          <o:OLEObject Type="Embed" ProgID="Excel.Sheet.12" ShapeID="_x0000_i1032" DrawAspect="Content" ObjectID="_1644048717" r:id="rId12"/>
        </w:object>
      </w:r>
    </w:p>
    <w:p w14:paraId="45AAA9B2" w14:textId="77777777" w:rsidR="00B24635" w:rsidRDefault="00B24635" w:rsidP="00B24635">
      <w:pPr>
        <w:spacing w:after="0"/>
        <w:jc w:val="both"/>
        <w:rPr>
          <w:rFonts w:cs="Times New Roman"/>
          <w:b/>
          <w:bCs/>
          <w:i/>
          <w:sz w:val="18"/>
          <w:szCs w:val="18"/>
        </w:rPr>
      </w:pPr>
    </w:p>
    <w:p w14:paraId="3F3CEA3B" w14:textId="77777777" w:rsidR="00B24635" w:rsidRDefault="00B24635" w:rsidP="00B24635">
      <w:pPr>
        <w:spacing w:after="0"/>
        <w:jc w:val="both"/>
        <w:rPr>
          <w:rFonts w:cs="Times New Roman"/>
          <w:b/>
          <w:bCs/>
          <w:i/>
          <w:sz w:val="18"/>
          <w:szCs w:val="18"/>
        </w:rPr>
      </w:pPr>
      <w:r w:rsidRPr="0064146F">
        <w:rPr>
          <w:rFonts w:cs="Times New Roman"/>
          <w:b/>
          <w:bCs/>
          <w:i/>
          <w:sz w:val="18"/>
          <w:szCs w:val="18"/>
        </w:rPr>
        <w:t>“Het” and “</w:t>
      </w:r>
      <w:proofErr w:type="spellStart"/>
      <w:r w:rsidRPr="0064146F">
        <w:rPr>
          <w:rFonts w:cs="Times New Roman"/>
          <w:b/>
          <w:bCs/>
          <w:i/>
          <w:sz w:val="18"/>
          <w:szCs w:val="18"/>
        </w:rPr>
        <w:t>cHet</w:t>
      </w:r>
      <w:proofErr w:type="spellEnd"/>
      <w:r w:rsidRPr="0064146F">
        <w:rPr>
          <w:rFonts w:cs="Times New Roman"/>
          <w:b/>
          <w:bCs/>
          <w:i/>
          <w:sz w:val="18"/>
          <w:szCs w:val="18"/>
        </w:rPr>
        <w:t>” denote “heterozygous” and “compound heterozygous”</w:t>
      </w:r>
      <w:r>
        <w:rPr>
          <w:rFonts w:cs="Times New Roman"/>
          <w:b/>
          <w:bCs/>
          <w:i/>
          <w:sz w:val="18"/>
          <w:szCs w:val="18"/>
        </w:rPr>
        <w:t>, respectively, where β(0)/</w:t>
      </w:r>
      <w:proofErr w:type="gramStart"/>
      <w:r>
        <w:rPr>
          <w:rFonts w:cs="Times New Roman"/>
          <w:b/>
          <w:bCs/>
          <w:i/>
          <w:sz w:val="18"/>
          <w:szCs w:val="18"/>
        </w:rPr>
        <w:t>β(</w:t>
      </w:r>
      <w:proofErr w:type="gramEnd"/>
      <w:r>
        <w:rPr>
          <w:rFonts w:cs="Times New Roman"/>
          <w:b/>
          <w:bCs/>
          <w:i/>
          <w:sz w:val="18"/>
          <w:szCs w:val="18"/>
        </w:rPr>
        <w:t xml:space="preserve">0)’ </w:t>
      </w:r>
    </w:p>
    <w:p w14:paraId="1EF2A7BC" w14:textId="77777777" w:rsidR="00B24635" w:rsidRDefault="00B24635" w:rsidP="00B24635">
      <w:pPr>
        <w:spacing w:after="0"/>
        <w:jc w:val="both"/>
        <w:rPr>
          <w:rFonts w:cs="Times New Roman"/>
          <w:b/>
          <w:bCs/>
          <w:i/>
          <w:sz w:val="18"/>
          <w:szCs w:val="18"/>
        </w:rPr>
      </w:pPr>
      <w:r>
        <w:rPr>
          <w:rFonts w:cs="Times New Roman"/>
          <w:b/>
          <w:bCs/>
          <w:i/>
          <w:sz w:val="18"/>
          <w:szCs w:val="18"/>
        </w:rPr>
        <w:t>refers to a compound heterozygous configuration comprising 2 different</w:t>
      </w:r>
      <w:r w:rsidRPr="000B1022">
        <w:rPr>
          <w:rFonts w:cs="Times New Roman"/>
          <w:b/>
          <w:bCs/>
          <w:i/>
          <w:sz w:val="18"/>
          <w:szCs w:val="18"/>
        </w:rPr>
        <w:t xml:space="preserve"> </w:t>
      </w:r>
      <w:proofErr w:type="gramStart"/>
      <w:r>
        <w:rPr>
          <w:rFonts w:cs="Times New Roman"/>
          <w:b/>
          <w:bCs/>
          <w:i/>
          <w:sz w:val="18"/>
          <w:szCs w:val="18"/>
        </w:rPr>
        <w:t>β(</w:t>
      </w:r>
      <w:proofErr w:type="gramEnd"/>
      <w:r>
        <w:rPr>
          <w:rFonts w:cs="Times New Roman"/>
          <w:b/>
          <w:bCs/>
          <w:i/>
          <w:sz w:val="18"/>
          <w:szCs w:val="18"/>
        </w:rPr>
        <w:t xml:space="preserve">0) mutations;  </w:t>
      </w:r>
      <w:r w:rsidRPr="0064146F">
        <w:rPr>
          <w:rFonts w:cs="Times New Roman"/>
          <w:b/>
          <w:bCs/>
          <w:i/>
          <w:sz w:val="18"/>
          <w:szCs w:val="18"/>
        </w:rPr>
        <w:t xml:space="preserve">“(SNP)” indicates </w:t>
      </w:r>
    </w:p>
    <w:p w14:paraId="5E19AA04" w14:textId="77777777" w:rsidR="00B24635" w:rsidRPr="000B1022" w:rsidRDefault="00B24635" w:rsidP="00B24635">
      <w:pPr>
        <w:spacing w:after="0"/>
        <w:jc w:val="both"/>
        <w:rPr>
          <w:rFonts w:cs="Times New Roman"/>
          <w:b/>
          <w:bCs/>
          <w:i/>
          <w:sz w:val="18"/>
          <w:szCs w:val="18"/>
        </w:rPr>
      </w:pPr>
      <w:r w:rsidRPr="0064146F">
        <w:rPr>
          <w:rFonts w:cs="Times New Roman"/>
          <w:b/>
          <w:bCs/>
          <w:i/>
          <w:sz w:val="18"/>
          <w:szCs w:val="18"/>
        </w:rPr>
        <w:t xml:space="preserve">a mutation in possible combination with one of the variants described in the text. </w:t>
      </w:r>
    </w:p>
    <w:p w14:paraId="3C5C9438" w14:textId="77777777" w:rsidR="00B24635" w:rsidRDefault="00B24635" w:rsidP="00B24635">
      <w:bookmarkStart w:id="0" w:name="_GoBack"/>
      <w:bookmarkEnd w:id="0"/>
    </w:p>
    <w:sectPr w:rsidR="00B246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635"/>
    <w:rsid w:val="00B2463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967BD"/>
  <w15:chartTrackingRefBased/>
  <w15:docId w15:val="{5F429795-91C4-49BF-A4B7-2C342191F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63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46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lobin.cse.psu.edu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package" Target="embeddings/Microsoft_Excel_Worksheet3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4.emf"/><Relationship Id="rId5" Type="http://schemas.openxmlformats.org/officeDocument/2006/relationships/package" Target="embeddings/Microsoft_Excel_Worksheet.xlsx"/><Relationship Id="rId10" Type="http://schemas.openxmlformats.org/officeDocument/2006/relationships/package" Target="embeddings/Microsoft_Excel_Worksheet2.xlsx"/><Relationship Id="rId4" Type="http://schemas.openxmlformats.org/officeDocument/2006/relationships/image" Target="media/image1.emf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2020-02-24T16:23:00Z</dcterms:created>
  <dcterms:modified xsi:type="dcterms:W3CDTF">2020-02-24T16:25:00Z</dcterms:modified>
</cp:coreProperties>
</file>