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30DA" w:rsidRPr="006C41DE" w:rsidRDefault="005030DA" w:rsidP="005030DA">
      <w:pPr>
        <w:pStyle w:val="Heading2"/>
        <w:spacing w:line="276" w:lineRule="auto"/>
        <w:rPr>
          <w:rFonts w:ascii="Arial" w:hAnsi="Arial" w:cs="Arial"/>
          <w:bCs/>
          <w:color w:val="auto"/>
          <w:sz w:val="20"/>
          <w:szCs w:val="20"/>
          <w:lang w:val="en-US"/>
        </w:rPr>
      </w:pPr>
      <w:bookmarkStart w:id="0" w:name="_Ref499902811"/>
      <w:bookmarkStart w:id="1" w:name="_Ref500072130"/>
      <w:bookmarkStart w:id="2" w:name="_Toc502930674"/>
      <w:r w:rsidRPr="006C41DE">
        <w:rPr>
          <w:rFonts w:ascii="Arial" w:hAnsi="Arial" w:cs="Arial"/>
          <w:b/>
          <w:color w:val="auto"/>
          <w:sz w:val="20"/>
          <w:szCs w:val="20"/>
          <w:lang w:val="en-US"/>
        </w:rPr>
        <w:t xml:space="preserve">Table </w:t>
      </w:r>
      <w:r w:rsidRPr="006C41DE">
        <w:rPr>
          <w:rFonts w:ascii="Arial" w:hAnsi="Arial" w:cs="Arial"/>
          <w:b/>
          <w:color w:val="auto"/>
          <w:sz w:val="20"/>
          <w:szCs w:val="20"/>
          <w:lang w:val="en-US"/>
        </w:rPr>
        <w:fldChar w:fldCharType="begin"/>
      </w:r>
      <w:r w:rsidRPr="006C41DE">
        <w:rPr>
          <w:rFonts w:ascii="Arial" w:hAnsi="Arial" w:cs="Arial"/>
          <w:b/>
          <w:color w:val="auto"/>
          <w:sz w:val="20"/>
          <w:szCs w:val="20"/>
          <w:lang w:val="en-US"/>
        </w:rPr>
        <w:instrText xml:space="preserve"> SEQ Tabla \* ARABIC </w:instrText>
      </w:r>
      <w:r w:rsidRPr="006C41DE">
        <w:rPr>
          <w:rFonts w:ascii="Arial" w:hAnsi="Arial" w:cs="Arial"/>
          <w:b/>
          <w:color w:val="auto"/>
          <w:sz w:val="20"/>
          <w:szCs w:val="20"/>
          <w:lang w:val="en-US"/>
        </w:rPr>
        <w:fldChar w:fldCharType="separate"/>
      </w:r>
      <w:r w:rsidRPr="006C41DE">
        <w:rPr>
          <w:rFonts w:ascii="Arial" w:hAnsi="Arial" w:cs="Arial"/>
          <w:b/>
          <w:color w:val="auto"/>
          <w:sz w:val="20"/>
          <w:szCs w:val="20"/>
          <w:lang w:val="en-US"/>
        </w:rPr>
        <w:t>1</w:t>
      </w:r>
      <w:r w:rsidRPr="006C41DE">
        <w:rPr>
          <w:rFonts w:ascii="Arial" w:hAnsi="Arial" w:cs="Arial"/>
          <w:b/>
          <w:color w:val="auto"/>
          <w:sz w:val="20"/>
          <w:szCs w:val="20"/>
          <w:lang w:val="en-US"/>
        </w:rPr>
        <w:fldChar w:fldCharType="end"/>
      </w:r>
      <w:r w:rsidRPr="006C41DE">
        <w:rPr>
          <w:rFonts w:ascii="Arial" w:hAnsi="Arial" w:cs="Arial"/>
          <w:b/>
          <w:color w:val="auto"/>
          <w:sz w:val="20"/>
          <w:szCs w:val="20"/>
          <w:lang w:val="en-US"/>
        </w:rPr>
        <w:t xml:space="preserve">. </w:t>
      </w:r>
      <w:bookmarkEnd w:id="0"/>
      <w:bookmarkEnd w:id="1"/>
      <w:bookmarkEnd w:id="2"/>
      <w:r w:rsidRPr="006C41DE">
        <w:rPr>
          <w:rFonts w:ascii="Arial" w:hAnsi="Arial" w:cs="Arial"/>
          <w:bCs/>
          <w:color w:val="auto"/>
          <w:sz w:val="20"/>
          <w:szCs w:val="20"/>
          <w:lang w:val="en-US"/>
        </w:rPr>
        <w:t>General description of the EB-CPGs included</w:t>
      </w:r>
    </w:p>
    <w:tbl>
      <w:tblPr>
        <w:tblStyle w:val="TableGrid"/>
        <w:tblW w:w="16018" w:type="dxa"/>
        <w:tblInd w:w="-1139" w:type="dxa"/>
        <w:tblLayout w:type="fixed"/>
        <w:tblLook w:val="04A0" w:firstRow="1" w:lastRow="0" w:firstColumn="1" w:lastColumn="0" w:noHBand="0" w:noVBand="1"/>
      </w:tblPr>
      <w:tblGrid>
        <w:gridCol w:w="1843"/>
        <w:gridCol w:w="3402"/>
        <w:gridCol w:w="1134"/>
        <w:gridCol w:w="1276"/>
        <w:gridCol w:w="5386"/>
        <w:gridCol w:w="993"/>
        <w:gridCol w:w="992"/>
        <w:gridCol w:w="992"/>
      </w:tblGrid>
      <w:tr w:rsidR="005030DA" w:rsidRPr="00A640E9" w:rsidTr="00204E6F">
        <w:trPr>
          <w:trHeight w:val="355"/>
        </w:trPr>
        <w:tc>
          <w:tcPr>
            <w:tcW w:w="6379" w:type="dxa"/>
            <w:gridSpan w:val="3"/>
            <w:tcBorders>
              <w:bottom w:val="single" w:sz="4" w:space="0" w:color="auto"/>
            </w:tcBorders>
            <w:shd w:val="clear" w:color="auto" w:fill="D9D9D9" w:themeFill="background1" w:themeFillShade="D9"/>
            <w:noWrap/>
            <w:vAlign w:val="center"/>
            <w:hideMark/>
          </w:tcPr>
          <w:p w:rsidR="005030DA" w:rsidRPr="00EB4CA3" w:rsidRDefault="005030DA" w:rsidP="00204E6F">
            <w:pPr>
              <w:ind w:left="-106" w:right="-94"/>
              <w:jc w:val="center"/>
              <w:rPr>
                <w:rFonts w:ascii="Arial" w:hAnsi="Arial" w:cs="Arial"/>
                <w:b/>
                <w:sz w:val="18"/>
                <w:szCs w:val="20"/>
                <w:lang w:val="en-US"/>
              </w:rPr>
            </w:pPr>
            <w:bookmarkStart w:id="3" w:name="_Hlk500482807"/>
            <w:r w:rsidRPr="00EB4CA3">
              <w:rPr>
                <w:rFonts w:ascii="Arial" w:hAnsi="Arial" w:cs="Arial"/>
                <w:b/>
                <w:bCs/>
                <w:color w:val="000000"/>
                <w:sz w:val="18"/>
                <w:szCs w:val="20"/>
                <w:shd w:val="clear" w:color="auto" w:fill="D9D9D9"/>
                <w:lang w:val="en-US"/>
              </w:rPr>
              <w:t>Development entity</w:t>
            </w:r>
          </w:p>
        </w:tc>
        <w:tc>
          <w:tcPr>
            <w:tcW w:w="1276" w:type="dxa"/>
            <w:vMerge w:val="restart"/>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rPr>
            </w:pPr>
            <w:r w:rsidRPr="00EB4CA3">
              <w:rPr>
                <w:rStyle w:val="notranslate"/>
                <w:rFonts w:ascii="Arial" w:hAnsi="Arial" w:cs="Arial"/>
                <w:b/>
                <w:bCs/>
                <w:sz w:val="18"/>
                <w:szCs w:val="20"/>
                <w:lang w:val="en-US"/>
              </w:rPr>
              <w:t>Literature search year</w:t>
            </w:r>
          </w:p>
        </w:tc>
        <w:tc>
          <w:tcPr>
            <w:tcW w:w="5386" w:type="dxa"/>
            <w:vMerge w:val="restart"/>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rPr>
            </w:pPr>
            <w:r w:rsidRPr="00EB4CA3">
              <w:rPr>
                <w:rStyle w:val="notranslate"/>
                <w:rFonts w:ascii="Arial" w:hAnsi="Arial" w:cs="Arial"/>
                <w:b/>
                <w:bCs/>
                <w:sz w:val="18"/>
                <w:szCs w:val="20"/>
                <w:lang w:val="en-US"/>
              </w:rPr>
              <w:t>Title</w:t>
            </w:r>
          </w:p>
        </w:tc>
        <w:tc>
          <w:tcPr>
            <w:tcW w:w="993" w:type="dxa"/>
            <w:vMerge w:val="restart"/>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rPr>
            </w:pPr>
            <w:r w:rsidRPr="00EB4CA3">
              <w:rPr>
                <w:rStyle w:val="notranslate"/>
                <w:rFonts w:ascii="Arial" w:hAnsi="Arial" w:cs="Arial"/>
                <w:b/>
                <w:bCs/>
                <w:sz w:val="18"/>
                <w:szCs w:val="20"/>
                <w:lang w:val="en-US"/>
              </w:rPr>
              <w:t>Single or multiple practice</w:t>
            </w:r>
          </w:p>
        </w:tc>
        <w:tc>
          <w:tcPr>
            <w:tcW w:w="992" w:type="dxa"/>
            <w:vMerge w:val="restart"/>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rPr>
            </w:pPr>
            <w:r w:rsidRPr="00EB4CA3">
              <w:rPr>
                <w:rStyle w:val="notranslate"/>
                <w:rFonts w:ascii="Arial" w:hAnsi="Arial" w:cs="Arial"/>
                <w:b/>
                <w:bCs/>
                <w:sz w:val="18"/>
                <w:szCs w:val="20"/>
                <w:lang w:val="en-US"/>
              </w:rPr>
              <w:t>Type of practice evaluated*</w:t>
            </w:r>
          </w:p>
        </w:tc>
        <w:tc>
          <w:tcPr>
            <w:tcW w:w="992" w:type="dxa"/>
            <w:vMerge w:val="restart"/>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lang w:val="en-US" w:eastAsia="es-MX"/>
              </w:rPr>
            </w:pPr>
            <w:r>
              <w:rPr>
                <w:rFonts w:ascii="Arial" w:hAnsi="Arial" w:cs="Arial"/>
                <w:b/>
                <w:sz w:val="20"/>
                <w:vertAlign w:val="superscript"/>
                <w:lang w:val="en-US" w:eastAsia="es-MX"/>
              </w:rPr>
              <w:t>§</w:t>
            </w:r>
            <w:r w:rsidRPr="00EB4CA3">
              <w:rPr>
                <w:rFonts w:ascii="Arial" w:hAnsi="Arial" w:cs="Arial"/>
                <w:b/>
                <w:sz w:val="18"/>
                <w:lang w:val="en-US" w:eastAsia="es-MX"/>
              </w:rPr>
              <w:t xml:space="preserve">Guide Quality </w:t>
            </w:r>
          </w:p>
          <w:p w:rsidR="005030DA" w:rsidRPr="00EB4CA3" w:rsidRDefault="005030DA" w:rsidP="00204E6F">
            <w:pPr>
              <w:ind w:left="-106" w:right="-94"/>
              <w:jc w:val="center"/>
              <w:rPr>
                <w:rStyle w:val="notranslate"/>
                <w:rFonts w:ascii="Arial" w:hAnsi="Arial" w:cs="Arial"/>
                <w:b/>
                <w:bCs/>
                <w:sz w:val="18"/>
                <w:szCs w:val="20"/>
                <w:lang w:val="en-US"/>
              </w:rPr>
            </w:pPr>
            <w:r w:rsidRPr="00EB4CA3">
              <w:rPr>
                <w:rFonts w:ascii="Arial" w:hAnsi="Arial" w:cs="Arial"/>
                <w:sz w:val="18"/>
                <w:szCs w:val="16"/>
                <w:lang w:val="en-US"/>
              </w:rPr>
              <w:t>1=lowest 7= highest</w:t>
            </w:r>
          </w:p>
        </w:tc>
      </w:tr>
      <w:tr w:rsidR="005030DA" w:rsidRPr="00A640E9" w:rsidTr="00204E6F">
        <w:trPr>
          <w:trHeight w:val="316"/>
        </w:trPr>
        <w:tc>
          <w:tcPr>
            <w:tcW w:w="1843" w:type="dxa"/>
            <w:tcBorders>
              <w:top w:val="single" w:sz="4" w:space="0" w:color="auto"/>
            </w:tcBorders>
            <w:shd w:val="clear" w:color="auto" w:fill="D9D9D9" w:themeFill="background1" w:themeFillShade="D9"/>
            <w:noWrap/>
            <w:vAlign w:val="center"/>
          </w:tcPr>
          <w:p w:rsidR="005030DA" w:rsidRPr="00EB4CA3" w:rsidRDefault="005030DA" w:rsidP="00204E6F">
            <w:pPr>
              <w:ind w:right="-109"/>
              <w:rPr>
                <w:rFonts w:ascii="Arial" w:hAnsi="Arial" w:cs="Arial"/>
                <w:b/>
                <w:sz w:val="18"/>
                <w:szCs w:val="20"/>
                <w:lang w:val="en-US" w:eastAsia="es-MX"/>
              </w:rPr>
            </w:pPr>
            <w:bookmarkStart w:id="4" w:name="_Hlk532724784"/>
            <w:r w:rsidRPr="00EB4CA3">
              <w:rPr>
                <w:rFonts w:ascii="Arial" w:hAnsi="Arial" w:cs="Arial"/>
                <w:b/>
                <w:bCs/>
                <w:color w:val="000000"/>
                <w:sz w:val="18"/>
                <w:szCs w:val="20"/>
                <w:shd w:val="clear" w:color="auto" w:fill="D9D9D9"/>
                <w:lang w:val="en-US"/>
              </w:rPr>
              <w:t>Acronym - Guide publication year</w:t>
            </w:r>
          </w:p>
        </w:tc>
        <w:tc>
          <w:tcPr>
            <w:tcW w:w="3402" w:type="dxa"/>
            <w:tcBorders>
              <w:top w:val="single" w:sz="4" w:space="0" w:color="auto"/>
            </w:tcBorders>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eastAsia="es-MX"/>
              </w:rPr>
            </w:pPr>
            <w:r w:rsidRPr="00EB4CA3">
              <w:rPr>
                <w:rFonts w:ascii="Arial" w:hAnsi="Arial" w:cs="Arial"/>
                <w:b/>
                <w:sz w:val="18"/>
                <w:szCs w:val="20"/>
                <w:lang w:val="en-US" w:eastAsia="es-MX"/>
              </w:rPr>
              <w:t>Full name</w:t>
            </w:r>
          </w:p>
        </w:tc>
        <w:tc>
          <w:tcPr>
            <w:tcW w:w="1134" w:type="dxa"/>
            <w:tcBorders>
              <w:top w:val="single" w:sz="4" w:space="0" w:color="auto"/>
            </w:tcBorders>
            <w:shd w:val="clear" w:color="auto" w:fill="D9D9D9" w:themeFill="background1" w:themeFillShade="D9"/>
            <w:vAlign w:val="center"/>
          </w:tcPr>
          <w:p w:rsidR="005030DA" w:rsidRPr="00EB4CA3" w:rsidRDefault="005030DA" w:rsidP="00204E6F">
            <w:pPr>
              <w:ind w:left="-106" w:right="-94"/>
              <w:jc w:val="center"/>
              <w:rPr>
                <w:rFonts w:ascii="Arial" w:hAnsi="Arial" w:cs="Arial"/>
                <w:b/>
                <w:sz w:val="18"/>
                <w:szCs w:val="20"/>
                <w:lang w:val="en-US"/>
              </w:rPr>
            </w:pPr>
            <w:r w:rsidRPr="00EB4CA3">
              <w:rPr>
                <w:rFonts w:ascii="Arial" w:hAnsi="Arial" w:cs="Arial"/>
                <w:b/>
                <w:sz w:val="18"/>
                <w:szCs w:val="20"/>
                <w:lang w:val="en-US"/>
              </w:rPr>
              <w:t>Location</w:t>
            </w:r>
          </w:p>
        </w:tc>
        <w:tc>
          <w:tcPr>
            <w:tcW w:w="1276" w:type="dxa"/>
            <w:vMerge/>
            <w:shd w:val="clear" w:color="auto" w:fill="D9D9D9" w:themeFill="background1" w:themeFillShade="D9"/>
          </w:tcPr>
          <w:p w:rsidR="005030DA" w:rsidRPr="008456F3" w:rsidRDefault="005030DA" w:rsidP="00204E6F">
            <w:pPr>
              <w:ind w:left="-106" w:right="-94"/>
              <w:jc w:val="center"/>
              <w:rPr>
                <w:rFonts w:ascii="Arial" w:hAnsi="Arial" w:cs="Arial"/>
                <w:b/>
                <w:sz w:val="20"/>
                <w:szCs w:val="20"/>
                <w:lang w:val="en-US"/>
              </w:rPr>
            </w:pPr>
          </w:p>
        </w:tc>
        <w:tc>
          <w:tcPr>
            <w:tcW w:w="5386" w:type="dxa"/>
            <w:vMerge/>
            <w:shd w:val="clear" w:color="auto" w:fill="D9D9D9" w:themeFill="background1" w:themeFillShade="D9"/>
            <w:vAlign w:val="center"/>
          </w:tcPr>
          <w:p w:rsidR="005030DA" w:rsidRPr="008456F3" w:rsidRDefault="005030DA" w:rsidP="00204E6F">
            <w:pPr>
              <w:ind w:left="-106" w:right="-94"/>
              <w:jc w:val="center"/>
              <w:rPr>
                <w:rFonts w:ascii="Arial" w:hAnsi="Arial" w:cs="Arial"/>
                <w:b/>
                <w:sz w:val="20"/>
                <w:szCs w:val="20"/>
                <w:lang w:val="en-US"/>
              </w:rPr>
            </w:pPr>
          </w:p>
        </w:tc>
        <w:tc>
          <w:tcPr>
            <w:tcW w:w="993" w:type="dxa"/>
            <w:vMerge/>
            <w:shd w:val="clear" w:color="auto" w:fill="D9D9D9" w:themeFill="background1" w:themeFillShade="D9"/>
            <w:vAlign w:val="center"/>
          </w:tcPr>
          <w:p w:rsidR="005030DA" w:rsidRPr="008456F3" w:rsidRDefault="005030DA" w:rsidP="00204E6F">
            <w:pPr>
              <w:ind w:left="-106" w:right="-94"/>
              <w:jc w:val="center"/>
              <w:rPr>
                <w:rFonts w:ascii="Arial" w:hAnsi="Arial" w:cs="Arial"/>
                <w:b/>
                <w:sz w:val="20"/>
                <w:szCs w:val="20"/>
                <w:lang w:val="en-US"/>
              </w:rPr>
            </w:pPr>
          </w:p>
        </w:tc>
        <w:tc>
          <w:tcPr>
            <w:tcW w:w="992" w:type="dxa"/>
            <w:vMerge/>
            <w:shd w:val="clear" w:color="auto" w:fill="D9D9D9" w:themeFill="background1" w:themeFillShade="D9"/>
          </w:tcPr>
          <w:p w:rsidR="005030DA" w:rsidRPr="008456F3" w:rsidRDefault="005030DA" w:rsidP="00204E6F">
            <w:pPr>
              <w:ind w:left="-106" w:right="-94"/>
              <w:jc w:val="center"/>
              <w:rPr>
                <w:rFonts w:ascii="Arial" w:hAnsi="Arial" w:cs="Arial"/>
                <w:b/>
                <w:sz w:val="20"/>
                <w:szCs w:val="20"/>
                <w:lang w:val="en-US"/>
              </w:rPr>
            </w:pPr>
          </w:p>
        </w:tc>
        <w:tc>
          <w:tcPr>
            <w:tcW w:w="992" w:type="dxa"/>
            <w:vMerge/>
            <w:shd w:val="clear" w:color="auto" w:fill="D9D9D9" w:themeFill="background1" w:themeFillShade="D9"/>
          </w:tcPr>
          <w:p w:rsidR="005030DA" w:rsidRPr="008456F3" w:rsidRDefault="005030DA" w:rsidP="00204E6F">
            <w:pPr>
              <w:ind w:left="-106" w:right="-94"/>
              <w:jc w:val="center"/>
              <w:rPr>
                <w:rFonts w:ascii="Arial" w:hAnsi="Arial" w:cs="Arial"/>
                <w:b/>
                <w:sz w:val="20"/>
                <w:szCs w:val="20"/>
                <w:lang w:val="en-US"/>
              </w:rPr>
            </w:pP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NICE 2016</w:t>
            </w:r>
            <w:r w:rsidRPr="008456F3">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&lt;EndNote&gt;&lt;Cite&gt;&lt;Author&gt;NICE&lt;/Author&gt;&lt;Year&gt;2016&lt;/Year&gt;&lt;RecNum&gt;53&lt;/RecNum&gt;&lt;DisplayText&gt;&lt;style face="superscript"&gt;41&lt;/style&gt;&lt;/DisplayText&gt;&lt;record&gt;&lt;rec-number&gt;53&lt;/rec-number&gt;&lt;foreign-keys&gt;&lt;key app="EN" db-id="025f5v9pw5xexpe9et6xdvwkdefettsztx2t" timestamp="1515957296"&gt;53&lt;/key&gt;&lt;/foreign-keys&gt;&lt;ref-type name="Book Section"&gt;5&lt;/ref-type&gt;&lt;contributors&gt;&lt;authors&gt;&lt;author&gt;NICE&lt;/author&gt;&lt;/authors&gt;&lt;/contributors&gt;&lt;titles&gt;&lt;title&gt;National Institute for Health and Care Excellence: Clinical Guidelines&lt;/title&gt;&lt;secondary-title&gt;Preoperative Tests (Update): Routine Preoperative Tests for Elective Surgery&lt;/secondary-title&gt;&lt;tertiary-title&gt;National Institute for Health and Care Excellence: Clinical Guidelines&lt;/tertiary-title&gt;&lt;/titles&gt;&lt;periodical&gt;&lt;full-title&gt;Preoperative Tests (Update): Routine Preoperative Tests for Elective Surgery&lt;/full-title&gt;&lt;/periodical&gt;&lt;dates&gt;&lt;year&gt;2016&lt;/year&gt;&lt;/dates&gt;&lt;pub-location&gt;London. &lt;/pub-location&gt;&lt;accession-num&gt;27077168&lt;/accession-num&gt;&lt;urls&gt;&lt;related-urls&gt;&lt;url&gt;https://www.ncbi.nlm.nih.gov/pubmed/27077168&lt;/url&gt;&lt;/related-urls&gt;&lt;/urls&gt;&lt;language&gt;eng&lt;/language&gt;&lt;/record&gt;&lt;/Cite&gt;&lt;/EndNote&gt;</w:instrText>
            </w:r>
            <w:r w:rsidRPr="008456F3">
              <w:rPr>
                <w:rFonts w:ascii="Arial" w:hAnsi="Arial" w:cs="Arial"/>
                <w:sz w:val="20"/>
                <w:szCs w:val="20"/>
                <w:lang w:eastAsia="es-MX"/>
              </w:rPr>
              <w:fldChar w:fldCharType="separate"/>
            </w:r>
            <w:r w:rsidRPr="00EB4CA3">
              <w:rPr>
                <w:rFonts w:ascii="Arial" w:hAnsi="Arial" w:cs="Arial"/>
                <w:noProof/>
                <w:sz w:val="20"/>
                <w:szCs w:val="20"/>
                <w:vertAlign w:val="superscript"/>
                <w:lang w:eastAsia="es-MX"/>
              </w:rPr>
              <w:t>41</w:t>
            </w:r>
            <w:r w:rsidRPr="008456F3">
              <w:rPr>
                <w:rFonts w:ascii="Arial" w:hAnsi="Arial" w:cs="Arial"/>
                <w:sz w:val="20"/>
                <w:szCs w:val="20"/>
                <w:lang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National Institute of Health and Care of Excellence</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United Kingdom</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2015</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Clinical Guidelines. Preoperative Tests (Update): Routine Preoperative Tests for Elective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6</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6</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ESC/ESA 2014</w:t>
            </w:r>
            <w:r w:rsidRPr="008456F3">
              <w:rPr>
                <w:rFonts w:ascii="Arial" w:hAnsi="Arial" w:cs="Arial"/>
                <w:sz w:val="20"/>
                <w:szCs w:val="20"/>
                <w:lang w:val="en-US" w:eastAsia="es-MX"/>
              </w:rPr>
              <w:fldChar w:fldCharType="begin">
                <w:fldData xml:space="preserve">PEVuZE5vdGU+PENpdGU+PEF1dGhvcj5LcmlzdGVuc2VuPC9BdXRob3I+PFllYXI+MjAxNDwvWWVh
cj48UmVjTnVtPjMzPC9SZWNOdW0+PERpc3BsYXlUZXh0PjxzdHlsZSBmYWNlPSJzdXBlcnNjcmlw
dCI+NDI8L3N0eWxlPjwvRGlzcGxheVRleHQ+PHJlY29yZD48cmVjLW51bWJlcj4zMzwvcmVjLW51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szCs w:val="20"/>
                <w:lang w:val="en-US" w:eastAsia="es-MX"/>
              </w:rPr>
              <w:instrText xml:space="preserve"> ADDIN EN.CITE </w:instrText>
            </w:r>
            <w:r>
              <w:rPr>
                <w:rFonts w:ascii="Arial" w:hAnsi="Arial" w:cs="Arial"/>
                <w:sz w:val="20"/>
                <w:szCs w:val="20"/>
                <w:lang w:val="en-US" w:eastAsia="es-MX"/>
              </w:rPr>
              <w:fldChar w:fldCharType="begin">
                <w:fldData xml:space="preserve">PEVuZE5vdGU+PENpdGU+PEF1dGhvcj5LcmlzdGVuc2VuPC9BdXRob3I+PFllYXI+MjAxNDwvWWVh
cj48UmVjTnVtPjMzPC9SZWNOdW0+PERpc3BsYXlUZXh0PjxzdHlsZSBmYWNlPSJzdXBlcnNjcmlw
dCI+NDI8L3N0eWxlPjwvRGlzcGxheVRleHQ+PHJlY29yZD48cmVjLW51bWJlcj4zMzwvcmVjLW51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szCs w:val="20"/>
                <w:lang w:val="en-US" w:eastAsia="es-MX"/>
              </w:rPr>
              <w:instrText xml:space="preserve"> ADDIN EN.CITE.DATA </w:instrText>
            </w:r>
            <w:r>
              <w:rPr>
                <w:rFonts w:ascii="Arial" w:hAnsi="Arial" w:cs="Arial"/>
                <w:sz w:val="20"/>
                <w:szCs w:val="20"/>
                <w:lang w:val="en-US" w:eastAsia="es-MX"/>
              </w:rPr>
            </w:r>
            <w:r>
              <w:rPr>
                <w:rFonts w:ascii="Arial" w:hAnsi="Arial" w:cs="Arial"/>
                <w:sz w:val="20"/>
                <w:szCs w:val="20"/>
                <w:lang w:val="en-US" w:eastAsia="es-MX"/>
              </w:rPr>
              <w:fldChar w:fldCharType="end"/>
            </w:r>
            <w:r w:rsidRPr="008456F3">
              <w:rPr>
                <w:rFonts w:ascii="Arial" w:hAnsi="Arial" w:cs="Arial"/>
                <w:sz w:val="20"/>
                <w:szCs w:val="20"/>
                <w:lang w:val="en-US" w:eastAsia="es-MX"/>
              </w:rPr>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42</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rPr>
                <w:rFonts w:ascii="Arial" w:hAnsi="Arial" w:cs="Arial"/>
                <w:sz w:val="18"/>
                <w:szCs w:val="18"/>
                <w:lang w:val="en-US" w:eastAsia="es-MX"/>
              </w:rPr>
            </w:pPr>
            <w:r w:rsidRPr="00EB4CA3">
              <w:rPr>
                <w:rStyle w:val="notranslate"/>
                <w:rFonts w:ascii="Arial" w:hAnsi="Arial" w:cs="Arial"/>
                <w:sz w:val="18"/>
                <w:szCs w:val="18"/>
                <w:lang w:val="en-US"/>
              </w:rPr>
              <w:t>European Society of Cardiology / European Society of Anesthesia</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Europe</w:t>
            </w:r>
            <w:r w:rsidRPr="00EB4CA3">
              <w:rPr>
                <w:rStyle w:val="notranslate"/>
                <w:rFonts w:ascii="Franklin Gothic Medium" w:hAnsi="Franklin Gothic Medium" w:cs="Arial"/>
                <w:sz w:val="18"/>
                <w:szCs w:val="18"/>
                <w:vertAlign w:val="superscript"/>
                <w:lang w:val="en-US"/>
              </w:rPr>
              <w:t>†</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2014</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ESC/ESA Guidelines on non-cardiac surgery: cardiovascular assessment and management</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4.5</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4.5</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SBC 2017</w:t>
            </w:r>
            <w:r w:rsidRPr="008456F3">
              <w:rPr>
                <w:rFonts w:ascii="Arial" w:hAnsi="Arial" w:cs="Arial"/>
                <w:sz w:val="20"/>
                <w:szCs w:val="20"/>
                <w:lang w:val="en-US" w:eastAsia="es-MX"/>
              </w:rPr>
              <w:fldChar w:fldCharType="begin">
                <w:fldData xml:space="preserve">PEVuZE5vdGU+PENpdGU+PEF1dGhvcj5HdWFsYW5kcm88L0F1dGhvcj48WWVhcj4yMDE3PC9ZZWFy
PjxSZWNOdW0+MzQ8L1JlY051bT48RGlzcGxheVRleHQ+PHN0eWxlIGZhY2U9InN1cGVyc2NyaXB0
Ij40Mzwvc3R5bGU+PC9EaXNwbGF5VGV4dD48cmVjb3JkPjxyZWMtbnVtYmVyPjM0PC9yZWMtbnVt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szCs w:val="20"/>
                <w:lang w:val="en-US" w:eastAsia="es-MX"/>
              </w:rPr>
              <w:instrText xml:space="preserve"> ADDIN EN.CITE </w:instrText>
            </w:r>
            <w:r>
              <w:rPr>
                <w:rFonts w:ascii="Arial" w:hAnsi="Arial" w:cs="Arial"/>
                <w:sz w:val="20"/>
                <w:szCs w:val="20"/>
                <w:lang w:val="en-US" w:eastAsia="es-MX"/>
              </w:rPr>
              <w:fldChar w:fldCharType="begin">
                <w:fldData xml:space="preserve">PEVuZE5vdGU+PENpdGU+PEF1dGhvcj5HdWFsYW5kcm88L0F1dGhvcj48WWVhcj4yMDE3PC9ZZWFy
PjxSZWNOdW0+MzQ8L1JlY051bT48RGlzcGxheVRleHQ+PHN0eWxlIGZhY2U9InN1cGVyc2NyaXB0
Ij40Mzwvc3R5bGU+PC9EaXNwbGF5VGV4dD48cmVjb3JkPjxyZWMtbnVtYmVyPjM0PC9yZWMtbnVt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szCs w:val="20"/>
                <w:lang w:val="en-US" w:eastAsia="es-MX"/>
              </w:rPr>
              <w:instrText xml:space="preserve"> ADDIN EN.CITE.DATA </w:instrText>
            </w:r>
            <w:r>
              <w:rPr>
                <w:rFonts w:ascii="Arial" w:hAnsi="Arial" w:cs="Arial"/>
                <w:sz w:val="20"/>
                <w:szCs w:val="20"/>
                <w:lang w:val="en-US" w:eastAsia="es-MX"/>
              </w:rPr>
            </w:r>
            <w:r>
              <w:rPr>
                <w:rFonts w:ascii="Arial" w:hAnsi="Arial" w:cs="Arial"/>
                <w:sz w:val="20"/>
                <w:szCs w:val="20"/>
                <w:lang w:val="en-US" w:eastAsia="es-MX"/>
              </w:rPr>
              <w:fldChar w:fldCharType="end"/>
            </w:r>
            <w:r w:rsidRPr="008456F3">
              <w:rPr>
                <w:rFonts w:ascii="Arial" w:hAnsi="Arial" w:cs="Arial"/>
                <w:sz w:val="20"/>
                <w:szCs w:val="20"/>
                <w:lang w:val="en-US" w:eastAsia="es-MX"/>
              </w:rPr>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43</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Brazilian Society of Cardiology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Brazil</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2016</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3rd Guide for the perioperative evaluation of the Brazilian Society of Cardiology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4.5</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4.5</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ACC/AHA 2014</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&lt;EndNote&gt;&lt;Cite&gt;&lt;Author&gt;Fleisher&lt;/Author&gt;&lt;Year&gt;2014&lt;/Year&gt;&lt;RecNum&gt;18&lt;/RecNum&gt;&lt;DisplayText&gt;&lt;style face="superscript"&gt;44&lt;/style&gt;&lt;/DisplayText&gt;&lt;record&gt;&lt;rec-number&gt;18&lt;/rec-number&gt;&lt;foreign-keys&gt;&lt;key app="EN" db-id="025f5v9pw5xexpe9et6xdvwkdefettsztx2t" timestamp="1511530518"&gt;18&lt;/key&gt;&lt;/foreign-keys&gt;&lt;ref-type name="Journal Article"&gt;17&lt;/ref-type&gt;&lt;contributors&gt;&lt;authors&gt;&lt;author&gt;Fleisher, L. A.&lt;/author&gt;&lt;author&gt;Fleischmann, K. E.&lt;/author&gt;&lt;author&gt;Auerbach, A. D.&lt;/author&gt;&lt;author&gt;Barnason, S. A.&lt;/author&gt;&lt;author&gt;Beckman, J. A.&lt;/author&gt;&lt;author&gt;Bozkurt, B.&lt;/author&gt;&lt;author&gt;Davila-Roman, V. G.&lt;/author&gt;&lt;author&gt;Gerhard-Herman, M. D.&lt;/author&gt;&lt;author&gt;Holly, T. A.&lt;/author&gt;&lt;author&gt;Kane, G. C.&lt;/author&gt;&lt;author&gt;Marine, J. E.&lt;/author&gt;&lt;author&gt;Nelson, M. T.&lt;/author&gt;&lt;author&gt;Spencer, C. C.&lt;/author&gt;&lt;author&gt;Thompson, A.&lt;/author&gt;&lt;author&gt;Ting, H. H.&lt;/author&gt;&lt;author&gt;Uretsky, B. F.&lt;/author&gt;&lt;author&gt;Wijeysundera, D. N.&lt;/author&gt;&lt;/authors&gt;&lt;/contributors&gt;&lt;titles&gt;&lt;title&gt;2014 ACC/AHA guideline on perioperative cardiovascular evaluation and management of patients undergoing noncardiac surgery: executive summary: a report of the American College of Cardiology/American Heart Association Task Force on Practice Guidelines&lt;/title&gt;&lt;secondary-title&gt;Circulation&lt;/secondary-title&gt;&lt;/titles&gt;&lt;periodical&gt;&lt;full-title&gt;Circulation&lt;/full-title&gt;&lt;/periodical&gt;&lt;pages&gt;2215-45&lt;/pages&gt;&lt;number&gt;24&lt;/number&gt;&lt;keywords&gt;&lt;keyword&gt;American Heart Association&lt;/keyword&gt;&lt;/keywords&gt;&lt;dates&gt;&lt;year&gt;2014&lt;/year&gt;&lt;/dates&gt;&lt;accession-num&gt;2029&lt;/accession-num&gt;&lt;urls&gt;&lt;/urls&gt;&lt;electronic-resource-num&gt;10.1161/cir.0000000000000105&lt;/electronic-resource-num&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44</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American College of Cardiology/American Heart Association</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U.S.</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2013</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ACC/AHA guideline on perioperative cardiovascular evaluation and management of patients undergoing noncardiac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6</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6</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CCSG 2017</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&lt;EndNote&gt;&lt;Cite&gt;&lt;Author&gt;Duceppe&lt;/Author&gt;&lt;Year&gt;2017&lt;/Year&gt;&lt;RecNum&gt;20&lt;/RecNum&gt;&lt;DisplayText&gt;&lt;style face="superscript"&gt;45&lt;/style&gt;&lt;/DisplayText&gt;&lt;record&gt;&lt;rec-number&gt;20&lt;/rec-number&gt;&lt;foreign-keys&gt;&lt;key app="EN" db-id="025f5v9pw5xexpe9et6xdvwkdefettsztx2t" timestamp="1511530518"&gt;20&lt;/key&gt;&lt;/foreign-keys&gt;&lt;ref-type name="Journal Article"&gt;17&lt;/ref-type&gt;&lt;contributors&gt;&lt;authors&gt;&lt;author&gt;Duceppe, E.&lt;/author&gt;&lt;author&gt;Parlow, J.&lt;/author&gt;&lt;author&gt;MacDonald, P.&lt;/author&gt;&lt;author&gt;Lyons, K.&lt;/author&gt;&lt;author&gt;McMullen, M.&lt;/author&gt;&lt;author&gt;Srinathan, S.&lt;/author&gt;&lt;author&gt;Graham, M.&lt;/author&gt;&lt;author&gt;Tandon, V.&lt;/author&gt;&lt;author&gt;Styles, K.&lt;/author&gt;&lt;author&gt;Bessissow, A.&lt;/author&gt;&lt;author&gt;Sessler, D. I.&lt;/author&gt;&lt;author&gt;Bryson, G.&lt;/author&gt;&lt;author&gt;Devereaux, P. J.&lt;/author&gt;&lt;/authors&gt;&lt;/contributors&gt;&lt;auth-address&gt;J. Parlow, Department of Anesthesiology and Perioperative Medicine, Queen&amp;amp;#039;s University, Kingston General Hospital, Kingston, Canada&lt;/auth-address&gt;&lt;titles&gt;&lt;title&gt;Canadian Cardiovascular Society Guidelines on Perioperative Cardiac Risk Assessment and Management for Patients Who Undergo Noncardiac Surgery&lt;/title&gt;&lt;secondary-title&gt;Canadian Journal of Cardiology&lt;/secondary-title&gt;&lt;/titles&gt;&lt;periodical&gt;&lt;full-title&gt;Canadian Journal of Cardiology&lt;/full-title&gt;&lt;/periodical&gt;&lt;pages&gt;17-32&lt;/pages&gt;&lt;number&gt;1&lt;/number&gt;&lt;keywords&gt;&lt;keyword&gt;acetylsalicylic acid&lt;/keyword&gt;&lt;/keywords&gt;&lt;dates&gt;&lt;year&gt;2017&lt;/year&gt;&lt;/dates&gt;&lt;accession-num&gt;281&lt;/accession-num&gt;&lt;urls&gt;&lt;related-urls&gt;&lt;url&gt;http://www.embase.com/search/results?subaction=viewrecord&amp;amp;amp;from=export&amp;amp;amp;id=L613819973&lt;/url&gt;&lt;/related-urls&gt;&lt;/urls&gt;&lt;electronic-resource-num&gt;10.1016/j.cjca.2016.09.008&lt;/electronic-resource-num&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45</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Canadian Cardiovascular Society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8234B3">
              <w:rPr>
                <w:rStyle w:val="notranslate"/>
                <w:rFonts w:ascii="Arial" w:hAnsi="Arial" w:cs="Arial"/>
                <w:b/>
                <w:sz w:val="18"/>
                <w:szCs w:val="18"/>
                <w:lang w:val="en-US"/>
              </w:rPr>
              <w:t>Canada</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2015</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Guidelines on Perioperative Cardiac Risk Assessment and Management for Patients Who Undergo Noncardiac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3</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3</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ERAS Society 2012</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&lt;EndNote&gt;&lt;Cite&gt;&lt;Author&gt;Nygren&lt;/Author&gt;&lt;Year&gt;2012&lt;/Year&gt;&lt;RecNum&gt;21&lt;/RecNum&gt;&lt;DisplayText&gt;&lt;style face="superscript"&gt;46&lt;/style&gt;&lt;/DisplayText&gt;&lt;record&gt;&lt;rec-number&gt;21&lt;/rec-number&gt;&lt;foreign-keys&gt;&lt;key app="EN" db-id="025f5v9pw5xexpe9et6xdvwkdefettsztx2t" timestamp="1511530518"&gt;21&lt;/key&gt;&lt;/foreign-keys&gt;&lt;ref-type name="Journal Article"&gt;17&lt;/ref-type&gt;&lt;contributors&gt;&lt;authors&gt;&lt;author&gt;Nygren, J.&lt;/author&gt;&lt;author&gt;Thacker, J.&lt;/author&gt;&lt;author&gt;Carli, F.&lt;/author&gt;&lt;author&gt;Fearon, K. C. H.&lt;/author&gt;&lt;author&gt;Norderval, S.&lt;/author&gt;&lt;author&gt;Lobo, D. N.&lt;/author&gt;&lt;author&gt;Ljungqvist, O.&lt;/author&gt;&lt;author&gt;Soop, M.&lt;/author&gt;&lt;author&gt;Ramirez, J.&lt;/author&gt;&lt;/authors&gt;&lt;/contributors&gt;&lt;auth-address&gt;J. Nygren, Department of Surgery, Ersta Hospital, Karolinska Institutet, Stockholm, Sweden&lt;/auth-address&gt;&lt;titles&gt;&lt;title&gt;Guidelines for perioperative care in elective rectal/pelvic surgery: Enhanced Recovery After Surgery (ERAS&amp;amp;Acirc;&amp;amp;reg;) Society recommendations&lt;/title&gt;&lt;secondary-title&gt;Clinical Nutrition&lt;/secondary-title&gt;&lt;/titles&gt;&lt;periodical&gt;&lt;full-title&gt;Clinical Nutrition&lt;/full-title&gt;&lt;/periodical&gt;&lt;pages&gt;801-816&lt;/pages&gt;&lt;number&gt;6&lt;/number&gt;&lt;keywords&gt;&lt;keyword&gt;antibiotic agent&lt;/keyword&gt;&lt;/keywords&gt;&lt;dates&gt;&lt;year&gt;2012&lt;/year&gt;&lt;/dates&gt;&lt;accession-num&gt;918&lt;/accession-num&gt;&lt;urls&gt;&lt;related-urls&gt;&lt;url&gt;http://www.embase.com/search/results?subaction=viewrecord&amp;amp;amp;from=export&amp;amp;amp;id=L52280888&lt;/url&gt;&lt;/related-urls&gt;&lt;/urls&gt;&lt;electronic-resource-num&gt;10.1016/j.clnu.2012.08.012&lt;/electronic-resource-num&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46</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Society of post-surgical recovery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world</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2012</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Guidelines for perioperative care in elective rectal/pelvic surgery: Enhanced Recovery After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SARNeP</w:t>
            </w:r>
            <w:r>
              <w:rPr>
                <w:rFonts w:ascii="Arial" w:hAnsi="Arial" w:cs="Arial"/>
                <w:sz w:val="20"/>
                <w:szCs w:val="20"/>
                <w:lang w:val="en-US" w:eastAsia="es-MX"/>
              </w:rPr>
              <w:t>I</w:t>
            </w:r>
            <w:r w:rsidRPr="008456F3">
              <w:rPr>
                <w:rFonts w:ascii="Arial" w:hAnsi="Arial" w:cs="Arial"/>
                <w:sz w:val="20"/>
                <w:szCs w:val="20"/>
                <w:lang w:val="en-US" w:eastAsia="es-MX"/>
              </w:rPr>
              <w:t xml:space="preserve"> 2014</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&lt;EndNote&gt;&lt;Cite&gt;&lt;Author&gt;Serafini&lt;/Author&gt;&lt;Year&gt;2014&lt;/Year&gt;&lt;RecNum&gt;29&lt;/RecNum&gt;&lt;DisplayText&gt;&lt;style face="superscript"&gt;47&lt;/style&gt;&lt;/DisplayText&gt;&lt;record&gt;&lt;rec-number&gt;29&lt;/rec-number&gt;&lt;foreign-keys&gt;&lt;key app="EN" db-id="025f5v9pw5xexpe9et6xdvwkdefettsztx2t" timestamp="1511530519"&gt;29&lt;/key&gt;&lt;/foreign-keys&gt;&lt;ref-type name="Journal Article"&gt;17&lt;/ref-type&gt;&lt;contributors&gt;&lt;authors&gt;&lt;author&gt;Serafini, G.&lt;/author&gt;&lt;author&gt;Ingelmo, P. M.&lt;/author&gt;&lt;author&gt;Astuto, M.&lt;/author&gt;&lt;author&gt;Baroncini, S.&lt;/author&gt;&lt;author&gt;Borrometi, F.&lt;/author&gt;&lt;author&gt;Bortone, L.&lt;/author&gt;&lt;author&gt;Ceschin, C.&lt;/author&gt;&lt;author&gt;Gentili, A.&lt;/author&gt;&lt;author&gt;Lampugnani, E.&lt;/author&gt;&lt;author&gt;Mangia, G.&lt;/author&gt;&lt;author&gt;Meneghini, L.&lt;/author&gt;&lt;author&gt;Minardi, C.&lt;/author&gt;&lt;author&gt;Montobbio, G.&lt;/author&gt;&lt;author&gt;Pinzoni, F.&lt;/author&gt;&lt;author&gt;Rosina, B.&lt;/author&gt;&lt;author&gt;Rossi, C.&lt;/author&gt;&lt;author&gt;Sahillioglu, E.&lt;/author&gt;&lt;author&gt;Sammartino, M.&lt;/author&gt;&lt;author&gt;Sonzogni, R.&lt;/author&gt;&lt;author&gt;Sonzogni, V.&lt;/author&gt;&lt;author&gt;Tesoro, S.&lt;/author&gt;&lt;author&gt;Tognon, C.&lt;/author&gt;&lt;author&gt;Zadra, N.&lt;/author&gt;&lt;/authors&gt;&lt;/contributors&gt;&lt;auth-address&gt;Dipartimento di Anestesia e Rianimazione 1, Fondazione IRCCS Policlinico S. Matteo, Universita di Pavia, Pavia, Italy - Pablo.ingelmo@muhc.mcgill.ca.&lt;/auth-address&gt;&lt;titles&gt;&lt;title&gt;Preoperative evaluation in infants and children: recommendations of the Italian Society of Pediatric and Neonatal Anesthesia and Intensive Care (SARNePI)&lt;/title&gt;&lt;secondary-title&gt;Minerva Anestesiol&lt;/secondary-title&gt;&lt;/titles&gt;&lt;periodical&gt;&lt;full-title&gt;Minerva Anestesiol&lt;/full-title&gt;&lt;/periodical&gt;&lt;pages&gt;461-9&lt;/pages&gt;&lt;number&gt;4&lt;/number&gt;&lt;keywords&gt;&lt;keyword&gt;*Anesthesia&lt;/keyword&gt;&lt;/keywords&gt;&lt;dates&gt;&lt;year&gt;2014&lt;/year&gt;&lt;/dates&gt;&lt;accession-num&gt;2119&lt;/accession-num&gt;&lt;urls&gt;&lt;/urls&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47</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Italian Society of Anesthesia and Intensive Pediatric Therapy and Neonatology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Italy</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2012</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Preoperative evaluation in infants and children: recommendations of the Italian Society of Pediatric and Neonatal Anesthesia and Intensive Care (SARNePI).</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ICSI 2012</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&lt;EndNote&gt;&lt;Cite&gt;&lt;Author&gt;Danielson&lt;/Author&gt;&lt;Year&gt;2012&lt;/Year&gt;&lt;RecNum&gt;24&lt;/RecNum&gt;&lt;DisplayText&gt;&lt;style face="superscript"&gt;48&lt;/style&gt;&lt;/DisplayText&gt;&lt;record&gt;&lt;rec-number&gt;24&lt;/rec-number&gt;&lt;foreign-keys&gt;&lt;key app="EN" db-id="025f5v9pw5xexpe9et6xdvwkdefettsztx2t" timestamp="1511530518"&gt;24&lt;/key&gt;&lt;/foreign-keys&gt;&lt;ref-type name="Journal Article"&gt;17&lt;/ref-type&gt;&lt;contributors&gt;&lt;authors&gt;&lt;author&gt;Danielson, D.&lt;/author&gt;&lt;author&gt;Bjork, K.&lt;/author&gt;&lt;author&gt;Card, R.&lt;/author&gt;&lt;author&gt;Foreman, J.&lt;/author&gt;&lt;author&gt;Harper, C.&lt;/author&gt;&lt;author&gt;Roemer, R.&lt;/author&gt;&lt;author&gt;Stultz, J.&lt;/author&gt;&lt;author&gt;Sypura, W.&lt;/author&gt;&lt;author&gt;Thompson, S.&lt;/author&gt;&lt;author&gt;Webb, B.&lt;/author&gt;&lt;/authors&gt;&lt;/contributors&gt;&lt;titles&gt;&lt;title&gt;Health Care Guideline: Preoperative Evaluation&lt;/title&gt;&lt;/titles&gt;&lt;dates&gt;&lt;year&gt;2012&lt;/year&gt;&lt;/dates&gt;&lt;accession-num&gt;1&lt;/accession-num&gt;&lt;urls&gt;&lt;related-urls&gt;&lt;url&gt;http://aspiruslibrary.org/guidelines_new/ICSI%20Preop%20Guideline.pdf&lt;/url&gt;&lt;/related-urls&gt;&lt;/urls&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48</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Institute for the Improvement of Clinical Systems</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U.S.</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2012</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Pre-operative evaluation</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ERAS Society 2016</w:t>
            </w:r>
            <w:r w:rsidRPr="008456F3">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&lt;EndNote&gt;&lt;Cite&gt;&lt;Author&gt;Nelson&lt;/Author&gt;&lt;Year&gt;2016&lt;/Year&gt;&lt;RecNum&gt;22&lt;/RecNum&gt;&lt;DisplayText&gt;&lt;style face="superscript"&gt;49&lt;/style&gt;&lt;/DisplayText&gt;&lt;record&gt;&lt;rec-number&gt;22&lt;/rec-number&gt;&lt;foreign-keys&gt;&lt;key app="EN" db-id="025f5v9pw5xexpe9et6xdvwkdefettsztx2t" timestamp="1511530518"&gt;22&lt;/key&gt;&lt;/foreign-keys&gt;&lt;ref-type name="Journal Article"&gt;17&lt;/ref-type&gt;&lt;contributors&gt;&lt;authors&gt;&lt;author&gt;Nelson, G.&lt;/author&gt;&lt;author&gt;Altman, A. D.&lt;/author&gt;&lt;author&gt;Nick, A.&lt;/author&gt;&lt;author&gt;Meyer, L. A.&lt;/author&gt;&lt;author&gt;Ramirez, P. T.&lt;/author&gt;&lt;author&gt;Achtari, C.&lt;/author&gt;&lt;author&gt;Antrobus, J.&lt;/author&gt;&lt;author&gt;Huang, J.&lt;/author&gt;&lt;author&gt;Scott, M.&lt;/author&gt;&lt;author&gt;Wijk, L.&lt;/author&gt;&lt;author&gt;Acheson, N.&lt;/author&gt;&lt;author&gt;Ljungqvist, O.&lt;/author&gt;&lt;author&gt;Dowdy, S. C.&lt;/author&gt;&lt;/authors&gt;&lt;/contributors&gt;&lt;auth-address&gt;G. Nelson, Tom Baker Cancer Centre, Calgarya, Canada&lt;/auth-address&gt;&lt;titles&gt;&lt;title&gt;Guidelines for pre- and intra-operative care in gynecologic/oncology surgery: Enhanced Recovery after Surgery (ERAS) Society recommendations - Part i&lt;/title&gt;&lt;secondary-title&gt;Gynecologic Oncology&lt;/secondary-title&gt;&lt;/titles&gt;&lt;periodical&gt;&lt;full-title&gt;Gynecologic Oncology&lt;/full-title&gt;&lt;/periodical&gt;&lt;pages&gt;313-322&lt;/pages&gt;&lt;number&gt;2&lt;/number&gt;&lt;keywords&gt;&lt;keyword&gt;alcohol&lt;/keyword&gt;&lt;/keywords&gt;&lt;dates&gt;&lt;year&gt;2016&lt;/year&gt;&lt;/dates&gt;&lt;accession-num&gt;429&lt;/accession-num&gt;&lt;urls&gt;&lt;related-urls&gt;&lt;url&gt;http://www.embase.com/search/results?subaction=viewrecord&amp;amp;amp;from=export&amp;amp;amp;id=L609402176&lt;/url&gt;&lt;/related-urls&gt;&lt;/urls&gt;&lt;electronic-resource-num&gt;10.1016/j.ygyno.2015.11.015&lt;/electronic-resource-num&gt;&lt;/record&gt;&lt;/Cite&gt;&lt;/EndNote&gt;</w:instrText>
            </w:r>
            <w:r w:rsidRPr="008456F3">
              <w:rPr>
                <w:rFonts w:ascii="Arial" w:hAnsi="Arial" w:cs="Arial"/>
                <w:sz w:val="20"/>
                <w:szCs w:val="20"/>
                <w:lang w:eastAsia="es-MX"/>
              </w:rPr>
              <w:fldChar w:fldCharType="separate"/>
            </w:r>
            <w:r w:rsidRPr="00EB4CA3">
              <w:rPr>
                <w:rFonts w:ascii="Arial" w:hAnsi="Arial" w:cs="Arial"/>
                <w:noProof/>
                <w:sz w:val="20"/>
                <w:szCs w:val="20"/>
                <w:vertAlign w:val="superscript"/>
                <w:lang w:eastAsia="es-MX"/>
              </w:rPr>
              <w:t>49</w:t>
            </w:r>
            <w:r w:rsidRPr="008456F3">
              <w:rPr>
                <w:rFonts w:ascii="Arial" w:hAnsi="Arial" w:cs="Arial"/>
                <w:sz w:val="20"/>
                <w:szCs w:val="20"/>
                <w:lang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Post-Surgical Recovery Society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world</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2014</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Guidelines for pre- and intra-operative care in gynecologic/oncology surgery: Enhanced Recovery after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ESA 2011</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&lt;EndNote&gt;&lt;Cite&gt;&lt;Author&gt;Smith&lt;/Author&gt;&lt;Year&gt;2011&lt;/Year&gt;&lt;RecNum&gt;27&lt;/RecNum&gt;&lt;DisplayText&gt;&lt;style face="superscript"&gt;50&lt;/style&gt;&lt;/DisplayText&gt;&lt;record&gt;&lt;rec-number&gt;27&lt;/rec-number&gt;&lt;foreign-keys&gt;&lt;key app="EN" db-id="025f5v9pw5xexpe9et6xdvwkdefettsztx2t" timestamp="1511530518"&gt;27&lt;/key&gt;&lt;/foreign-keys&gt;&lt;ref-type name="Journal Article"&gt;17&lt;/ref-type&gt;&lt;contributors&gt;&lt;authors&gt;&lt;author&gt;Smith, I.&lt;/author&gt;&lt;author&gt;Kranke, P.&lt;/author&gt;&lt;author&gt;Murat, I.&lt;/author&gt;&lt;author&gt;Smith, A.&lt;/author&gt;&lt;author&gt;Sullivan, G.&lt;/author&gt;&lt;author&gt;Soreide, E.&lt;/author&gt;&lt;author&gt;Spies, C.&lt;/author&gt;&lt;author&gt;in,&lt;/author&gt;&lt;author&gt;t Veld, B.&lt;/author&gt;&lt;/authors&gt;&lt;/contributors&gt;&lt;auth-address&gt;Directorate of Anaesthesia, University Hospital of North Staffordshire, Stoke-on-Trent, UK. damsmith@btinternet.com&lt;/auth-address&gt;&lt;titles&gt;&lt;title&gt;Perioperative fasting in adults and children: guidelines from the European Society of Anaesthesiology&lt;/title&gt;&lt;secondary-title&gt;Eur J Anaesthesiol&lt;/secondary-title&gt;&lt;/titles&gt;&lt;periodical&gt;&lt;full-title&gt;Eur J Anaesthesiol&lt;/full-title&gt;&lt;/periodical&gt;&lt;pages&gt;556-69&lt;/pages&gt;&lt;number&gt;8&lt;/number&gt;&lt;keywords&gt;&lt;keyword&gt;Adult&lt;/keyword&gt;&lt;/keywords&gt;&lt;dates&gt;&lt;year&gt;2011&lt;/year&gt;&lt;/dates&gt;&lt;accession-num&gt;2298&lt;/accession-num&gt;&lt;urls&gt;&lt;/urls&gt;&lt;electronic-resource-num&gt;10.1097/EJA.0b013e3283495ba1&lt;/electronic-resource-num&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50</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European Society of Anesthesia</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Europe</w:t>
            </w:r>
            <w:r w:rsidRPr="00EB4CA3">
              <w:rPr>
                <w:rStyle w:val="notranslate"/>
                <w:rFonts w:ascii="Franklin Gothic Medium" w:hAnsi="Franklin Gothic Medium" w:cs="Arial"/>
                <w:sz w:val="18"/>
                <w:szCs w:val="18"/>
                <w:vertAlign w:val="superscript"/>
                <w:lang w:val="en-US"/>
              </w:rPr>
              <w:t>†</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2009</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Perioperative fasting guide in adults and children</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4</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4</w:t>
            </w:r>
          </w:p>
        </w:tc>
      </w:tr>
      <w:tr w:rsidR="005030DA" w:rsidRPr="00A640E9" w:rsidTr="00204E6F">
        <w:trPr>
          <w:trHeight w:val="288"/>
        </w:trPr>
        <w:tc>
          <w:tcPr>
            <w:tcW w:w="1843" w:type="dxa"/>
            <w:tcBorders>
              <w:right w:val="single" w:sz="4" w:space="0" w:color="auto"/>
            </w:tcBorders>
            <w:noWrap/>
            <w:hideMark/>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BARA 2013</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&lt;EndNote&gt;&lt;Cite&gt;&lt;Author&gt;Van De Velde&lt;/Author&gt;&lt;Year&gt;2013&lt;/Year&gt;&lt;RecNum&gt;30&lt;/RecNum&gt;&lt;DisplayText&gt;&lt;style face="superscript"&gt;51&lt;/style&gt;&lt;/DisplayText&gt;&lt;record&gt;&lt;rec-number&gt;30&lt;/rec-number&gt;&lt;foreign-keys&gt;&lt;key app="EN" db-id="025f5v9pw5xexpe9et6xdvwkdefettsztx2t" timestamp="1511530519"&gt;30&lt;/key&gt;&lt;/foreign-keys&gt;&lt;ref-type name="Journal Article"&gt;17&lt;/ref-type&gt;&lt;contributors&gt;&lt;authors&gt;&lt;author&gt;Van De Velde, M.&lt;/author&gt;&lt;author&gt;Vercauteren, M.&lt;/author&gt;&lt;author&gt;Stockman, W.&lt;/author&gt;&lt;author&gt;Roelants, F.&lt;/author&gt;&lt;author&gt;Coppens, M.&lt;/author&gt;&lt;author&gt;Bauters, M.&lt;/author&gt;&lt;author&gt;Ickx, B.&lt;/author&gt;&lt;author&gt;Dewandre, P. Y.&lt;/author&gt;&lt;author&gt;Soetens, F.&lt;/author&gt;&lt;author&gt;Cant, P.&lt;/author&gt;&lt;author&gt;Van Keer, L.&lt;/author&gt;&lt;author&gt;Gautier, P.&lt;/author&gt;&lt;/authors&gt;&lt;/contributors&gt;&lt;auth-address&gt;Department of anesthesiology, University Hospitals Leuven, Leuven, Belgium. marc.vandevelde@uzleuven.be&lt;/auth-address&gt;&lt;titles&gt;&lt;title&gt;Recommendations and guidelines for obstetric anesthesia in Belgium&lt;/title&gt;&lt;secondary-title&gt;Acta Anaesthesiol Belg&lt;/secondary-title&gt;&lt;/titles&gt;&lt;periodical&gt;&lt;full-title&gt;Acta Anaesthesiol Belg&lt;/full-title&gt;&lt;/periodical&gt;&lt;pages&gt;97-104&lt;/pages&gt;&lt;number&gt;3&lt;/number&gt;&lt;keywords&gt;&lt;keyword&gt;Analgesia, Obstetrical&lt;/keyword&gt;&lt;/keywords&gt;&lt;dates&gt;&lt;year&gt;2013&lt;/year&gt;&lt;/dates&gt;&lt;accession-num&gt;2115&lt;/accession-num&gt;&lt;urls&gt;&lt;/urls&gt;&lt;/record&gt;&lt;/Cite&gt;&lt;/EndNote&gt;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51</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hideMark/>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Regional Anesthesia Associations of Belgium</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Belgium</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NR</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Recommendations and guidelines for obstetric anesthesia in Belgium</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rPr>
              <w:t>3</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rPr>
              <w:t>3</w:t>
            </w:r>
          </w:p>
        </w:tc>
      </w:tr>
      <w:bookmarkEnd w:id="4"/>
      <w:tr w:rsidR="005030DA" w:rsidRPr="00A640E9" w:rsidTr="00204E6F">
        <w:trPr>
          <w:trHeight w:val="288"/>
        </w:trPr>
        <w:tc>
          <w:tcPr>
            <w:tcW w:w="1843" w:type="dxa"/>
            <w:tcBorders>
              <w:right w:val="single" w:sz="4" w:space="0" w:color="auto"/>
            </w:tcBorders>
            <w:noWrap/>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lastRenderedPageBreak/>
              <w:t>ASHP 2013</w:t>
            </w:r>
            <w:r w:rsidRPr="008456F3">
              <w:rPr>
                <w:rFonts w:ascii="Arial" w:hAnsi="Arial" w:cs="Arial"/>
                <w:sz w:val="20"/>
                <w:szCs w:val="20"/>
                <w:lang w:val="en-US" w:eastAsia="es-MX"/>
              </w:rPr>
              <w:fldChar w:fldCharType="begin">
                <w:fldData xml:space="preserve">PEVuZE5vdGU+PENpdGU+PEF1dGhvcj5CcmF0emxlcjwvQXV0aG9yPjxZZWFyPjIwMTM8L1llYXI+
PFJlY051bT4zODwvUmVjTnVtPjxEaXNwbGF5VGV4dD48c3R5bGUgZmFjZT0ic3VwZXJzY3JpcHQi
PjUyPC9zdHlsZT48L0Rpc3BsYXlUZXh0PjxyZWNvcmQ+PHJlYy1udW1iZXI+Mzg8L3JlYy1udW1i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sz w:val="20"/>
                <w:szCs w:val="20"/>
                <w:lang w:val="en-US" w:eastAsia="es-MX"/>
              </w:rPr>
              <w:instrText xml:space="preserve"> ADDIN EN.CITE </w:instrText>
            </w:r>
            <w:r>
              <w:rPr>
                <w:rFonts w:ascii="Arial" w:hAnsi="Arial" w:cs="Arial"/>
                <w:sz w:val="20"/>
                <w:szCs w:val="20"/>
                <w:lang w:val="en-US" w:eastAsia="es-MX"/>
              </w:rPr>
              <w:fldChar w:fldCharType="begin">
                <w:fldData xml:space="preserve">PEVuZE5vdGU+PENpdGU+PEF1dGhvcj5CcmF0emxlcjwvQXV0aG9yPjxZZWFyPjIwMTM8L1llYXI+
PFJlY051bT4zODwvUmVjTnVtPjxEaXNwbGF5VGV4dD48c3R5bGUgZmFjZT0ic3VwZXJzY3JpcHQi
PjUyPC9zdHlsZT48L0Rpc3BsYXlUZXh0PjxyZWNvcmQ+PHJlYy1udW1iZXI+Mzg8L3JlYy1udW1i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sz w:val="20"/>
                <w:szCs w:val="20"/>
                <w:lang w:val="en-US" w:eastAsia="es-MX"/>
              </w:rPr>
              <w:instrText xml:space="preserve"> ADDIN EN.CITE.DATA </w:instrText>
            </w:r>
            <w:r>
              <w:rPr>
                <w:rFonts w:ascii="Arial" w:hAnsi="Arial" w:cs="Arial"/>
                <w:sz w:val="20"/>
                <w:szCs w:val="20"/>
                <w:lang w:val="en-US" w:eastAsia="es-MX"/>
              </w:rPr>
            </w:r>
            <w:r>
              <w:rPr>
                <w:rFonts w:ascii="Arial" w:hAnsi="Arial" w:cs="Arial"/>
                <w:sz w:val="20"/>
                <w:szCs w:val="20"/>
                <w:lang w:val="en-US" w:eastAsia="es-MX"/>
              </w:rPr>
              <w:fldChar w:fldCharType="end"/>
            </w:r>
            <w:r w:rsidRPr="008456F3">
              <w:rPr>
                <w:rFonts w:ascii="Arial" w:hAnsi="Arial" w:cs="Arial"/>
                <w:sz w:val="20"/>
                <w:szCs w:val="20"/>
                <w:lang w:val="en-US" w:eastAsia="es-MX"/>
              </w:rPr>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52</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American Society of Health-System Pharmacists</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U.S.</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2010</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Clinical practice guidelines for antimicrobial prophylaxis in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lang w:eastAsia="es-MX"/>
              </w:rPr>
              <w:t>5.5</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lang w:eastAsia="es-MX"/>
              </w:rPr>
              <w:t>5.5</w:t>
            </w:r>
          </w:p>
        </w:tc>
      </w:tr>
      <w:tr w:rsidR="005030DA" w:rsidRPr="00A640E9" w:rsidTr="00204E6F">
        <w:trPr>
          <w:trHeight w:val="288"/>
        </w:trPr>
        <w:tc>
          <w:tcPr>
            <w:tcW w:w="1843" w:type="dxa"/>
            <w:tcBorders>
              <w:right w:val="single" w:sz="4" w:space="0" w:color="auto"/>
            </w:tcBorders>
            <w:noWrap/>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SIGN 2014</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&lt;EndNote&gt;&lt;Cite&gt;&lt;Author&gt;SIGN&lt;/Author&gt;&lt;Year&gt;2014&lt;/Year&gt;&lt;RecNum&gt;35&lt;/RecNum&gt;&lt;DisplayText&gt;&lt;style face="superscript"&gt;53&lt;/style&gt;&lt;/DisplayText&gt;&lt;record&gt;&lt;rec-number&gt;35&lt;/rec-number&gt;&lt;foreign-keys&gt;&lt;key app="EN" db-id="025f5v9pw5xexpe9et6xdvwkdefettsztx2t" timestamp="1512147416"&gt;35&lt;/key&gt;&lt;key app="ENWeb" db-id=""&gt;0&lt;/key&gt;&lt;/foreign-keys&gt;&lt;ref-type name="Web Page"&gt;12&lt;/ref-type&gt;&lt;contributors&gt;&lt;authors&gt;&lt;author&gt;SIGN&lt;/author&gt;&lt;/authors&gt;&lt;/contributors&gt;&lt;titles&gt;&lt;title&gt;Antibiotic prophylaxis in surgery A national clinical guideline.&lt;/title&gt;&lt;/titles&gt;&lt;number&gt;12/1/2017&lt;/number&gt;&lt;dates&gt;&lt;year&gt;2014&lt;/year&gt;&lt;/dates&gt;&lt;pub-location&gt;Edinburgh.&lt;/pub-location&gt;&lt;publisher&gt;Scottish Intercollegiate Guidelines Network (SIGN)&lt;/publisher&gt;&lt;urls&gt;&lt;related-urls&gt;&lt;url&gt;http://www.sign.ac.uk/assets/sign104.pdf&lt;/url&gt;&lt;/related-urls&gt;&lt;/urls&gt;&lt;/record&gt;&lt;/Cite&gt;&lt;/EndNote&gt;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53</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Scottish Intercollegiate Guidelines Network</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Scotland</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2007</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Antimicrobial prophylaxis in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lang w:eastAsia="es-MX"/>
              </w:rPr>
              <w:t>6.5</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lang w:eastAsia="es-MX"/>
              </w:rPr>
              <w:t>6.5</w:t>
            </w:r>
          </w:p>
        </w:tc>
      </w:tr>
      <w:tr w:rsidR="005030DA" w:rsidRPr="00A640E9" w:rsidTr="00204E6F">
        <w:trPr>
          <w:trHeight w:val="288"/>
        </w:trPr>
        <w:tc>
          <w:tcPr>
            <w:tcW w:w="1843" w:type="dxa"/>
            <w:tcBorders>
              <w:right w:val="single" w:sz="4" w:space="0" w:color="auto"/>
            </w:tcBorders>
            <w:noWrap/>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eastAsia="es-MX"/>
              </w:rPr>
              <w:t>CDC 2017</w:t>
            </w:r>
            <w:r w:rsidRPr="008456F3">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&lt;EndNote&gt;&lt;Cite&gt;&lt;Author&gt;Berrios-Torres&lt;/Author&gt;&lt;Year&gt;2017&lt;/Year&gt;&lt;RecNum&gt;36&lt;/RecNum&gt;&lt;DisplayText&gt;&lt;style face="superscript"&gt;54&lt;/style&gt;&lt;/DisplayText&gt;&lt;record&gt;&lt;rec-number&gt;36&lt;/rec-number&gt;&lt;foreign-keys&gt;&lt;key app="EN" db-id="025f5v9pw5xexpe9et6xdvwkdefettsztx2t" timestamp="1512148988"&gt;36&lt;/key&gt;&lt;/foreign-keys&gt;&lt;ref-type name="Journal Article"&gt;17&lt;/ref-type&gt;&lt;contributors&gt;&lt;authors&gt;&lt;author&gt;Berrios-Torres, S. I.&lt;/author&gt;&lt;author&gt;Umscheid, C. A.&lt;/author&gt;&lt;author&gt;Bratzler, D. W.&lt;/author&gt;&lt;author&gt;Leas, B.&lt;/author&gt;&lt;author&gt;Stone, E. C.&lt;/author&gt;&lt;author&gt;Kelz, R. R.&lt;/author&gt;&lt;author&gt;Reinke, C. E.&lt;/author&gt;&lt;author&gt;Morgan, S.&lt;/author&gt;&lt;author&gt;Solomkin, J. S.&lt;/author&gt;&lt;author&gt;Mazuski, J. E.&lt;/author&gt;&lt;author&gt;Dellinger, E. P.&lt;/author&gt;&lt;author&gt;Itani, K. M. F.&lt;/author&gt;&lt;author&gt;Berbari, E. F.&lt;/author&gt;&lt;author&gt;Segreti, J.&lt;/author&gt;&lt;author&gt;Parvizi, J.&lt;/author&gt;&lt;author&gt;Blanchard, J.&lt;/author&gt;&lt;author&gt;Allen, G.&lt;/author&gt;&lt;author&gt;Kluytmans, Jajw&lt;/author&gt;&lt;author&gt;Donlan, R.&lt;/author&gt;&lt;author&gt;Schecter, W. P.&lt;/author&gt;&lt;/authors&gt;&lt;/contributors&gt;&lt;auth-address&gt;Division of Healthcare Quality Promotion, Centers for Disease Control and Prevention, Atlanta, Georgia.&lt;/auth-address&gt;&lt;titles&gt;&lt;title&gt;Centers for Disease Control and Prevention Guideline for the Prevention of Surgical Site Infection, 2017&lt;/title&gt;&lt;secondary-title&gt;JAMA Surg&lt;/secondary-title&gt;&lt;/titles&gt;&lt;periodical&gt;&lt;full-title&gt;JAMA Surg&lt;/full-title&gt;&lt;/periodical&gt;&lt;pages&gt;784-791&lt;/pages&gt;&lt;number&gt;8&lt;/number&gt;&lt;dates&gt;&lt;year&gt;2017&lt;/year&gt;&lt;/dates&gt;&lt;accession-num&gt;2&lt;/accession-num&gt;&lt;urls&gt;&lt;/urls&gt;&lt;electronic-resource-num&gt;10.1001/jamasurg.2017.0904&lt;/electronic-resource-num&gt;&lt;/record&gt;&lt;/Cite&gt;&lt;/EndNote&gt;</w:instrText>
            </w:r>
            <w:r w:rsidRPr="008456F3">
              <w:rPr>
                <w:rFonts w:ascii="Arial" w:hAnsi="Arial" w:cs="Arial"/>
                <w:sz w:val="20"/>
                <w:szCs w:val="20"/>
                <w:lang w:val="en-US" w:eastAsia="es-MX"/>
              </w:rPr>
              <w:fldChar w:fldCharType="separate"/>
            </w:r>
            <w:r w:rsidRPr="00EB4CA3">
              <w:rPr>
                <w:rFonts w:ascii="Arial" w:hAnsi="Arial" w:cs="Arial"/>
                <w:noProof/>
                <w:sz w:val="20"/>
                <w:szCs w:val="20"/>
                <w:vertAlign w:val="superscript"/>
                <w:lang w:val="en-US" w:eastAsia="es-MX"/>
              </w:rPr>
              <w:t>54</w:t>
            </w:r>
            <w:r w:rsidRPr="008456F3">
              <w:rPr>
                <w:rFonts w:ascii="Arial" w:hAnsi="Arial" w:cs="Arial"/>
                <w:sz w:val="20"/>
                <w:szCs w:val="20"/>
                <w:lang w:val="en-US" w:eastAsia="es-MX"/>
              </w:rPr>
              <w:fldChar w:fldCharType="end"/>
            </w:r>
          </w:p>
        </w:tc>
        <w:tc>
          <w:tcPr>
            <w:tcW w:w="3402" w:type="dxa"/>
            <w:tcBorders>
              <w:left w:val="single" w:sz="4" w:space="0" w:color="auto"/>
            </w:tcBorders>
            <w:noWrap/>
            <w:vAlign w:val="center"/>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Center for Disease Control</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U.S.</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2014</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Guideline for the prevention of surgical site infections</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lang w:eastAsia="es-MX"/>
              </w:rPr>
              <w:t>6</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lang w:eastAsia="es-MX"/>
              </w:rPr>
              <w:t>6</w:t>
            </w:r>
          </w:p>
        </w:tc>
      </w:tr>
      <w:tr w:rsidR="005030DA" w:rsidRPr="00A640E9" w:rsidTr="00204E6F">
        <w:trPr>
          <w:trHeight w:val="288"/>
        </w:trPr>
        <w:tc>
          <w:tcPr>
            <w:tcW w:w="1843" w:type="dxa"/>
            <w:tcBorders>
              <w:right w:val="single" w:sz="4" w:space="0" w:color="auto"/>
            </w:tcBorders>
            <w:noWrap/>
          </w:tcPr>
          <w:p w:rsidR="005030DA" w:rsidRPr="008456F3" w:rsidRDefault="005030DA" w:rsidP="00204E6F">
            <w:pPr>
              <w:ind w:right="-110"/>
              <w:rPr>
                <w:rFonts w:ascii="Arial" w:hAnsi="Arial" w:cs="Arial"/>
                <w:sz w:val="20"/>
                <w:szCs w:val="20"/>
                <w:lang w:val="en-US" w:eastAsia="es-MX"/>
              </w:rPr>
            </w:pPr>
            <w:r w:rsidRPr="008456F3">
              <w:rPr>
                <w:rFonts w:ascii="Arial" w:hAnsi="Arial" w:cs="Arial"/>
                <w:sz w:val="20"/>
                <w:szCs w:val="20"/>
                <w:lang w:val="en-US"/>
              </w:rPr>
              <w:t>PNLG 2009</w:t>
            </w:r>
            <w:r w:rsidRPr="008456F3">
              <w:rPr>
                <w:rFonts w:ascii="Arial" w:hAnsi="Arial" w:cs="Arial"/>
                <w:sz w:val="20"/>
                <w:szCs w:val="20"/>
                <w:lang w:val="en-US"/>
              </w:rPr>
              <w:fldChar w:fldCharType="begin"/>
            </w:r>
            <w:r>
              <w:rPr>
                <w:rFonts w:ascii="Arial" w:hAnsi="Arial" w:cs="Arial"/>
                <w:sz w:val="20"/>
                <w:szCs w:val="20"/>
                <w:lang w:val="en-US"/>
              </w:rPr>
              <w:instrText xml:space="preserve"> ADDIN EN.CITE &lt;EndNote&gt;&lt;Cite&gt;&lt;Author&gt;Calise&lt;/Author&gt;&lt;Year&gt;2009&lt;/Year&gt;&lt;RecNum&gt;40&lt;/RecNum&gt;&lt;DisplayText&gt;&lt;style face="superscript"&gt;55&lt;/style&gt;&lt;/DisplayText&gt;&lt;record&gt;&lt;rec-number&gt;40&lt;/rec-number&gt;&lt;foreign-keys&gt;&lt;key app="EN" db-id="025f5v9pw5xexpe9et6xdvwkdefettsztx2t" timestamp="1512149514"&gt;40&lt;/key&gt;&lt;/foreign-keys&gt;&lt;ref-type name="Journal Article"&gt;17&lt;/ref-type&gt;&lt;contributors&gt;&lt;authors&gt;&lt;author&gt;Calise, F.&lt;/author&gt;&lt;author&gt;Capussotti, L.&lt;/author&gt;&lt;author&gt;Caterino, S.&lt;/author&gt;&lt;author&gt;Delitala, A.&lt;/author&gt;&lt;author&gt;Terrazzi, P.&lt;/author&gt;&lt;author&gt;Francucci, M.&lt;/author&gt;&lt;author&gt;Gaspari, A.&lt;/author&gt;&lt;author&gt;Langer, M.&lt;/author&gt;&lt;author&gt;Marata, A. M.&lt;/author&gt;&lt;author&gt;Martelli, C.&lt;/author&gt;&lt;author&gt;Moro, M. L.&lt;/author&gt;&lt;author&gt;Pantosti, A.&lt;/author&gt;&lt;author&gt;Passali, D.&lt;/author&gt;&lt;author&gt;Petrosillo, N.&lt;/author&gt;&lt;author&gt;Polastri, R.&lt;/author&gt;&lt;author&gt;Rossolini, G. M.&lt;/author&gt;&lt;author&gt;Santaniello, W.&lt;/author&gt;&lt;author&gt;Scaglione, F.&lt;/author&gt;&lt;author&gt;Ziparo, V.&lt;/author&gt;&lt;/authors&gt;&lt;/contributors&gt;&lt;auth-address&gt;Unit of Hepatobiliary Surgery and Liver Transplantation, Cardarelli Hospital, Naples, Italy. fulvio.calise@ospedalecardarelli.it&lt;/auth-address&gt;&lt;titles&gt;&lt;title&gt;Perioperative antibiotic prophylaxis in adults. Outline of the principal recommendations. National reference guidelines&lt;/title&gt;&lt;secondary-title&gt;Minerva Anestesiol&lt;/secondary-title&gt;&lt;/titles&gt;&lt;periodical&gt;&lt;full-title&gt;Minerva Anestesiol&lt;/full-title&gt;&lt;/periodical&gt;&lt;pages&gt;543-7, 548-52&lt;/pages&gt;&lt;volume&gt;75&lt;/volume&gt;&lt;number&gt;9&lt;/number&gt;&lt;keywords&gt;&lt;keyword&gt;Adult&lt;/keyword&gt;&lt;keyword&gt;Antibiotic Prophylaxis/*standards&lt;/keyword&gt;&lt;keyword&gt;*Guidelines as Topic&lt;/keyword&gt;&lt;keyword&gt;Humans&lt;/keyword&gt;&lt;keyword&gt;Italy&lt;/keyword&gt;&lt;keyword&gt;Perioperative Care&lt;/keyword&gt;&lt;keyword&gt;Risk Factors&lt;/keyword&gt;&lt;keyword&gt;Surgical Wound Infection/prevention &amp;amp; control&lt;/keyword&gt;&lt;/keywords&gt;&lt;dates&gt;&lt;year&gt;2009&lt;/year&gt;&lt;pub-dates&gt;&lt;date&gt;Sep&lt;/date&gt;&lt;/pub-dates&gt;&lt;/dates&gt;&lt;isbn&gt;1827-1596 (Electronic)&amp;#xD;0375-9393 (Linking)&lt;/isbn&gt;&lt;accession-num&gt;19644438&lt;/accession-num&gt;&lt;urls&gt;&lt;related-urls&gt;&lt;url&gt;https://www.ncbi.nlm.nih.gov/pubmed/19644438&lt;/url&gt;&lt;/related-urls&gt;&lt;/urls&gt;&lt;/record&gt;&lt;/Cite&gt;&lt;/EndNote&gt;</w:instrText>
            </w:r>
            <w:r w:rsidRPr="008456F3">
              <w:rPr>
                <w:rFonts w:ascii="Arial" w:hAnsi="Arial" w:cs="Arial"/>
                <w:sz w:val="20"/>
                <w:szCs w:val="20"/>
                <w:lang w:val="en-US"/>
              </w:rPr>
              <w:fldChar w:fldCharType="separate"/>
            </w:r>
            <w:r w:rsidRPr="00EB4CA3">
              <w:rPr>
                <w:rFonts w:ascii="Arial" w:hAnsi="Arial" w:cs="Arial"/>
                <w:noProof/>
                <w:sz w:val="20"/>
                <w:szCs w:val="20"/>
                <w:vertAlign w:val="superscript"/>
                <w:lang w:val="en-US"/>
              </w:rPr>
              <w:t>55</w:t>
            </w:r>
            <w:r w:rsidRPr="008456F3">
              <w:rPr>
                <w:rFonts w:ascii="Arial" w:hAnsi="Arial" w:cs="Arial"/>
                <w:sz w:val="20"/>
                <w:szCs w:val="20"/>
                <w:lang w:val="en-US"/>
              </w:rPr>
              <w:fldChar w:fldCharType="end"/>
            </w:r>
          </w:p>
        </w:tc>
        <w:tc>
          <w:tcPr>
            <w:tcW w:w="3402" w:type="dxa"/>
            <w:tcBorders>
              <w:left w:val="single" w:sz="4" w:space="0" w:color="auto"/>
            </w:tcBorders>
            <w:noWrap/>
            <w:vAlign w:val="center"/>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National Program of Italian Guides</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Italy</w:t>
            </w:r>
          </w:p>
        </w:tc>
        <w:tc>
          <w:tcPr>
            <w:tcW w:w="1276" w:type="dxa"/>
            <w:vAlign w:val="center"/>
          </w:tcPr>
          <w:p w:rsidR="005030DA" w:rsidRPr="00EB4CA3" w:rsidRDefault="005030DA" w:rsidP="00204E6F">
            <w:pPr>
              <w:ind w:left="-113" w:right="-108"/>
              <w:jc w:val="center"/>
              <w:rPr>
                <w:rFonts w:ascii="Arial" w:hAnsi="Arial" w:cs="Arial"/>
                <w:sz w:val="18"/>
                <w:szCs w:val="18"/>
                <w:lang w:val="en-US" w:eastAsia="es-MX"/>
              </w:rPr>
            </w:pPr>
            <w:r w:rsidRPr="00EB4CA3">
              <w:rPr>
                <w:rStyle w:val="notranslate"/>
                <w:rFonts w:ascii="Arial" w:hAnsi="Arial" w:cs="Arial"/>
                <w:color w:val="222222"/>
                <w:sz w:val="18"/>
                <w:szCs w:val="18"/>
                <w:lang w:val="en-US"/>
              </w:rPr>
              <w:t>NR</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Perioperative antibiotic prophylaxis in adults</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lang w:eastAsia="es-MX"/>
              </w:rPr>
              <w:t>3</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lang w:eastAsia="es-MX"/>
              </w:rPr>
              <w:t>3</w:t>
            </w:r>
          </w:p>
        </w:tc>
      </w:tr>
      <w:tr w:rsidR="005030DA" w:rsidRPr="00A640E9" w:rsidTr="00204E6F">
        <w:trPr>
          <w:trHeight w:val="288"/>
        </w:trPr>
        <w:tc>
          <w:tcPr>
            <w:tcW w:w="1843" w:type="dxa"/>
            <w:tcBorders>
              <w:right w:val="single" w:sz="4" w:space="0" w:color="auto"/>
            </w:tcBorders>
            <w:noWrap/>
          </w:tcPr>
          <w:p w:rsidR="005030DA" w:rsidRPr="008456F3" w:rsidRDefault="005030DA" w:rsidP="00204E6F">
            <w:pPr>
              <w:ind w:right="-110"/>
              <w:rPr>
                <w:rFonts w:ascii="Arial" w:hAnsi="Arial" w:cs="Arial"/>
                <w:sz w:val="20"/>
                <w:szCs w:val="20"/>
                <w:lang w:val="en-US"/>
              </w:rPr>
            </w:pPr>
            <w:r w:rsidRPr="008456F3">
              <w:rPr>
                <w:rFonts w:ascii="Arial" w:hAnsi="Arial" w:cs="Arial"/>
                <w:sz w:val="20"/>
                <w:szCs w:val="20"/>
                <w:lang w:val="en-US"/>
              </w:rPr>
              <w:t>SAC 2016</w:t>
            </w:r>
            <w:r w:rsidRPr="008456F3">
              <w:rPr>
                <w:rFonts w:ascii="Arial" w:hAnsi="Arial" w:cs="Arial"/>
                <w:sz w:val="20"/>
                <w:szCs w:val="20"/>
                <w:lang w:val="en-US"/>
              </w:rPr>
              <w:fldChar w:fldCharType="begin"/>
            </w:r>
            <w:r>
              <w:rPr>
                <w:rFonts w:ascii="Arial" w:hAnsi="Arial" w:cs="Arial"/>
                <w:sz w:val="20"/>
                <w:szCs w:val="20"/>
                <w:lang w:val="en-US"/>
              </w:rPr>
              <w:instrText xml:space="preserve"> ADDIN EN.CITE &lt;EndNote&gt;&lt;Cite&gt;&lt;Author&gt;Krauss&lt;/Author&gt;&lt;Year&gt;2016&lt;/Year&gt;&lt;RecNum&gt;47&lt;/RecNum&gt;&lt;DisplayText&gt;&lt;style face="superscript"&gt;56&lt;/style&gt;&lt;/DisplayText&gt;&lt;record&gt;&lt;rec-number&gt;47&lt;/rec-number&gt;&lt;foreign-keys&gt;&lt;key app="EN" db-id="025f5v9pw5xexpe9et6xdvwkdefettsztx2t" timestamp="1512593494"&gt;47&lt;/key&gt;&lt;/foreign-keys&gt;&lt;ref-type name="Journal Article"&gt;17&lt;/ref-type&gt;&lt;contributors&gt;&lt;authors&gt;&lt;author&gt;Krauss, Juan.&lt;/author&gt;&lt;/authors&gt;&lt;/contributors&gt;&lt;titles&gt;&lt;title&gt;Consenso Argentino de Evaluación de Riesgo Cardiovascular en Cirugía No Cardíaca&lt;/title&gt;&lt;secondary-title&gt;Rev. argent. cardiol.&lt;/secondary-title&gt;&lt;/titles&gt;&lt;periodical&gt;&lt;full-title&gt;Rev. argent. cardiol.&lt;/full-title&gt;&lt;/periodical&gt;&lt;pages&gt;166-183&lt;/pages&gt;&lt;volume&gt;86&lt;/volume&gt;&lt;number&gt;Suplemento 1&lt;/number&gt;&lt;section&gt;166&lt;/section&gt;&lt;dates&gt;&lt;year&gt;2016&lt;/year&gt;&lt;pub-dates&gt;&lt;date&gt;Mayo 2016&lt;/date&gt;&lt;/pub-dates&gt;&lt;/dates&gt;&lt;isbn&gt;0034-7000&lt;/isbn&gt;&lt;urls&gt;&lt;related-urls&gt;&lt;url&gt;https://dialnet.unirioja.es/servlet/articulo?codigo=5460534&lt;/url&gt;&lt;/related-urls&gt;&lt;/urls&gt;&lt;/record&gt;&lt;/Cite&gt;&lt;/EndNote&gt;</w:instrText>
            </w:r>
            <w:r w:rsidRPr="008456F3">
              <w:rPr>
                <w:rFonts w:ascii="Arial" w:hAnsi="Arial" w:cs="Arial"/>
                <w:sz w:val="20"/>
                <w:szCs w:val="20"/>
                <w:lang w:val="en-US"/>
              </w:rPr>
              <w:fldChar w:fldCharType="separate"/>
            </w:r>
            <w:r w:rsidRPr="00EB4CA3">
              <w:rPr>
                <w:rFonts w:ascii="Arial" w:hAnsi="Arial" w:cs="Arial"/>
                <w:noProof/>
                <w:sz w:val="20"/>
                <w:szCs w:val="20"/>
                <w:vertAlign w:val="superscript"/>
                <w:lang w:val="en-US"/>
              </w:rPr>
              <w:t>56</w:t>
            </w:r>
            <w:r w:rsidRPr="008456F3">
              <w:rPr>
                <w:rFonts w:ascii="Arial" w:hAnsi="Arial" w:cs="Arial"/>
                <w:sz w:val="20"/>
                <w:szCs w:val="20"/>
                <w:lang w:val="en-US"/>
              </w:rPr>
              <w:fldChar w:fldCharType="end"/>
            </w:r>
          </w:p>
        </w:tc>
        <w:tc>
          <w:tcPr>
            <w:tcW w:w="3402" w:type="dxa"/>
            <w:tcBorders>
              <w:left w:val="single" w:sz="4" w:space="0" w:color="auto"/>
            </w:tcBorders>
            <w:noWrap/>
            <w:vAlign w:val="center"/>
          </w:tcPr>
          <w:p w:rsidR="005030DA" w:rsidRPr="00EB4CA3" w:rsidRDefault="005030DA" w:rsidP="00204E6F">
            <w:pPr>
              <w:ind w:right="-107"/>
              <w:rPr>
                <w:rFonts w:ascii="Arial" w:hAnsi="Arial" w:cs="Arial"/>
                <w:sz w:val="18"/>
                <w:szCs w:val="18"/>
                <w:lang w:val="en-US" w:eastAsia="es-MX"/>
              </w:rPr>
            </w:pPr>
            <w:r w:rsidRPr="00EB4CA3">
              <w:rPr>
                <w:rStyle w:val="notranslate"/>
                <w:rFonts w:ascii="Arial" w:hAnsi="Arial" w:cs="Arial"/>
                <w:sz w:val="18"/>
                <w:szCs w:val="18"/>
                <w:lang w:val="en-US"/>
              </w:rPr>
              <w:t>Argentine Society of Cardiology</w:t>
            </w:r>
          </w:p>
        </w:tc>
        <w:tc>
          <w:tcPr>
            <w:tcW w:w="1134"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Argentina</w:t>
            </w:r>
          </w:p>
        </w:tc>
        <w:tc>
          <w:tcPr>
            <w:tcW w:w="1276" w:type="dxa"/>
            <w:vAlign w:val="center"/>
          </w:tcPr>
          <w:p w:rsidR="005030DA" w:rsidRPr="00EB4CA3" w:rsidRDefault="005030DA" w:rsidP="00204E6F">
            <w:pPr>
              <w:ind w:left="-113" w:right="-108"/>
              <w:jc w:val="center"/>
              <w:rPr>
                <w:rFonts w:ascii="Arial" w:hAnsi="Arial" w:cs="Arial"/>
                <w:color w:val="222222"/>
                <w:sz w:val="18"/>
                <w:szCs w:val="18"/>
                <w:lang w:val="en-US"/>
              </w:rPr>
            </w:pPr>
            <w:r w:rsidRPr="00EB4CA3">
              <w:rPr>
                <w:rStyle w:val="notranslate"/>
                <w:rFonts w:ascii="Arial" w:hAnsi="Arial" w:cs="Arial"/>
                <w:color w:val="222222"/>
                <w:sz w:val="18"/>
                <w:szCs w:val="18"/>
                <w:lang w:val="en-US"/>
              </w:rPr>
              <w:t>2015</w:t>
            </w:r>
          </w:p>
        </w:tc>
        <w:tc>
          <w:tcPr>
            <w:tcW w:w="5386" w:type="dxa"/>
            <w:vAlign w:val="center"/>
          </w:tcPr>
          <w:p w:rsidR="005030DA" w:rsidRPr="00EB4CA3" w:rsidRDefault="005030DA" w:rsidP="00204E6F">
            <w:pPr>
              <w:ind w:right="-109"/>
              <w:rPr>
                <w:rFonts w:ascii="Arial" w:hAnsi="Arial" w:cs="Arial"/>
                <w:sz w:val="18"/>
                <w:szCs w:val="18"/>
                <w:lang w:val="en-US" w:eastAsia="es-MX"/>
              </w:rPr>
            </w:pPr>
            <w:r w:rsidRPr="00EB4CA3">
              <w:rPr>
                <w:rStyle w:val="notranslate"/>
                <w:rFonts w:ascii="Arial" w:hAnsi="Arial" w:cs="Arial"/>
                <w:sz w:val="18"/>
                <w:szCs w:val="18"/>
                <w:lang w:val="en-US"/>
              </w:rPr>
              <w:t>Argentine Consensus on Cardiovascular Risk Assessment in Non-Cardiac Surgery</w:t>
            </w:r>
          </w:p>
        </w:tc>
        <w:tc>
          <w:tcPr>
            <w:tcW w:w="993" w:type="dxa"/>
            <w:vAlign w:val="center"/>
          </w:tcPr>
          <w:p w:rsidR="005030DA" w:rsidRPr="00EB4CA3" w:rsidRDefault="005030DA" w:rsidP="00204E6F">
            <w:pPr>
              <w:jc w:val="center"/>
              <w:rPr>
                <w:rFonts w:ascii="Arial" w:hAnsi="Arial" w:cs="Arial"/>
                <w:sz w:val="18"/>
                <w:szCs w:val="18"/>
                <w:lang w:val="en-US" w:eastAsia="es-MX"/>
              </w:rPr>
            </w:pPr>
            <w:r w:rsidRPr="00EB4CA3">
              <w:rPr>
                <w:rFonts w:ascii="Arial" w:hAnsi="Arial" w:cs="Arial"/>
                <w:b/>
                <w:sz w:val="18"/>
                <w:szCs w:val="18"/>
                <w:lang w:eastAsia="es-MX"/>
              </w:rPr>
              <w:t>6</w:t>
            </w:r>
          </w:p>
        </w:tc>
        <w:tc>
          <w:tcPr>
            <w:tcW w:w="992" w:type="dxa"/>
            <w:vAlign w:val="center"/>
          </w:tcPr>
          <w:p w:rsidR="005030DA" w:rsidRPr="00EB4CA3" w:rsidRDefault="005030DA" w:rsidP="00204E6F">
            <w:pPr>
              <w:jc w:val="center"/>
              <w:rPr>
                <w:rFonts w:ascii="Arial" w:hAnsi="Arial" w:cs="Arial"/>
                <w:sz w:val="18"/>
                <w:szCs w:val="18"/>
                <w:lang w:val="en-US" w:eastAsia="es-MX"/>
              </w:rPr>
            </w:pPr>
            <w:r w:rsidRPr="00EB4CA3">
              <w:rPr>
                <w:rStyle w:val="notranslate"/>
                <w:rFonts w:ascii="Arial" w:hAnsi="Arial" w:cs="Arial"/>
                <w:sz w:val="18"/>
                <w:szCs w:val="18"/>
                <w:lang w:val="en-US"/>
              </w:rPr>
              <w:t>Dx, Tx</w:t>
            </w:r>
          </w:p>
        </w:tc>
        <w:tc>
          <w:tcPr>
            <w:tcW w:w="992" w:type="dxa"/>
            <w:vAlign w:val="center"/>
          </w:tcPr>
          <w:p w:rsidR="005030DA" w:rsidRPr="008456F3" w:rsidRDefault="005030DA" w:rsidP="00204E6F">
            <w:pPr>
              <w:jc w:val="center"/>
              <w:rPr>
                <w:rStyle w:val="notranslate"/>
                <w:rFonts w:ascii="Arial" w:hAnsi="Arial" w:cs="Arial"/>
                <w:sz w:val="20"/>
                <w:szCs w:val="20"/>
                <w:lang w:val="en-US"/>
              </w:rPr>
            </w:pPr>
            <w:r w:rsidRPr="007146E7">
              <w:rPr>
                <w:rFonts w:ascii="Arial" w:hAnsi="Arial" w:cs="Arial"/>
                <w:b/>
                <w:sz w:val="20"/>
                <w:szCs w:val="20"/>
                <w:lang w:eastAsia="es-MX"/>
              </w:rPr>
              <w:t>6</w:t>
            </w:r>
          </w:p>
        </w:tc>
      </w:tr>
    </w:tbl>
    <w:bookmarkEnd w:id="3"/>
    <w:p w:rsidR="005030DA" w:rsidRDefault="005030DA" w:rsidP="005030DA">
      <w:pPr>
        <w:spacing w:after="200" w:line="276" w:lineRule="auto"/>
        <w:ind w:left="-709" w:right="-710"/>
        <w:jc w:val="both"/>
        <w:rPr>
          <w:rStyle w:val="notranslate"/>
          <w:rFonts w:ascii="Arial" w:hAnsi="Arial" w:cs="Arial"/>
          <w:color w:val="000000"/>
          <w:sz w:val="18"/>
          <w:lang w:val="en-US"/>
        </w:rPr>
        <w:sectPr w:rsidR="005030DA" w:rsidSect="00EB4CA3">
          <w:footerReference w:type="default" r:id="rId5"/>
          <w:footerReference w:type="first" r:id="rId6"/>
          <w:pgSz w:w="16838" w:h="11906" w:orient="landscape" w:code="9"/>
          <w:pgMar w:top="1701" w:right="1701" w:bottom="1701" w:left="1701" w:header="964" w:footer="567" w:gutter="0"/>
          <w:cols w:space="720"/>
          <w:titlePg/>
          <w:docGrid w:linePitch="326" w:charSpace="32768"/>
        </w:sectPr>
      </w:pPr>
      <w:r w:rsidRPr="00EB4CA3">
        <w:rPr>
          <w:rStyle w:val="notranslate"/>
          <w:rFonts w:ascii="Arial" w:hAnsi="Arial" w:cs="Arial"/>
          <w:b/>
          <w:bCs/>
          <w:color w:val="000000"/>
          <w:sz w:val="18"/>
          <w:lang w:val="en-US"/>
        </w:rPr>
        <w:t>NR</w:t>
      </w:r>
      <w:r w:rsidRPr="00EB4CA3">
        <w:rPr>
          <w:rStyle w:val="notranslate"/>
          <w:rFonts w:ascii="Arial" w:hAnsi="Arial" w:cs="Arial"/>
          <w:color w:val="000000"/>
          <w:sz w:val="18"/>
          <w:lang w:val="en-US"/>
        </w:rPr>
        <w:t>: Not reported.</w:t>
      </w:r>
      <w:r w:rsidRPr="00EB4CA3">
        <w:rPr>
          <w:rFonts w:ascii="Arial" w:hAnsi="Arial" w:cs="Arial"/>
          <w:color w:val="000000"/>
          <w:sz w:val="18"/>
          <w:lang w:val="en-US"/>
        </w:rPr>
        <w:t>   </w:t>
      </w:r>
      <w:r w:rsidRPr="00EB4CA3">
        <w:rPr>
          <w:rStyle w:val="notranslate"/>
          <w:rFonts w:ascii="Arial" w:hAnsi="Arial" w:cs="Arial"/>
          <w:b/>
          <w:bCs/>
          <w:color w:val="000000"/>
          <w:sz w:val="18"/>
          <w:lang w:val="en-US"/>
        </w:rPr>
        <w:t>*</w:t>
      </w:r>
      <w:r w:rsidRPr="00EB4CA3">
        <w:rPr>
          <w:rStyle w:val="notranslate"/>
          <w:rFonts w:ascii="Arial" w:hAnsi="Arial" w:cs="Arial"/>
          <w:color w:val="000000"/>
          <w:sz w:val="18"/>
          <w:lang w:val="en-US"/>
        </w:rPr>
        <w:t>Diagnostic practice (</w:t>
      </w:r>
      <w:r w:rsidRPr="00EB4CA3">
        <w:rPr>
          <w:rStyle w:val="notranslate"/>
          <w:rFonts w:ascii="Arial" w:hAnsi="Arial" w:cs="Arial"/>
          <w:b/>
          <w:bCs/>
          <w:color w:val="000000"/>
          <w:sz w:val="18"/>
          <w:lang w:val="en-US"/>
        </w:rPr>
        <w:t>Dx</w:t>
      </w:r>
      <w:r w:rsidRPr="00EB4CA3">
        <w:rPr>
          <w:rStyle w:val="notranslate"/>
          <w:rFonts w:ascii="Arial" w:hAnsi="Arial" w:cs="Arial"/>
          <w:color w:val="000000"/>
          <w:sz w:val="18"/>
          <w:lang w:val="en-US"/>
        </w:rPr>
        <w:t>), therapeutic/preventive (</w:t>
      </w:r>
      <w:r w:rsidRPr="00EB4CA3">
        <w:rPr>
          <w:rStyle w:val="notranslate"/>
          <w:rFonts w:ascii="Arial" w:hAnsi="Arial" w:cs="Arial"/>
          <w:b/>
          <w:bCs/>
          <w:color w:val="000000"/>
          <w:sz w:val="18"/>
          <w:lang w:val="en-US"/>
        </w:rPr>
        <w:t>Tx</w:t>
      </w:r>
      <w:r w:rsidRPr="00EB4CA3">
        <w:rPr>
          <w:rStyle w:val="notranslate"/>
          <w:rFonts w:ascii="Arial" w:hAnsi="Arial" w:cs="Arial"/>
          <w:color w:val="000000"/>
          <w:sz w:val="18"/>
          <w:lang w:val="en-US"/>
        </w:rPr>
        <w:t xml:space="preserve">). </w:t>
      </w:r>
      <w:r>
        <w:rPr>
          <w:rFonts w:ascii="Arial" w:hAnsi="Arial" w:cs="Arial"/>
          <w:b/>
          <w:sz w:val="20"/>
          <w:vertAlign w:val="superscript"/>
          <w:lang w:val="en-US" w:eastAsia="es-MX"/>
        </w:rPr>
        <w:t>§</w:t>
      </w:r>
      <w:r w:rsidRPr="00EB4CA3">
        <w:rPr>
          <w:rStyle w:val="notranslate"/>
          <w:rFonts w:ascii="Arial" w:hAnsi="Arial" w:cs="Arial"/>
          <w:color w:val="000000"/>
          <w:sz w:val="18"/>
          <w:lang w:val="en-US"/>
        </w:rPr>
        <w:t xml:space="preserve">Based on AGREE-II tool. See supplemental materials for more details; </w:t>
      </w:r>
      <w:bookmarkStart w:id="5" w:name="_Hlk532725028"/>
      <w:r w:rsidRPr="00EB4CA3">
        <w:rPr>
          <w:rStyle w:val="notranslate"/>
          <w:rFonts w:ascii="Franklin Gothic Medium" w:hAnsi="Franklin Gothic Medium" w:cs="Arial"/>
          <w:sz w:val="18"/>
          <w:szCs w:val="20"/>
          <w:vertAlign w:val="superscript"/>
          <w:lang w:val="en-US"/>
        </w:rPr>
        <w:t>†</w:t>
      </w:r>
      <w:r w:rsidRPr="00EB4CA3">
        <w:rPr>
          <w:rStyle w:val="notranslate"/>
          <w:rFonts w:ascii="Franklin Gothic Medium" w:hAnsi="Franklin Gothic Medium" w:cs="Arial"/>
          <w:sz w:val="18"/>
          <w:szCs w:val="20"/>
          <w:lang w:val="en-US"/>
        </w:rPr>
        <w:t xml:space="preserve"> </w:t>
      </w:r>
      <w:r w:rsidRPr="00EB4CA3">
        <w:rPr>
          <w:rStyle w:val="notranslate"/>
          <w:rFonts w:ascii="Arial" w:hAnsi="Arial" w:cs="Arial"/>
          <w:color w:val="000000"/>
          <w:sz w:val="18"/>
          <w:lang w:val="en-US"/>
        </w:rPr>
        <w:t>The whole continent</w:t>
      </w:r>
      <w:bookmarkEnd w:id="5"/>
    </w:p>
    <w:p w:rsidR="005030DA" w:rsidRPr="00DD7881" w:rsidRDefault="005030DA" w:rsidP="005030DA">
      <w:pPr>
        <w:keepNext/>
        <w:keepLines/>
        <w:spacing w:before="40" w:after="0" w:line="360" w:lineRule="auto"/>
        <w:outlineLvl w:val="1"/>
        <w:rPr>
          <w:rFonts w:ascii="Arial" w:eastAsiaTheme="majorEastAsia" w:hAnsi="Arial" w:cs="Arial"/>
          <w:b/>
          <w:color w:val="2F5496" w:themeColor="accent1" w:themeShade="BF"/>
          <w:sz w:val="20"/>
          <w:szCs w:val="20"/>
          <w:lang w:val="en-US"/>
        </w:rPr>
      </w:pPr>
      <w:r w:rsidRPr="00DD7881">
        <w:rPr>
          <w:rFonts w:ascii="Arial" w:eastAsiaTheme="majorEastAsia" w:hAnsi="Arial" w:cs="Arial"/>
          <w:b/>
          <w:color w:val="2F5496" w:themeColor="accent1" w:themeShade="BF"/>
          <w:sz w:val="20"/>
          <w:szCs w:val="20"/>
          <w:lang w:val="en-US"/>
        </w:rPr>
        <w:lastRenderedPageBreak/>
        <w:t xml:space="preserve">Table </w:t>
      </w:r>
      <w:r w:rsidRPr="00DD7881">
        <w:rPr>
          <w:rFonts w:ascii="Arial" w:eastAsiaTheme="majorEastAsia" w:hAnsi="Arial" w:cs="Arial"/>
          <w:b/>
          <w:color w:val="2F5496" w:themeColor="accent1" w:themeShade="BF"/>
          <w:sz w:val="20"/>
          <w:szCs w:val="20"/>
        </w:rPr>
        <w:fldChar w:fldCharType="begin"/>
      </w:r>
      <w:r w:rsidRPr="00DD7881">
        <w:rPr>
          <w:rFonts w:ascii="Arial" w:eastAsiaTheme="majorEastAsia" w:hAnsi="Arial" w:cs="Arial"/>
          <w:b/>
          <w:color w:val="2F5496" w:themeColor="accent1" w:themeShade="BF"/>
          <w:sz w:val="20"/>
          <w:szCs w:val="20"/>
          <w:lang w:val="en-US"/>
        </w:rPr>
        <w:instrText xml:space="preserve"> SEQ Tabla \* ARABIC </w:instrText>
      </w:r>
      <w:r w:rsidRPr="00DD7881">
        <w:rPr>
          <w:rFonts w:ascii="Arial" w:eastAsiaTheme="majorEastAsia" w:hAnsi="Arial" w:cs="Arial"/>
          <w:b/>
          <w:color w:val="2F5496" w:themeColor="accent1" w:themeShade="BF"/>
          <w:sz w:val="20"/>
          <w:szCs w:val="20"/>
        </w:rPr>
        <w:fldChar w:fldCharType="separate"/>
      </w:r>
      <w:r w:rsidRPr="00DD7881">
        <w:rPr>
          <w:rFonts w:ascii="Arial" w:eastAsiaTheme="majorEastAsia" w:hAnsi="Arial" w:cs="Arial"/>
          <w:b/>
          <w:noProof/>
          <w:color w:val="2F5496" w:themeColor="accent1" w:themeShade="BF"/>
          <w:sz w:val="20"/>
          <w:szCs w:val="20"/>
          <w:lang w:val="en-US"/>
        </w:rPr>
        <w:t>2</w:t>
      </w:r>
      <w:r w:rsidRPr="00DD7881">
        <w:rPr>
          <w:rFonts w:ascii="Arial" w:eastAsiaTheme="majorEastAsia" w:hAnsi="Arial" w:cs="Arial"/>
          <w:b/>
          <w:color w:val="2F5496" w:themeColor="accent1" w:themeShade="BF"/>
          <w:sz w:val="20"/>
          <w:szCs w:val="20"/>
        </w:rPr>
        <w:fldChar w:fldCharType="end"/>
      </w:r>
      <w:r w:rsidRPr="00DD7881">
        <w:rPr>
          <w:rFonts w:ascii="Arial" w:eastAsiaTheme="majorEastAsia" w:hAnsi="Arial" w:cs="Arial"/>
          <w:b/>
          <w:color w:val="2F5496" w:themeColor="accent1" w:themeShade="BF"/>
          <w:sz w:val="20"/>
          <w:szCs w:val="20"/>
          <w:lang w:val="en-US"/>
        </w:rPr>
        <w:t xml:space="preserve">. </w:t>
      </w:r>
      <w:r>
        <w:rPr>
          <w:rFonts w:ascii="Arial" w:eastAsiaTheme="majorEastAsia" w:hAnsi="Arial" w:cs="Arial"/>
          <w:b/>
          <w:color w:val="2F5496" w:themeColor="accent1" w:themeShade="BF"/>
          <w:sz w:val="20"/>
          <w:szCs w:val="20"/>
          <w:lang w:val="en-US"/>
        </w:rPr>
        <w:t>R</w:t>
      </w:r>
      <w:r w:rsidRPr="00146E8C">
        <w:rPr>
          <w:rFonts w:ascii="Arial" w:eastAsiaTheme="majorEastAsia" w:hAnsi="Arial" w:cs="Arial"/>
          <w:b/>
          <w:color w:val="2F5496" w:themeColor="accent1" w:themeShade="BF"/>
          <w:sz w:val="20"/>
          <w:szCs w:val="20"/>
          <w:lang w:val="en-US"/>
        </w:rPr>
        <w:t>isk stratification</w:t>
      </w:r>
      <w:r w:rsidRPr="00DD7881">
        <w:rPr>
          <w:rFonts w:ascii="Arial" w:eastAsiaTheme="majorEastAsia" w:hAnsi="Arial" w:cs="Arial"/>
          <w:b/>
          <w:color w:val="2F5496" w:themeColor="accent1" w:themeShade="BF"/>
          <w:sz w:val="20"/>
          <w:szCs w:val="20"/>
          <w:lang w:val="en-US"/>
        </w:rPr>
        <w:t xml:space="preserve">, GRADE level of evidence and strength of recommendation* by </w:t>
      </w:r>
      <w:r>
        <w:rPr>
          <w:rFonts w:ascii="Arial" w:eastAsiaTheme="majorEastAsia" w:hAnsi="Arial" w:cs="Arial"/>
          <w:b/>
          <w:color w:val="2F5496" w:themeColor="accent1" w:themeShade="BF"/>
          <w:sz w:val="20"/>
          <w:szCs w:val="20"/>
          <w:lang w:val="en-US"/>
        </w:rPr>
        <w:t xml:space="preserve">clinical </w:t>
      </w:r>
      <w:r w:rsidRPr="00DD7881">
        <w:rPr>
          <w:rFonts w:ascii="Arial" w:eastAsiaTheme="majorEastAsia" w:hAnsi="Arial" w:cs="Arial"/>
          <w:b/>
          <w:color w:val="2F5496" w:themeColor="accent1" w:themeShade="BF"/>
          <w:sz w:val="20"/>
          <w:szCs w:val="20"/>
          <w:lang w:val="en-US"/>
        </w:rPr>
        <w:t>specialti</w:t>
      </w:r>
      <w:r>
        <w:rPr>
          <w:rFonts w:ascii="Arial" w:eastAsiaTheme="majorEastAsia" w:hAnsi="Arial" w:cs="Arial"/>
          <w:b/>
          <w:color w:val="2F5496" w:themeColor="accent1" w:themeShade="BF"/>
          <w:sz w:val="20"/>
          <w:szCs w:val="20"/>
          <w:lang w:val="en-US"/>
        </w:rPr>
        <w:t>es</w:t>
      </w:r>
    </w:p>
    <w:tbl>
      <w:tblPr>
        <w:tblpPr w:leftFromText="180" w:rightFromText="180" w:vertAnchor="text" w:tblpX="-726" w:tblpY="1"/>
        <w:tblOverlap w:val="never"/>
        <w:tblW w:w="10463" w:type="dxa"/>
        <w:tblLayout w:type="fixed"/>
        <w:tblCellMar>
          <w:left w:w="0" w:type="dxa"/>
          <w:right w:w="0" w:type="dxa"/>
        </w:tblCellMar>
        <w:tblLook w:val="0620" w:firstRow="1" w:lastRow="0" w:firstColumn="0" w:lastColumn="0" w:noHBand="1" w:noVBand="1"/>
      </w:tblPr>
      <w:tblGrid>
        <w:gridCol w:w="7664"/>
        <w:gridCol w:w="1033"/>
        <w:gridCol w:w="1766"/>
      </w:tblGrid>
      <w:tr w:rsidR="005030DA" w:rsidRPr="00E6396F"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FFE599" w:themeFill="accent4" w:themeFillTint="66"/>
            <w:tcMar>
              <w:top w:w="0" w:type="dxa"/>
              <w:left w:w="108" w:type="dxa"/>
              <w:bottom w:w="0" w:type="dxa"/>
              <w:right w:w="108" w:type="dxa"/>
            </w:tcMar>
            <w:vAlign w:val="center"/>
          </w:tcPr>
          <w:p w:rsidR="005030DA" w:rsidRPr="00E6396F" w:rsidRDefault="005030DA" w:rsidP="00204E6F">
            <w:pPr>
              <w:spacing w:after="0" w:line="240" w:lineRule="auto"/>
              <w:rPr>
                <w:rFonts w:ascii="Arial" w:eastAsia="Times New Roman" w:hAnsi="Arial" w:cs="Arial"/>
                <w:b/>
                <w:bCs/>
                <w:sz w:val="18"/>
                <w:szCs w:val="18"/>
                <w:lang w:eastAsia="es-AR"/>
              </w:rPr>
            </w:pPr>
            <w:r w:rsidRPr="00E6396F">
              <w:rPr>
                <w:rFonts w:ascii="Arial" w:eastAsia="Times New Roman" w:hAnsi="Arial" w:cs="Arial"/>
                <w:b/>
                <w:bCs/>
                <w:sz w:val="18"/>
                <w:szCs w:val="18"/>
                <w:lang w:eastAsia="es-AR"/>
              </w:rPr>
              <w:t>General requirements</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Preoperative evaluation</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Pediatric patients receiving anesthesia</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Emergency surgeries in pediatric patients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All patients who undergoing diagnostic or therapeutic procedures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ASA 1 or 2 without surgical or obstetric history (preanesthetic evaluation, including physical examination, the day of the procedure).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 with significant medical, surgical or obstetrical history (anesthesiologist assessment)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right="25"/>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case of bleeding or complications history of previous alloimmunization, it is recommended to evaluate the blood type.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 xml:space="preserve">Informed consent </w:t>
            </w:r>
            <w:r>
              <w:rPr>
                <w:rFonts w:ascii="Arial" w:eastAsia="Times New Roman" w:hAnsi="Arial" w:cs="Arial"/>
                <w:bCs/>
                <w:sz w:val="16"/>
                <w:szCs w:val="16"/>
                <w:lang w:eastAsia="es-AR"/>
              </w:rPr>
              <w:t>(</w:t>
            </w:r>
            <w:r>
              <w:rPr>
                <w:rFonts w:ascii="Arial" w:eastAsia="Times New Roman" w:hAnsi="Arial" w:cs="Arial"/>
                <w:sz w:val="16"/>
                <w:szCs w:val="16"/>
                <w:lang w:eastAsia="es-AR"/>
              </w:rPr>
              <w:t>Ideally written)</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 Provide information on risks and benefits related to obstetric anesthesia and analgesia.</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Complete laboratory</w:t>
            </w:r>
          </w:p>
        </w:tc>
        <w:tc>
          <w:tcPr>
            <w:tcW w:w="1033"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p>
        </w:tc>
        <w:tc>
          <w:tcPr>
            <w:tcW w:w="1766" w:type="dxa"/>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4" w:right="25"/>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low-risk surgery independently of their ASA score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35"/>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4" w:right="25"/>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intermediate-risk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4" w:right="25"/>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renal or cardiovascular disease undergoing intermediate-risk surgery that has not been recently evaluated</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4" w:right="25"/>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high-risk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4" w:right="25"/>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preeclampsia or other preceding or a suspect of hemostatic disorder, it is recommended to apply platelet count, liver function test and evaluation of coagulation</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right="25"/>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case of bleeding or complications history of previous alloimmunization, it is recommended to evaluate the blood type.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19"/>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rPr>
                <w:rFonts w:ascii="Arial" w:eastAsia="Times New Roman" w:hAnsi="Arial" w:cs="Arial"/>
                <w:sz w:val="16"/>
                <w:szCs w:val="16"/>
                <w:lang w:eastAsia="es-AR"/>
              </w:rPr>
            </w:pPr>
            <w:r>
              <w:rPr>
                <w:rFonts w:ascii="Arial" w:eastAsia="Times New Roman" w:hAnsi="Arial" w:cs="Arial"/>
                <w:sz w:val="16"/>
                <w:szCs w:val="16"/>
                <w:lang w:eastAsia="es-AR"/>
              </w:rPr>
              <w:t>Patients with liver failure</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19"/>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anticoagulated patients (e.g., consume Warfarin)</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383"/>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potential risk of bleeding undergoing intermediate or high-risk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Routinely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Hematocrit and hemoglobin</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pediatric patients with possible bleeding</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pediatric patients routinely perform minor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sidRPr="00956662">
              <w:rPr>
                <w:rFonts w:ascii="Arial" w:eastAsia="Times New Roman" w:hAnsi="Arial" w:cs="Arial"/>
                <w:sz w:val="16"/>
                <w:szCs w:val="16"/>
                <w:lang w:val="en-US" w:eastAsia="es-AR"/>
              </w:rPr>
              <w:t>Patients with anemia or blood disease or liver disease; when you suspected of anemia or other chronic disease during clinical examination. </w:t>
            </w:r>
            <w:r>
              <w:rPr>
                <w:rFonts w:ascii="Arial" w:eastAsia="Times New Roman" w:hAnsi="Arial" w:cs="Arial"/>
                <w:sz w:val="16"/>
                <w:szCs w:val="16"/>
                <w:lang w:eastAsia="es-AR"/>
              </w:rPr>
              <w:t>In medium or high-risk surgeries anticipated transfusion requirement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requiring intermediate or major surgery, and bleeding risk of transfusion requirement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Patients over 40 years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 xml:space="preserve">Patient s with a history of hematological or liver disease </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Hemostasis/Coagulation Tests</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Pediatric patients with negative history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a history of bleeding</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rPr>
                <w:rFonts w:ascii="Arial" w:eastAsia="Times New Roman" w:hAnsi="Arial" w:cs="Arial"/>
                <w:sz w:val="16"/>
                <w:szCs w:val="16"/>
                <w:lang w:eastAsia="es-AR"/>
              </w:rPr>
            </w:pPr>
            <w:r>
              <w:rPr>
                <w:rFonts w:ascii="Arial" w:eastAsia="Times New Roman" w:hAnsi="Arial" w:cs="Arial"/>
                <w:sz w:val="16"/>
                <w:szCs w:val="16"/>
                <w:lang w:eastAsia="es-AR"/>
              </w:rPr>
              <w:t>Patients with liver failure</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anticoagulated patients (e.g., consume Warfarin)</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potential risk of bleeding undergoing intermediate or high-risk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Routinely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Urinalysis</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both"/>
              <w:rPr>
                <w:rFonts w:ascii="Arial" w:eastAsia="Times New Roman" w:hAnsi="Arial" w:cs="Arial"/>
                <w:sz w:val="16"/>
                <w:szCs w:val="16"/>
                <w:lang w:eastAsia="es-AR"/>
              </w:rPr>
            </w:pPr>
            <w:r>
              <w:rPr>
                <w:rFonts w:ascii="Arial" w:eastAsia="Times New Roman" w:hAnsi="Arial" w:cs="Arial"/>
                <w:sz w:val="16"/>
                <w:szCs w:val="16"/>
                <w:lang w:eastAsia="es-AR"/>
              </w:rPr>
              <w:t>Routinely before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hAnsi="Arial" w:cs="Arial"/>
                <w:color w:val="000000"/>
                <w:sz w:val="16"/>
                <w:szCs w:val="16"/>
                <w:lang w:val="en-US"/>
              </w:rPr>
              <w:t xml:space="preserve">Urine or culture if diagnosing an urinary infection can influence surgery decisions </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Glucose</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 Routinely to pediatric patients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 Diabetic patients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Glycated hemoglobin (HbA1c) test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Diabetic patient without Hb1Ac within 3 months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Patients without diabetes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Pr="00956662" w:rsidRDefault="005030DA" w:rsidP="00204E6F">
            <w:pPr>
              <w:numPr>
                <w:ilvl w:val="0"/>
                <w:numId w:val="31"/>
              </w:numPr>
              <w:spacing w:after="0" w:line="240" w:lineRule="auto"/>
              <w:ind w:left="26" w:right="-108" w:firstLine="0"/>
              <w:rPr>
                <w:rFonts w:ascii="Arial" w:eastAsia="Times New Roman" w:hAnsi="Arial" w:cs="Arial"/>
                <w:b/>
                <w:bCs/>
                <w:sz w:val="16"/>
                <w:szCs w:val="16"/>
                <w:lang w:val="en-US" w:eastAsia="es-AR"/>
              </w:rPr>
            </w:pPr>
            <w:r w:rsidRPr="00956662">
              <w:rPr>
                <w:rFonts w:ascii="Arial" w:eastAsia="Times New Roman" w:hAnsi="Arial" w:cs="Arial"/>
                <w:b/>
                <w:bCs/>
                <w:sz w:val="16"/>
                <w:szCs w:val="16"/>
                <w:lang w:val="en-US" w:eastAsia="es-AR"/>
              </w:rPr>
              <w:t>Assessment of risk factors for surgical site infection</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Assessment of smoking, diabetes, obesity, malnutrition and chronic skin disease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Kidney function tests</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minor surgery in ASA 1/2 patients or intermediate-risk surgery in ASA 2 patients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complex or major surgery in ASA 1 patients at risk of acute kidney injury (AKI)</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intermediate-risk surgery in ASA 2 patients at risk of AKI. In patients with increased risk surgery performed</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 xml:space="preserve">ASA 3/4 patients: at risk of AKI in low-risk surgery or just higher-risk surgery </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Pr="00956662" w:rsidRDefault="005030DA" w:rsidP="00204E6F">
            <w:pPr>
              <w:numPr>
                <w:ilvl w:val="0"/>
                <w:numId w:val="31"/>
              </w:numPr>
              <w:spacing w:after="0" w:line="240" w:lineRule="auto"/>
              <w:ind w:left="26" w:right="-108" w:firstLine="0"/>
              <w:rPr>
                <w:rFonts w:ascii="Arial" w:eastAsia="Times New Roman" w:hAnsi="Arial" w:cs="Arial"/>
                <w:b/>
                <w:bCs/>
                <w:sz w:val="16"/>
                <w:szCs w:val="16"/>
                <w:lang w:val="en-US" w:eastAsia="es-AR"/>
              </w:rPr>
            </w:pPr>
            <w:r w:rsidRPr="00956662">
              <w:rPr>
                <w:rFonts w:ascii="Arial" w:eastAsia="Times New Roman" w:hAnsi="Arial" w:cs="Arial"/>
                <w:b/>
                <w:bCs/>
                <w:sz w:val="16"/>
                <w:szCs w:val="16"/>
                <w:lang w:val="en-US" w:eastAsia="es-AR"/>
              </w:rPr>
              <w:t>Sickle cell disease/trait test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eastAsia="es-AR"/>
              </w:rPr>
            </w:pPr>
            <w:r>
              <w:rPr>
                <w:rFonts w:ascii="Arial" w:eastAsia="Times New Roman" w:hAnsi="Arial" w:cs="Arial"/>
                <w:sz w:val="16"/>
                <w:szCs w:val="16"/>
                <w:lang w:eastAsia="es-AR"/>
              </w:rPr>
              <w:t>Routinely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Assess personal of family history of sickle cell anemia</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Contact a specialized service providing treatment to a confirmed case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Chest X-ray</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both"/>
              <w:rPr>
                <w:rFonts w:ascii="Arial" w:eastAsia="Times New Roman" w:hAnsi="Arial" w:cs="Arial"/>
                <w:sz w:val="16"/>
                <w:szCs w:val="16"/>
                <w:lang w:eastAsia="es-AR"/>
              </w:rPr>
            </w:pPr>
            <w:r>
              <w:rPr>
                <w:rFonts w:ascii="Arial" w:eastAsia="Times New Roman" w:hAnsi="Arial" w:cs="Arial"/>
                <w:sz w:val="16"/>
                <w:szCs w:val="16"/>
                <w:lang w:eastAsia="es-AR"/>
              </w:rPr>
              <w:lastRenderedPageBreak/>
              <w:t>Routinely in healthy people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Tr="00204E6F">
        <w:trPr>
          <w:trHeight w:val="368"/>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a history or diagnostic tests suggesting cardiorespiratory disease</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over 40 years, patients undergoing non-low-risk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383"/>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non-low-risk surgery or mainly intrathoracic or intraabdominal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Pregnancy testing</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956662" w:rsidRDefault="005030DA" w:rsidP="00204E6F">
            <w:pPr>
              <w:spacing w:after="0" w:line="240" w:lineRule="auto"/>
              <w:ind w:left="26"/>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Performed in women of childbearing age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pStyle w:val="ListParagraph"/>
              <w:numPr>
                <w:ilvl w:val="0"/>
                <w:numId w:val="26"/>
              </w:numPr>
              <w:spacing w:line="256" w:lineRule="auto"/>
              <w:ind w:left="310" w:hanging="310"/>
              <w:jc w:val="both"/>
              <w:rPr>
                <w:rFonts w:ascii="Arial" w:hAnsi="Arial" w:cs="Arial"/>
                <w:sz w:val="16"/>
                <w:szCs w:val="16"/>
                <w:lang w:val="en-US" w:eastAsia="es-AR"/>
              </w:rPr>
            </w:pPr>
            <w:r>
              <w:rPr>
                <w:rFonts w:ascii="Arial" w:hAnsi="Arial" w:cs="Arial"/>
                <w:sz w:val="16"/>
                <w:szCs w:val="16"/>
                <w:lang w:val="en-US" w:eastAsia="es-AR"/>
              </w:rPr>
              <w:t>Test the day of surgery in women of childbearing age.</w:t>
            </w:r>
          </w:p>
          <w:p w:rsidR="005030DA" w:rsidRDefault="005030DA" w:rsidP="00204E6F">
            <w:pPr>
              <w:pStyle w:val="ListParagraph"/>
              <w:numPr>
                <w:ilvl w:val="0"/>
                <w:numId w:val="26"/>
              </w:numPr>
              <w:spacing w:line="256" w:lineRule="auto"/>
              <w:ind w:left="310" w:hanging="310"/>
              <w:jc w:val="both"/>
              <w:rPr>
                <w:rFonts w:ascii="Arial" w:hAnsi="Arial" w:cs="Arial"/>
                <w:sz w:val="16"/>
                <w:szCs w:val="16"/>
                <w:lang w:val="en-US" w:eastAsia="es-AR"/>
              </w:rPr>
            </w:pPr>
            <w:r>
              <w:rPr>
                <w:rFonts w:ascii="Arial" w:hAnsi="Arial" w:cs="Arial"/>
                <w:sz w:val="16"/>
                <w:szCs w:val="16"/>
                <w:lang w:val="en-US" w:eastAsia="es-AR"/>
              </w:rPr>
              <w:t>In pregnant women, ensure that surgery and anesthesia does not threaten the fetus life.</w:t>
            </w:r>
          </w:p>
          <w:p w:rsidR="005030DA" w:rsidRDefault="005030DA" w:rsidP="00204E6F">
            <w:pPr>
              <w:pStyle w:val="ListParagraph"/>
              <w:numPr>
                <w:ilvl w:val="0"/>
                <w:numId w:val="26"/>
              </w:numPr>
              <w:spacing w:line="256" w:lineRule="auto"/>
              <w:ind w:left="310" w:hanging="310"/>
              <w:jc w:val="both"/>
              <w:rPr>
                <w:rFonts w:ascii="Arial" w:hAnsi="Arial" w:cs="Arial"/>
                <w:sz w:val="16"/>
                <w:szCs w:val="16"/>
                <w:lang w:val="en-US" w:eastAsia="es-AR"/>
              </w:rPr>
            </w:pPr>
            <w:r>
              <w:rPr>
                <w:rFonts w:ascii="Arial" w:hAnsi="Arial" w:cs="Arial"/>
                <w:sz w:val="16"/>
                <w:szCs w:val="16"/>
                <w:lang w:val="en-US" w:eastAsia="es-AR"/>
              </w:rPr>
              <w:t>Document all discussions with women about whether to carry out a pregnancy test.</w:t>
            </w:r>
          </w:p>
          <w:p w:rsidR="005030DA" w:rsidRDefault="005030DA" w:rsidP="00204E6F">
            <w:pPr>
              <w:pStyle w:val="ListParagraph"/>
              <w:numPr>
                <w:ilvl w:val="0"/>
                <w:numId w:val="26"/>
              </w:numPr>
              <w:spacing w:line="256" w:lineRule="auto"/>
              <w:ind w:left="310" w:hanging="310"/>
              <w:jc w:val="both"/>
              <w:rPr>
                <w:rFonts w:ascii="Arial" w:hAnsi="Arial" w:cs="Arial"/>
                <w:sz w:val="16"/>
                <w:szCs w:val="16"/>
                <w:lang w:val="en-US" w:eastAsia="es-AR"/>
              </w:rPr>
            </w:pPr>
            <w:r>
              <w:rPr>
                <w:rFonts w:ascii="Arial" w:hAnsi="Arial" w:cs="Arial"/>
                <w:sz w:val="16"/>
                <w:szCs w:val="16"/>
                <w:lang w:val="en-US" w:eastAsia="es-AR"/>
              </w:rPr>
              <w:t>Carry out the pregnancy test under the possibility of pregnancy.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shd w:val="clear" w:color="auto" w:fill="FFE599" w:themeFill="accent4" w:themeFillTint="66"/>
            <w:tcMar>
              <w:top w:w="0" w:type="dxa"/>
              <w:left w:w="108" w:type="dxa"/>
              <w:bottom w:w="0" w:type="dxa"/>
              <w:right w:w="108" w:type="dxa"/>
            </w:tcMar>
            <w:vAlign w:val="center"/>
          </w:tcPr>
          <w:p w:rsidR="005030DA" w:rsidRPr="00DD7881" w:rsidRDefault="005030DA" w:rsidP="00204E6F">
            <w:pPr>
              <w:spacing w:after="0" w:line="240" w:lineRule="auto"/>
              <w:ind w:right="-108"/>
              <w:rPr>
                <w:rFonts w:ascii="Arial" w:eastAsia="Times New Roman" w:hAnsi="Arial" w:cs="Arial"/>
                <w:b/>
                <w:bCs/>
                <w:sz w:val="18"/>
                <w:szCs w:val="18"/>
                <w:lang w:eastAsia="es-AR"/>
              </w:rPr>
            </w:pPr>
            <w:r w:rsidRPr="00DD7881">
              <w:rPr>
                <w:rFonts w:ascii="Arial" w:eastAsia="Times New Roman" w:hAnsi="Arial" w:cs="Arial"/>
                <w:b/>
                <w:bCs/>
                <w:sz w:val="18"/>
                <w:szCs w:val="18"/>
                <w:lang w:eastAsia="es-AR"/>
              </w:rPr>
              <w:t>Cardiovascular requirements</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Electrocardiography: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In neonates and/or children of 6 months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192"/>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Healthy people undergoing minor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Perform in cases of clinical suspicion</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192"/>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People over 65 undergoing minor or intermediate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46"/>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eastAsia="es-AR"/>
              </w:rPr>
            </w:pPr>
            <w:r w:rsidRPr="00DD7881">
              <w:rPr>
                <w:rFonts w:ascii="Arial" w:hAnsi="Arial" w:cs="Arial"/>
                <w:sz w:val="16"/>
                <w:szCs w:val="16"/>
                <w:lang w:eastAsia="es-AR"/>
              </w:rPr>
              <w:t>People with cardiovascular disease</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55"/>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People with a morbidity undergoing intermediate or major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High</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Effort electrocardiography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jc w:val="both"/>
              <w:rPr>
                <w:rFonts w:ascii="Arial" w:hAnsi="Arial" w:cs="Arial"/>
                <w:sz w:val="16"/>
                <w:szCs w:val="16"/>
                <w:lang w:val="en-US" w:eastAsia="es-AR"/>
              </w:rPr>
            </w:pPr>
            <w:r w:rsidRPr="00DD7881">
              <w:rPr>
                <w:rFonts w:ascii="Arial" w:hAnsi="Arial" w:cs="Arial"/>
                <w:sz w:val="16"/>
                <w:szCs w:val="16"/>
                <w:lang w:val="en-US" w:eastAsia="es-AR"/>
              </w:rPr>
              <w:t>Patients undergoing surgeries of intermediate or high risk of complications, including arterial vascular surgery (without severe cardiovascular perioperative conditions)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Patients undergoing low-risk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right="-117"/>
              <w:jc w:val="both"/>
              <w:rPr>
                <w:rFonts w:ascii="Arial" w:hAnsi="Arial" w:cs="Arial"/>
                <w:sz w:val="16"/>
                <w:szCs w:val="16"/>
                <w:lang w:val="en-US" w:eastAsia="es-AR"/>
              </w:rPr>
            </w:pPr>
            <w:r w:rsidRPr="00DD7881">
              <w:rPr>
                <w:rFonts w:ascii="Arial" w:hAnsi="Arial" w:cs="Arial"/>
                <w:sz w:val="16"/>
                <w:szCs w:val="16"/>
                <w:lang w:val="en-US" w:eastAsia="es-AR"/>
              </w:rPr>
              <w:t>Patients undergoing intermediate-risk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Resting echocardiography</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Pr="00DD7881" w:rsidRDefault="005030DA" w:rsidP="00204E6F">
            <w:pPr>
              <w:spacing w:after="0" w:line="240" w:lineRule="auto"/>
              <w:ind w:left="26" w:right="-108"/>
              <w:rPr>
                <w:rFonts w:ascii="Arial" w:eastAsia="Times New Roman" w:hAnsi="Arial" w:cs="Arial"/>
                <w:b/>
                <w:sz w:val="16"/>
                <w:szCs w:val="16"/>
                <w:lang w:eastAsia="es-AR"/>
              </w:rPr>
            </w:pPr>
            <w:r w:rsidRPr="00DD7881">
              <w:rPr>
                <w:rFonts w:ascii="Arial" w:eastAsia="Times New Roman" w:hAnsi="Arial" w:cs="Arial"/>
                <w:b/>
                <w:sz w:val="16"/>
                <w:szCs w:val="16"/>
                <w:lang w:eastAsia="es-AR"/>
              </w:rPr>
              <w:t> High-risk surgery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jc w:val="both"/>
              <w:rPr>
                <w:rFonts w:ascii="Arial" w:hAnsi="Arial" w:cs="Arial"/>
                <w:sz w:val="16"/>
                <w:szCs w:val="16"/>
                <w:lang w:val="en-US" w:eastAsia="es-AR"/>
              </w:rPr>
            </w:pPr>
            <w:r w:rsidRPr="00DD7881">
              <w:rPr>
                <w:rFonts w:ascii="Arial" w:hAnsi="Arial" w:cs="Arial"/>
                <w:sz w:val="16"/>
                <w:szCs w:val="16"/>
                <w:lang w:val="en-US" w:eastAsia="es-AR"/>
              </w:rPr>
              <w:t>Patient with suspected moderate or severe valvular involvement without evaluation in the last year or with worsening of symptoms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397"/>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jc w:val="both"/>
              <w:rPr>
                <w:rFonts w:ascii="Arial" w:hAnsi="Arial" w:cs="Arial"/>
                <w:sz w:val="16"/>
                <w:szCs w:val="16"/>
                <w:lang w:val="en-US" w:eastAsia="es-AR"/>
              </w:rPr>
            </w:pPr>
            <w:r w:rsidRPr="00DD7881">
              <w:rPr>
                <w:rFonts w:ascii="Arial" w:hAnsi="Arial" w:cs="Arial"/>
                <w:sz w:val="16"/>
                <w:szCs w:val="16"/>
                <w:lang w:val="en-US" w:eastAsia="es-AR"/>
              </w:rPr>
              <w:t xml:space="preserve">Patient with heart failure or symptoms suggestive of heart problems, without assessment in the past year, undergoing cardiac surgery </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397"/>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jc w:val="both"/>
              <w:rPr>
                <w:rFonts w:ascii="Arial" w:hAnsi="Arial" w:cs="Arial"/>
                <w:sz w:val="16"/>
                <w:szCs w:val="16"/>
                <w:lang w:val="en-US" w:eastAsia="es-AR"/>
              </w:rPr>
            </w:pPr>
            <w:r w:rsidRPr="00DD7881">
              <w:rPr>
                <w:rFonts w:ascii="Arial" w:hAnsi="Arial" w:cs="Arial"/>
                <w:sz w:val="16"/>
                <w:szCs w:val="16"/>
                <w:lang w:val="en-US" w:eastAsia="es-AR"/>
              </w:rPr>
              <w:t>Symptomatic patients with stent grafts who go to surgery and who have no evaluation in the last year</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ind w:left="26"/>
              <w:jc w:val="both"/>
              <w:rPr>
                <w:rFonts w:ascii="Arial" w:hAnsi="Arial" w:cs="Arial"/>
                <w:sz w:val="16"/>
                <w:szCs w:val="16"/>
                <w:lang w:eastAsia="es-AR"/>
              </w:rPr>
            </w:pPr>
            <w:r w:rsidRPr="00DD7881">
              <w:rPr>
                <w:rFonts w:ascii="Arial" w:hAnsi="Arial" w:cs="Arial"/>
                <w:sz w:val="16"/>
                <w:szCs w:val="16"/>
                <w:lang w:eastAsia="es-AR"/>
              </w:rPr>
              <w:t>Asymptomatic patients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Pr="00DD7881" w:rsidRDefault="005030DA" w:rsidP="00204E6F">
            <w:pPr>
              <w:spacing w:after="0"/>
              <w:ind w:left="26" w:right="-108"/>
              <w:rPr>
                <w:rFonts w:ascii="Arial" w:hAnsi="Arial" w:cs="Arial"/>
                <w:b/>
                <w:sz w:val="16"/>
                <w:szCs w:val="16"/>
                <w:lang w:val="en-US" w:eastAsia="es-AR"/>
              </w:rPr>
            </w:pPr>
            <w:r w:rsidRPr="00DD7881">
              <w:rPr>
                <w:rFonts w:ascii="Arial" w:hAnsi="Arial" w:cs="Arial"/>
                <w:b/>
                <w:sz w:val="16"/>
                <w:szCs w:val="16"/>
                <w:lang w:val="en-US" w:eastAsia="es-AR"/>
              </w:rPr>
              <w:t>Low, intermediate or uncertain surgical risk</w:t>
            </w:r>
          </w:p>
        </w:tc>
      </w:tr>
      <w:tr w:rsidR="005030DA" w:rsidRPr="00DD7881" w:rsidTr="00204E6F">
        <w:trPr>
          <w:trHeight w:val="301"/>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Routine test in asymptomatic patients without suspect of heart failure or severe valvular disease</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Effort echocardiography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Routinely to assess cardiac risk</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Tomographic coronary angiography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Routinely to assess cardiac risk</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val="en-US" w:eastAsia="es-AR"/>
              </w:rPr>
            </w:pPr>
            <w:r w:rsidRPr="00DD7881">
              <w:rPr>
                <w:rFonts w:ascii="Arial" w:eastAsia="Times New Roman" w:hAnsi="Arial" w:cs="Arial"/>
                <w:b/>
                <w:bCs/>
                <w:sz w:val="16"/>
                <w:szCs w:val="16"/>
                <w:lang w:val="en-US" w:eastAsia="es-AR"/>
              </w:rPr>
              <w:t>Assessment of left ventricular function</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suspected to have valvular disease with important clinical manifestations or undergoing liver transplantation</w:t>
            </w:r>
          </w:p>
        </w:tc>
        <w:tc>
          <w:tcPr>
            <w:tcW w:w="1033" w:type="dxa"/>
            <w:tcBorders>
              <w:top w:val="single" w:sz="6" w:space="0" w:color="000000"/>
              <w:left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sz w:val="20"/>
                <w:szCs w:val="20"/>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with heart failure without ventricular function assessment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undergoing high-risk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 xml:space="preserve">Obese patients (BMI ≥40) undergoing bariatric surgery </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eastAsia="es-AR"/>
              </w:rPr>
            </w:pPr>
            <w:r w:rsidRPr="00DD7881">
              <w:rPr>
                <w:rFonts w:ascii="Arial" w:eastAsia="Times New Roman" w:hAnsi="Arial" w:cs="Arial"/>
                <w:sz w:val="16"/>
                <w:szCs w:val="16"/>
                <w:lang w:eastAsia="es-AR"/>
              </w:rPr>
              <w:t>Routinely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Natriuretic peptide</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eastAsia="es-AR"/>
              </w:rPr>
            </w:pPr>
            <w:r w:rsidRPr="00DD7881">
              <w:rPr>
                <w:rFonts w:ascii="Arial" w:eastAsia="Times New Roman" w:hAnsi="Arial" w:cs="Arial"/>
                <w:sz w:val="16"/>
                <w:szCs w:val="16"/>
                <w:lang w:eastAsia="es-AR"/>
              </w:rPr>
              <w:t>Patients undergoing cardiac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High</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over 55 years with at least one cardiovascular risk factor undergoing non-cardiac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9E2F3" w:themeFill="accent1" w:themeFillTint="33"/>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val="en-US" w:eastAsia="es-AR"/>
              </w:rPr>
            </w:pPr>
            <w:r w:rsidRPr="00DD7881">
              <w:rPr>
                <w:rFonts w:ascii="Arial" w:eastAsia="Times New Roman" w:hAnsi="Arial" w:cs="Arial"/>
                <w:b/>
                <w:bCs/>
                <w:sz w:val="16"/>
                <w:szCs w:val="16"/>
                <w:lang w:val="en-US" w:eastAsia="es-AR"/>
              </w:rPr>
              <w:t>Brain natriuretic peptide (BNP) or NT-proBNP</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lastRenderedPageBreak/>
              <w:t>Patients over 65 years or patients between 45 and 64 years with significant cardiovascular disease or score (revised cardiac risk index (RCRI) ≥ 1</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Troponin</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eastAsia="es-AR"/>
              </w:rPr>
            </w:pPr>
            <w:r w:rsidRPr="00DD7881">
              <w:rPr>
                <w:rFonts w:ascii="Arial" w:eastAsia="Times New Roman" w:hAnsi="Arial" w:cs="Arial"/>
                <w:sz w:val="16"/>
                <w:szCs w:val="16"/>
                <w:lang w:eastAsia="es-AR"/>
              </w:rPr>
              <w:t>Troponin prior to vascular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Troponin as a preoperative marker of cardiovascular risk and mortality in non-cardiac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tcPr>
          <w:p w:rsidR="005030DA" w:rsidRPr="00DD7881"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sidRPr="00DD7881">
              <w:rPr>
                <w:rFonts w:ascii="Arial" w:eastAsia="Times New Roman" w:hAnsi="Arial" w:cs="Arial"/>
                <w:b/>
                <w:bCs/>
                <w:sz w:val="16"/>
                <w:szCs w:val="16"/>
                <w:lang w:eastAsia="es-AR"/>
              </w:rPr>
              <w:t>coronary angiography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The indications of angiography and coronary revascularization are those of non-surgical context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Urgent angiography in patients with myocardial infarction without ST elevation requiring elective non-cardiac surgery or with a computed tomography (CT) with multiple cuts showing serious injury of the left coronary trunk</w:t>
            </w:r>
          </w:p>
        </w:tc>
        <w:tc>
          <w:tcPr>
            <w:tcW w:w="1033" w:type="dxa"/>
            <w:tcBorders>
              <w:top w:val="single" w:sz="6" w:space="0" w:color="000000"/>
              <w:left w:val="single" w:sz="6" w:space="0" w:color="000000"/>
              <w:bottom w:val="single" w:sz="4" w:space="0" w:color="auto"/>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4" w:space="0" w:color="auto"/>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Urgent or early invasive strategy for patients with NSTEMI requiring elective non-cardiac surgery</w:t>
            </w:r>
          </w:p>
        </w:tc>
        <w:tc>
          <w:tcPr>
            <w:tcW w:w="1033" w:type="dxa"/>
            <w:tcBorders>
              <w:top w:val="single" w:sz="4" w:space="0" w:color="auto"/>
              <w:left w:val="single" w:sz="6" w:space="0" w:color="000000"/>
              <w:bottom w:val="nil"/>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High</w:t>
            </w:r>
          </w:p>
        </w:tc>
        <w:tc>
          <w:tcPr>
            <w:tcW w:w="1766" w:type="dxa"/>
            <w:tcBorders>
              <w:top w:val="single" w:sz="4" w:space="0" w:color="auto"/>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with recent coronary disease at high clinical risk, functional class III-IV in the last 6 months, or patients with severe valve disease and concomitant coronary heart disease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with non-high-risk criteria (</w:t>
            </w:r>
            <w:r w:rsidRPr="00DD7881">
              <w:rPr>
                <w:rFonts w:ascii="Arial" w:eastAsia="Times New Roman" w:hAnsi="Arial" w:cs="Arial"/>
                <w:b/>
                <w:bCs/>
                <w:sz w:val="16"/>
                <w:szCs w:val="16"/>
                <w:lang w:val="en-US" w:eastAsia="es-AR"/>
              </w:rPr>
              <w:t>Annex 5</w:t>
            </w:r>
            <w:r w:rsidRPr="00DD7881">
              <w:rPr>
                <w:rFonts w:ascii="Arial" w:eastAsia="Times New Roman" w:hAnsi="Arial" w:cs="Arial"/>
                <w:bCs/>
                <w:sz w:val="16"/>
                <w:szCs w:val="16"/>
                <w:lang w:val="en-US" w:eastAsia="es-AR"/>
              </w:rPr>
              <w:t xml:space="preserve">) and </w:t>
            </w:r>
            <w:r w:rsidRPr="00DD7881">
              <w:rPr>
                <w:rFonts w:ascii="Arial" w:eastAsia="Times New Roman" w:hAnsi="Arial" w:cs="Arial"/>
                <w:sz w:val="16"/>
                <w:szCs w:val="16"/>
                <w:lang w:val="en-US" w:eastAsia="es-AR"/>
              </w:rPr>
              <w:t>functional or pharmacological stress tests showing myocardial ischemia</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26"/>
              <w:jc w:val="both"/>
              <w:rPr>
                <w:rFonts w:ascii="Arial" w:eastAsia="Times New Roman" w:hAnsi="Arial" w:cs="Arial"/>
                <w:sz w:val="16"/>
                <w:szCs w:val="16"/>
                <w:lang w:val="en-US" w:eastAsia="es-AR"/>
              </w:rPr>
            </w:pPr>
            <w:r w:rsidRPr="00DD7881">
              <w:rPr>
                <w:rFonts w:ascii="Arial" w:eastAsia="Times New Roman" w:hAnsi="Arial" w:cs="Arial"/>
                <w:sz w:val="16"/>
                <w:szCs w:val="16"/>
                <w:lang w:val="en-US" w:eastAsia="es-AR"/>
              </w:rPr>
              <w:t>Patients with or without stable coronary disease functional class I-II without evidence of ischemia by stress tests, or those with severe coronary disease according CT multislice (excluding injury of left coronary trunk) clinically stable without ischemia, or in patients whose non-cardiac surgery cannot be delayed more than two weeks due to the underlying disease</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ind w:left="-108" w:right="-108"/>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DD7881" w:rsidRDefault="005030DA" w:rsidP="00204E6F">
            <w:pPr>
              <w:spacing w:after="0" w:line="240" w:lineRule="auto"/>
              <w:jc w:val="center"/>
              <w:rPr>
                <w:rFonts w:ascii="Arial" w:eastAsia="Times New Roman" w:hAnsi="Arial" w:cs="Arial"/>
                <w:sz w:val="16"/>
                <w:szCs w:val="16"/>
                <w:lang w:eastAsia="es-AR"/>
              </w:rPr>
            </w:pPr>
            <w:r w:rsidRPr="00DD7881">
              <w:rPr>
                <w:rFonts w:ascii="Arial" w:eastAsia="Times New Roman" w:hAnsi="Arial" w:cs="Arial"/>
                <w:sz w:val="16"/>
                <w:szCs w:val="16"/>
                <w:lang w:eastAsia="es-AR"/>
              </w:rPr>
              <w:t>Strong against</w:t>
            </w:r>
          </w:p>
        </w:tc>
      </w:tr>
      <w:tr w:rsidR="005030DA" w:rsidRPr="00D71E5E"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Pr="00956662" w:rsidRDefault="005030DA" w:rsidP="00204E6F">
            <w:pPr>
              <w:numPr>
                <w:ilvl w:val="0"/>
                <w:numId w:val="31"/>
              </w:numPr>
              <w:spacing w:after="0" w:line="240" w:lineRule="auto"/>
              <w:ind w:left="26" w:right="-108" w:firstLine="0"/>
              <w:rPr>
                <w:rFonts w:ascii="Arial" w:eastAsia="Times New Roman" w:hAnsi="Arial" w:cs="Arial"/>
                <w:b/>
                <w:bCs/>
                <w:sz w:val="16"/>
                <w:szCs w:val="16"/>
                <w:lang w:val="en-US" w:eastAsia="es-AR"/>
              </w:rPr>
            </w:pPr>
            <w:r w:rsidRPr="00956662">
              <w:rPr>
                <w:rFonts w:ascii="Arial" w:eastAsia="Times New Roman" w:hAnsi="Arial" w:cs="Arial"/>
                <w:b/>
                <w:bCs/>
                <w:sz w:val="16"/>
                <w:szCs w:val="16"/>
                <w:lang w:val="en-US" w:eastAsia="es-AR"/>
              </w:rPr>
              <w:t>Noninvasive test for myocardial ischemia</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intermediate or high-risk surgery (without severe cardiovascular perioperative conditions) and those undergoing arterial vascular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Intermediate or high-risk patients with poor functional capacity undergoing intermediate-risk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low-risk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Low-risk patients undergoing low or intermediate-risk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FFE599" w:themeFill="accent4" w:themeFillTint="66"/>
            <w:tcMar>
              <w:top w:w="0" w:type="dxa"/>
              <w:left w:w="108" w:type="dxa"/>
              <w:bottom w:w="0" w:type="dxa"/>
              <w:right w:w="108" w:type="dxa"/>
            </w:tcMar>
            <w:vAlign w:val="center"/>
          </w:tcPr>
          <w:p w:rsidR="005030DA" w:rsidRPr="00106F01" w:rsidRDefault="005030DA" w:rsidP="00204E6F">
            <w:pPr>
              <w:spacing w:after="0" w:line="240" w:lineRule="auto"/>
              <w:ind w:right="-108"/>
              <w:rPr>
                <w:rFonts w:ascii="Arial" w:eastAsia="Times New Roman" w:hAnsi="Arial" w:cs="Arial"/>
                <w:b/>
                <w:bCs/>
                <w:sz w:val="18"/>
                <w:szCs w:val="18"/>
                <w:lang w:eastAsia="es-AR"/>
              </w:rPr>
            </w:pPr>
            <w:r>
              <w:rPr>
                <w:rFonts w:ascii="Arial" w:eastAsia="Times New Roman" w:hAnsi="Arial" w:cs="Arial"/>
                <w:b/>
                <w:bCs/>
                <w:sz w:val="18"/>
                <w:szCs w:val="18"/>
                <w:lang w:eastAsia="es-AR"/>
              </w:rPr>
              <w:t>Pulmonary</w:t>
            </w:r>
            <w:r w:rsidRPr="00106F01">
              <w:rPr>
                <w:rFonts w:ascii="Arial" w:eastAsia="Times New Roman" w:hAnsi="Arial" w:cs="Arial"/>
                <w:b/>
                <w:bCs/>
                <w:sz w:val="18"/>
                <w:szCs w:val="18"/>
                <w:lang w:eastAsia="es-AR"/>
              </w:rPr>
              <w:t xml:space="preserve"> requirements</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Polysomnography</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patients requiring continuous positive airway pressure (CPAP)</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High</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presumed to have obstructive sleep apnea (OSA) based on the preoperative history and physical examination</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Lung function tests</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Spirometry in patients undergoing non-high-risk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Arterial blood gas analysis in patients undergoing non-high-risk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Assessment by medical senior anesthesiologist after confirming respiratory illness or suspected in patients ASA 3/4 undergoing high-risk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FFE599" w:themeFill="accent4" w:themeFillTint="66"/>
            <w:tcMar>
              <w:top w:w="0" w:type="dxa"/>
              <w:left w:w="108" w:type="dxa"/>
              <w:bottom w:w="0" w:type="dxa"/>
              <w:right w:w="108" w:type="dxa"/>
            </w:tcMar>
            <w:vAlign w:val="center"/>
          </w:tcPr>
          <w:p w:rsidR="005030DA" w:rsidRDefault="005030DA" w:rsidP="00204E6F">
            <w:pPr>
              <w:spacing w:after="0" w:line="240" w:lineRule="auto"/>
              <w:rPr>
                <w:rFonts w:ascii="Arial" w:eastAsia="Times New Roman" w:hAnsi="Arial" w:cs="Arial"/>
                <w:sz w:val="16"/>
                <w:szCs w:val="16"/>
                <w:lang w:eastAsia="es-AR"/>
              </w:rPr>
            </w:pPr>
            <w:r>
              <w:rPr>
                <w:rFonts w:ascii="Arial" w:eastAsia="Times New Roman" w:hAnsi="Arial" w:cs="Arial"/>
                <w:b/>
                <w:bCs/>
                <w:sz w:val="18"/>
                <w:szCs w:val="18"/>
                <w:lang w:eastAsia="es-AR"/>
              </w:rPr>
              <w:t>High risk surgery</w:t>
            </w:r>
            <w:r w:rsidRPr="00106F01">
              <w:rPr>
                <w:rFonts w:ascii="Arial" w:eastAsia="Times New Roman" w:hAnsi="Arial" w:cs="Arial"/>
                <w:b/>
                <w:bCs/>
                <w:sz w:val="18"/>
                <w:szCs w:val="18"/>
                <w:lang w:eastAsia="es-AR"/>
              </w:rPr>
              <w:t xml:space="preserve"> requirements</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Stress Testing</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 high-risk patients with unknown functional capacity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major criteria of high cardiovascular risk (</w:t>
            </w:r>
            <w:r w:rsidRPr="00956662">
              <w:rPr>
                <w:rFonts w:ascii="Arial" w:eastAsia="Times New Roman" w:hAnsi="Arial" w:cs="Arial"/>
                <w:b/>
                <w:bCs/>
                <w:sz w:val="16"/>
                <w:szCs w:val="16"/>
                <w:lang w:val="en-US" w:eastAsia="es-AR"/>
              </w:rPr>
              <w:t>Annex 5</w:t>
            </w:r>
            <w:r w:rsidRPr="00956662">
              <w:rPr>
                <w:rFonts w:ascii="Arial" w:eastAsia="Times New Roman" w:hAnsi="Arial" w:cs="Arial"/>
                <w:bCs/>
                <w:sz w:val="16"/>
                <w:szCs w:val="16"/>
                <w:lang w:val="en-US" w:eastAsia="es-AR"/>
              </w:rPr>
              <w: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high-risk patients and moderate to good (≥4 METs to 10 METs) functional capacity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high-risk patients and poor (&lt;4 METs) or unknown functional capacity, if it will change management.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low risk and a poor (&lt;4METs) or unknown functional capacity, who have angina or dyspnea functional class I-II</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with low clinical risk criteria established in </w:t>
            </w:r>
            <w:r w:rsidRPr="00956662">
              <w:rPr>
                <w:rFonts w:ascii="Arial" w:eastAsia="Times New Roman" w:hAnsi="Arial" w:cs="Arial"/>
                <w:b/>
                <w:bCs/>
                <w:sz w:val="16"/>
                <w:szCs w:val="16"/>
                <w:lang w:val="en-US" w:eastAsia="es-AR"/>
              </w:rPr>
              <w:t>Annex 5</w:t>
            </w:r>
            <w:r w:rsidRPr="00956662">
              <w:rPr>
                <w:rFonts w:ascii="Arial" w:eastAsia="Times New Roman" w:hAnsi="Arial" w:cs="Arial"/>
                <w:sz w:val="16"/>
                <w:szCs w:val="16"/>
                <w:lang w:val="en-US" w:eastAsia="es-AR"/>
              </w:rPr>
              <w:t>, who are asymptomatic and with good functional class</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Routinely for patients undergoing low-risk noncardiac surgery</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Stress test image</w:t>
            </w:r>
          </w:p>
        </w:tc>
        <w:tc>
          <w:tcPr>
            <w:tcW w:w="1033" w:type="dxa"/>
            <w:tcBorders>
              <w:top w:val="single" w:sz="6" w:space="0" w:color="000000"/>
              <w:left w:val="single" w:sz="6" w:space="0" w:color="000000"/>
              <w:bottom w:val="nil"/>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p>
        </w:tc>
        <w:tc>
          <w:tcPr>
            <w:tcW w:w="1766" w:type="dxa"/>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high-risk surgery patients with two or more clinical risk factors and low functional capacity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intermediate and high-risk patients with one or two clinical risk factors and poor functional capacity (&lt;4MET)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For low-risk patients regardless of the clinic state patient</w:t>
            </w:r>
          </w:p>
        </w:tc>
        <w:tc>
          <w:tcPr>
            <w:tcW w:w="1033"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very 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FFE599" w:themeFill="accent4" w:themeFillTint="66"/>
            <w:tcMar>
              <w:top w:w="0" w:type="dxa"/>
              <w:left w:w="108" w:type="dxa"/>
              <w:bottom w:w="0" w:type="dxa"/>
              <w:right w:w="108" w:type="dxa"/>
            </w:tcMar>
            <w:vAlign w:val="center"/>
          </w:tcPr>
          <w:p w:rsidR="005030DA" w:rsidRDefault="005030DA" w:rsidP="00204E6F">
            <w:pPr>
              <w:spacing w:after="0" w:line="240" w:lineRule="auto"/>
              <w:rPr>
                <w:rFonts w:ascii="Arial" w:eastAsia="Times New Roman" w:hAnsi="Arial" w:cs="Arial"/>
                <w:sz w:val="16"/>
                <w:szCs w:val="16"/>
                <w:lang w:eastAsia="es-AR"/>
              </w:rPr>
            </w:pPr>
            <w:r w:rsidRPr="00620942">
              <w:rPr>
                <w:rFonts w:ascii="Arial" w:eastAsia="Times New Roman" w:hAnsi="Arial" w:cs="Arial"/>
                <w:b/>
                <w:bCs/>
                <w:sz w:val="18"/>
                <w:szCs w:val="18"/>
                <w:lang w:eastAsia="es-AR"/>
              </w:rPr>
              <w:t>Special situations</w:t>
            </w:r>
            <w:r>
              <w:rPr>
                <w:rFonts w:ascii="Arial" w:eastAsia="Times New Roman" w:hAnsi="Arial" w:cs="Arial"/>
                <w:b/>
                <w:bCs/>
                <w:sz w:val="18"/>
                <w:szCs w:val="18"/>
                <w:lang w:eastAsia="es-AR"/>
              </w:rPr>
              <w:t xml:space="preserve"> or considerations</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Cardiopulmonary Stress Test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Cardiopulmonary exercise testing to improve the estimation of cardiac risk</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Low</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High-risk patients with unknown functional capacity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Pharmacological stress test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Patients undergoing non-cardiac surgery who have poor functional capacity (&lt;4 METS) [dobutamine stress test]</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Weak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Routinely in asymptomatic patients who are at low-risk surgery</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10463" w:type="dxa"/>
            <w:gridSpan w:val="3"/>
            <w:tcBorders>
              <w:top w:val="single" w:sz="6" w:space="0" w:color="000000"/>
              <w:left w:val="single" w:sz="6" w:space="0" w:color="000000"/>
              <w:bottom w:val="single" w:sz="6" w:space="0" w:color="000000"/>
              <w:right w:val="single" w:sz="6" w:space="0" w:color="000000"/>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1"/>
              </w:numPr>
              <w:spacing w:after="0" w:line="240" w:lineRule="auto"/>
              <w:ind w:left="26" w:right="-108" w:firstLine="0"/>
              <w:rPr>
                <w:rFonts w:ascii="Arial" w:eastAsia="Times New Roman" w:hAnsi="Arial" w:cs="Arial"/>
                <w:b/>
                <w:bCs/>
                <w:sz w:val="16"/>
                <w:szCs w:val="16"/>
                <w:lang w:eastAsia="es-AR"/>
              </w:rPr>
            </w:pPr>
            <w:r>
              <w:rPr>
                <w:rFonts w:ascii="Arial" w:eastAsia="Times New Roman" w:hAnsi="Arial" w:cs="Arial"/>
                <w:b/>
                <w:bCs/>
                <w:sz w:val="16"/>
                <w:szCs w:val="16"/>
                <w:lang w:eastAsia="es-AR"/>
              </w:rPr>
              <w:t>Prokinetic and other interventions</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 xml:space="preserve">Routine use of antacids, metoclopramide or H2-receptor antagonists before elective surgery in non-obstetric patients </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High</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against</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H2-receptor antagonists the night before and the morning of elective caesarean section</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r w:rsidR="005030DA" w:rsidRPr="00DD7881" w:rsidTr="00204E6F">
        <w:trPr>
          <w:trHeight w:val="20"/>
        </w:trPr>
        <w:tc>
          <w:tcPr>
            <w:tcW w:w="76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Pr="00956662" w:rsidRDefault="005030DA" w:rsidP="00204E6F">
            <w:pPr>
              <w:spacing w:after="0" w:line="240" w:lineRule="auto"/>
              <w:ind w:left="26"/>
              <w:jc w:val="both"/>
              <w:rPr>
                <w:rFonts w:ascii="Arial" w:eastAsia="Times New Roman" w:hAnsi="Arial" w:cs="Arial"/>
                <w:sz w:val="16"/>
                <w:szCs w:val="16"/>
                <w:lang w:val="en-US" w:eastAsia="es-AR"/>
              </w:rPr>
            </w:pPr>
            <w:r w:rsidRPr="00956662">
              <w:rPr>
                <w:rFonts w:ascii="Arial" w:eastAsia="Times New Roman" w:hAnsi="Arial" w:cs="Arial"/>
                <w:sz w:val="16"/>
                <w:szCs w:val="16"/>
                <w:lang w:val="en-US" w:eastAsia="es-AR"/>
              </w:rPr>
              <w:t>Intravenous H2-receptor antagonist before emergency caesarean section; supplemented with 30 ml of sodium citrate if general anesthesia is planned</w:t>
            </w:r>
          </w:p>
        </w:tc>
        <w:tc>
          <w:tcPr>
            <w:tcW w:w="103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8"/>
              <w:jc w:val="center"/>
              <w:rPr>
                <w:rFonts w:ascii="Arial" w:eastAsia="Times New Roman" w:hAnsi="Arial" w:cs="Arial"/>
                <w:sz w:val="16"/>
                <w:szCs w:val="16"/>
                <w:lang w:eastAsia="es-AR"/>
              </w:rPr>
            </w:pPr>
            <w:r>
              <w:rPr>
                <w:rFonts w:ascii="Arial" w:eastAsia="Times New Roman" w:hAnsi="Arial" w:cs="Arial"/>
                <w:sz w:val="16"/>
                <w:szCs w:val="16"/>
                <w:lang w:eastAsia="es-AR"/>
              </w:rPr>
              <w:t>Moderate</w:t>
            </w:r>
          </w:p>
        </w:tc>
        <w:tc>
          <w:tcPr>
            <w:tcW w:w="17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eastAsia="es-AR"/>
              </w:rPr>
            </w:pPr>
            <w:r>
              <w:rPr>
                <w:rFonts w:ascii="Arial" w:eastAsia="Times New Roman" w:hAnsi="Arial" w:cs="Arial"/>
                <w:sz w:val="16"/>
                <w:szCs w:val="16"/>
                <w:lang w:eastAsia="es-AR"/>
              </w:rPr>
              <w:t>Strong for</w:t>
            </w:r>
          </w:p>
        </w:tc>
      </w:tr>
    </w:tbl>
    <w:p w:rsidR="005030DA" w:rsidRPr="00ED708C" w:rsidRDefault="005030DA" w:rsidP="005030DA">
      <w:pPr>
        <w:spacing w:line="240" w:lineRule="auto"/>
        <w:ind w:left="142" w:right="11" w:hanging="142"/>
        <w:jc w:val="both"/>
        <w:rPr>
          <w:rFonts w:ascii="Arial" w:eastAsia="Times New Roman" w:hAnsi="Arial" w:cs="Arial"/>
          <w:color w:val="000000"/>
          <w:sz w:val="16"/>
          <w:lang w:val="en-US" w:eastAsia="es-AR"/>
        </w:rPr>
      </w:pPr>
      <w:r w:rsidRPr="00ED708C">
        <w:rPr>
          <w:rFonts w:ascii="Arial" w:eastAsia="Times New Roman" w:hAnsi="Arial" w:cs="Arial"/>
          <w:color w:val="000000"/>
          <w:sz w:val="16"/>
          <w:lang w:val="en-US" w:eastAsia="es-AR"/>
        </w:rPr>
        <w:t xml:space="preserve">* </w:t>
      </w:r>
      <w:bookmarkStart w:id="6" w:name="_Hlk532728931"/>
      <w:r>
        <w:rPr>
          <w:rFonts w:ascii="Arial" w:eastAsia="Times New Roman" w:hAnsi="Arial" w:cs="Arial"/>
          <w:color w:val="000000"/>
          <w:sz w:val="16"/>
          <w:lang w:val="en-US" w:eastAsia="es-AR"/>
        </w:rPr>
        <w:t xml:space="preserve">The </w:t>
      </w:r>
      <w:r w:rsidRPr="00ED708C">
        <w:rPr>
          <w:rFonts w:ascii="Arial" w:eastAsia="Times New Roman" w:hAnsi="Arial" w:cs="Arial"/>
          <w:color w:val="000000"/>
          <w:sz w:val="16"/>
          <w:lang w:val="en-US" w:eastAsia="es-AR"/>
        </w:rPr>
        <w:t>present</w:t>
      </w:r>
      <w:r>
        <w:rPr>
          <w:rFonts w:ascii="Arial" w:eastAsia="Times New Roman" w:hAnsi="Arial" w:cs="Arial"/>
          <w:color w:val="000000"/>
          <w:sz w:val="16"/>
          <w:lang w:val="en-US" w:eastAsia="es-AR"/>
        </w:rPr>
        <w:t>ed</w:t>
      </w:r>
      <w:r w:rsidRPr="00ED708C">
        <w:rPr>
          <w:rFonts w:ascii="Arial" w:eastAsia="Times New Roman" w:hAnsi="Arial" w:cs="Arial"/>
          <w:color w:val="000000"/>
          <w:sz w:val="16"/>
          <w:lang w:val="en-US" w:eastAsia="es-AR"/>
        </w:rPr>
        <w:t xml:space="preserve"> level of evidence and recommendation strength </w:t>
      </w:r>
      <w:r>
        <w:rPr>
          <w:rFonts w:ascii="Arial" w:eastAsia="Times New Roman" w:hAnsi="Arial" w:cs="Arial"/>
          <w:color w:val="000000"/>
          <w:sz w:val="16"/>
          <w:lang w:val="en-US" w:eastAsia="es-AR"/>
        </w:rPr>
        <w:t>comes from</w:t>
      </w:r>
      <w:r w:rsidRPr="00ED708C">
        <w:rPr>
          <w:rFonts w:ascii="Arial" w:eastAsia="Times New Roman" w:hAnsi="Arial" w:cs="Arial"/>
          <w:color w:val="000000"/>
          <w:sz w:val="16"/>
          <w:lang w:val="en-US" w:eastAsia="es-AR"/>
        </w:rPr>
        <w:t xml:space="preserve"> the EB-CPG with the highest overall and methodological rigor AGREE-II score</w:t>
      </w:r>
      <w:r>
        <w:rPr>
          <w:rFonts w:ascii="Arial" w:eastAsia="Times New Roman" w:hAnsi="Arial" w:cs="Arial"/>
          <w:color w:val="000000"/>
          <w:sz w:val="16"/>
          <w:lang w:val="en-US" w:eastAsia="es-AR"/>
        </w:rPr>
        <w:t xml:space="preserve">. The </w:t>
      </w:r>
      <w:r w:rsidRPr="00ED708C">
        <w:rPr>
          <w:rFonts w:ascii="Arial" w:eastAsia="Times New Roman" w:hAnsi="Arial" w:cs="Arial"/>
          <w:color w:val="000000"/>
          <w:sz w:val="16"/>
          <w:lang w:val="en-US" w:eastAsia="es-AR"/>
        </w:rPr>
        <w:t xml:space="preserve">level of evidence and recommendation strength </w:t>
      </w:r>
      <w:r>
        <w:rPr>
          <w:rFonts w:ascii="Arial" w:eastAsia="Times New Roman" w:hAnsi="Arial" w:cs="Arial"/>
          <w:color w:val="000000"/>
          <w:sz w:val="16"/>
          <w:lang w:val="en-US" w:eastAsia="es-AR"/>
        </w:rPr>
        <w:t>by</w:t>
      </w:r>
      <w:r w:rsidRPr="00ED708C">
        <w:rPr>
          <w:rFonts w:ascii="Arial" w:eastAsia="Times New Roman" w:hAnsi="Arial" w:cs="Arial"/>
          <w:color w:val="000000"/>
          <w:sz w:val="16"/>
          <w:lang w:val="en-US" w:eastAsia="es-AR"/>
        </w:rPr>
        <w:t xml:space="preserve"> EB-CPG</w:t>
      </w:r>
      <w:r>
        <w:rPr>
          <w:rFonts w:ascii="Arial" w:eastAsia="Times New Roman" w:hAnsi="Arial" w:cs="Arial"/>
          <w:color w:val="000000"/>
          <w:sz w:val="16"/>
          <w:lang w:val="en-US" w:eastAsia="es-AR"/>
        </w:rPr>
        <w:t xml:space="preserve"> is presented in the o</w:t>
      </w:r>
      <w:r w:rsidRPr="009609C1">
        <w:rPr>
          <w:rFonts w:ascii="Arial" w:eastAsia="Times New Roman" w:hAnsi="Arial" w:cs="Arial"/>
          <w:color w:val="000000"/>
          <w:sz w:val="16"/>
          <w:lang w:val="en-US" w:eastAsia="es-AR"/>
        </w:rPr>
        <w:t xml:space="preserve">nline supplemental material </w:t>
      </w:r>
      <w:r>
        <w:rPr>
          <w:rFonts w:ascii="Arial" w:eastAsia="Times New Roman" w:hAnsi="Arial" w:cs="Arial"/>
          <w:color w:val="000000"/>
          <w:sz w:val="16"/>
          <w:lang w:val="en-US" w:eastAsia="es-AR"/>
        </w:rPr>
        <w:t>6</w:t>
      </w:r>
      <w:r w:rsidRPr="009609C1">
        <w:rPr>
          <w:rFonts w:ascii="Arial" w:eastAsia="Times New Roman" w:hAnsi="Arial" w:cs="Arial"/>
          <w:color w:val="000000"/>
          <w:sz w:val="16"/>
          <w:lang w:val="en-US" w:eastAsia="es-AR"/>
        </w:rPr>
        <w:t>.a</w:t>
      </w:r>
      <w:bookmarkEnd w:id="6"/>
    </w:p>
    <w:p w:rsidR="005030DA" w:rsidRPr="006C41DE" w:rsidRDefault="005030DA" w:rsidP="005030DA">
      <w:pPr>
        <w:pStyle w:val="Heading2"/>
        <w:spacing w:line="360" w:lineRule="auto"/>
        <w:ind w:right="-416"/>
        <w:jc w:val="both"/>
        <w:rPr>
          <w:rFonts w:ascii="Arial" w:hAnsi="Arial" w:cs="Arial"/>
          <w:bCs/>
          <w:color w:val="auto"/>
          <w:sz w:val="20"/>
          <w:szCs w:val="20"/>
          <w:lang w:val="en-US"/>
        </w:rPr>
      </w:pPr>
      <w:bookmarkStart w:id="7" w:name="_Ref498937651"/>
      <w:bookmarkStart w:id="8" w:name="_Ref500072160"/>
      <w:bookmarkStart w:id="9" w:name="_Toc502930678"/>
      <w:bookmarkStart w:id="10" w:name="_Hlk499604057"/>
      <w:bookmarkStart w:id="11" w:name="_Hlk14035904"/>
      <w:r w:rsidRPr="006C41DE">
        <w:rPr>
          <w:rFonts w:ascii="Arial" w:hAnsi="Arial" w:cs="Arial"/>
          <w:b/>
          <w:color w:val="auto"/>
          <w:sz w:val="20"/>
          <w:szCs w:val="20"/>
          <w:lang w:val="en-US"/>
        </w:rPr>
        <w:lastRenderedPageBreak/>
        <w:t xml:space="preserve">Table 3. </w:t>
      </w:r>
      <w:bookmarkEnd w:id="7"/>
      <w:bookmarkEnd w:id="8"/>
      <w:bookmarkEnd w:id="9"/>
      <w:r w:rsidRPr="006C41DE">
        <w:rPr>
          <w:rFonts w:ascii="Arial" w:hAnsi="Arial" w:cs="Arial"/>
          <w:bCs/>
          <w:color w:val="auto"/>
          <w:sz w:val="20"/>
          <w:szCs w:val="20"/>
          <w:lang w:val="en-US"/>
        </w:rPr>
        <w:t>Therapeutic/preventive care, GRADE level of evidence and strength of recommendation</w:t>
      </w:r>
    </w:p>
    <w:tbl>
      <w:tblPr>
        <w:tblW w:w="10449" w:type="dxa"/>
        <w:tblInd w:w="-717" w:type="dxa"/>
        <w:tblLayout w:type="fixed"/>
        <w:tblCellMar>
          <w:left w:w="0" w:type="dxa"/>
          <w:right w:w="0" w:type="dxa"/>
        </w:tblCellMar>
        <w:tblLook w:val="0620" w:firstRow="1" w:lastRow="0" w:firstColumn="0" w:lastColumn="0" w:noHBand="1" w:noVBand="1"/>
      </w:tblPr>
      <w:tblGrid>
        <w:gridCol w:w="7655"/>
        <w:gridCol w:w="990"/>
        <w:gridCol w:w="1804"/>
      </w:tblGrid>
      <w:tr w:rsidR="005030DA" w:rsidTr="00204E6F">
        <w:trPr>
          <w:trHeight w:val="20"/>
          <w:tblHeader/>
        </w:trPr>
        <w:tc>
          <w:tcPr>
            <w:tcW w:w="7655"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hideMark/>
          </w:tcPr>
          <w:p w:rsidR="005030DA" w:rsidRDefault="005030DA" w:rsidP="00204E6F">
            <w:pPr>
              <w:spacing w:after="0" w:line="240" w:lineRule="auto"/>
              <w:ind w:left="164" w:hanging="164"/>
              <w:rPr>
                <w:rFonts w:ascii="Arial" w:eastAsia="Times New Roman" w:hAnsi="Arial" w:cs="Arial"/>
                <w:sz w:val="20"/>
                <w:szCs w:val="16"/>
                <w:lang w:val="en-US" w:eastAsia="es-AR"/>
              </w:rPr>
            </w:pPr>
            <w:bookmarkStart w:id="12" w:name="_Hlk516831061"/>
            <w:bookmarkEnd w:id="10"/>
            <w:r>
              <w:rPr>
                <w:rStyle w:val="notranslate"/>
                <w:rFonts w:ascii="Arial" w:hAnsi="Arial" w:cs="Arial"/>
                <w:b/>
                <w:bCs/>
                <w:sz w:val="20"/>
                <w:szCs w:val="16"/>
                <w:lang w:val="en-US"/>
              </w:rPr>
              <w:t>Recommendation</w:t>
            </w:r>
          </w:p>
        </w:tc>
        <w:tc>
          <w:tcPr>
            <w:tcW w:w="99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hideMark/>
          </w:tcPr>
          <w:p w:rsidR="005030DA" w:rsidRDefault="005030DA" w:rsidP="00204E6F">
            <w:pPr>
              <w:spacing w:after="0" w:line="240" w:lineRule="auto"/>
              <w:ind w:left="-108" w:right="-104"/>
              <w:jc w:val="center"/>
              <w:rPr>
                <w:rStyle w:val="notranslate"/>
                <w:b/>
                <w:bCs/>
              </w:rPr>
            </w:pPr>
            <w:r>
              <w:rPr>
                <w:rStyle w:val="notranslate"/>
                <w:rFonts w:ascii="Arial" w:hAnsi="Arial" w:cs="Arial"/>
                <w:b/>
                <w:bCs/>
                <w:sz w:val="20"/>
                <w:szCs w:val="16"/>
                <w:lang w:val="en-US"/>
              </w:rPr>
              <w:t xml:space="preserve">Level of Evidence </w:t>
            </w:r>
          </w:p>
        </w:tc>
        <w:tc>
          <w:tcPr>
            <w:tcW w:w="1804" w:type="dxa"/>
            <w:tcBorders>
              <w:top w:val="single" w:sz="6" w:space="0" w:color="000000"/>
              <w:left w:val="single" w:sz="6" w:space="0" w:color="000000"/>
              <w:bottom w:val="single" w:sz="6" w:space="0" w:color="000000"/>
              <w:right w:val="single" w:sz="8" w:space="0" w:color="auto"/>
            </w:tcBorders>
            <w:shd w:val="clear" w:color="auto" w:fill="D9D9D9" w:themeFill="background1" w:themeFillShade="D9"/>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eastAsia="Times New Roman"/>
                <w:lang w:val="en-US" w:eastAsia="es-AR"/>
              </w:rPr>
            </w:pPr>
            <w:r>
              <w:rPr>
                <w:rStyle w:val="notranslate"/>
                <w:rFonts w:ascii="Arial" w:hAnsi="Arial" w:cs="Arial"/>
                <w:b/>
                <w:bCs/>
                <w:sz w:val="20"/>
                <w:szCs w:val="16"/>
                <w:lang w:val="en-US"/>
              </w:rPr>
              <w:t>Strength of Recommendation</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FFE599" w:themeFill="accent4" w:themeFillTint="66"/>
            <w:tcMar>
              <w:top w:w="0" w:type="dxa"/>
              <w:left w:w="108" w:type="dxa"/>
              <w:bottom w:w="0" w:type="dxa"/>
              <w:right w:w="108" w:type="dxa"/>
            </w:tcMar>
            <w:vAlign w:val="center"/>
          </w:tcPr>
          <w:p w:rsidR="005030DA" w:rsidRDefault="005030DA" w:rsidP="00204E6F">
            <w:pPr>
              <w:spacing w:after="0" w:line="240" w:lineRule="auto"/>
              <w:ind w:right="-104"/>
              <w:rPr>
                <w:rFonts w:ascii="Arial" w:eastAsia="Times New Roman" w:hAnsi="Arial" w:cs="Arial"/>
                <w:b/>
                <w:bCs/>
                <w:sz w:val="16"/>
                <w:szCs w:val="16"/>
                <w:lang w:eastAsia="es-AR"/>
              </w:rPr>
            </w:pPr>
            <w:r>
              <w:rPr>
                <w:rFonts w:ascii="Arial" w:eastAsia="Times New Roman" w:hAnsi="Arial" w:cs="Arial"/>
                <w:b/>
                <w:bCs/>
                <w:sz w:val="16"/>
                <w:szCs w:val="16"/>
                <w:lang w:eastAsia="es-AR"/>
              </w:rPr>
              <w:t>General Recommendations</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Smoking cessation</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Smoking cessation advice</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Fast</w:t>
            </w:r>
          </w:p>
        </w:tc>
      </w:tr>
      <w:tr w:rsidR="005030DA" w:rsidTr="00204E6F">
        <w:trPr>
          <w:trHeight w:val="273"/>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Stop fluid intake in children and adults at least 2 hours before elective surgery in</w:t>
            </w:r>
          </w:p>
        </w:tc>
        <w:tc>
          <w:tcPr>
            <w:tcW w:w="990"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Stop intake of solids in children and adults 6 hours before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Stop intake in infants up to 4 hours before surgery and 6 hours in those who consume other milks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Intake of clear fluids (including water, clear juice and tea or coffee without milk) in children and adults up to 2 hours before elective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Carbohydrate intake</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Intake until 2 hours before surgery in nondiabetics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p w:rsidR="005030DA" w:rsidRDefault="005030DA" w:rsidP="00204E6F">
            <w:pPr>
              <w:spacing w:after="0" w:line="240" w:lineRule="auto"/>
              <w:rPr>
                <w:rFonts w:ascii="Arial" w:eastAsia="Times New Roman" w:hAnsi="Arial" w:cs="Arial"/>
                <w:sz w:val="16"/>
                <w:szCs w:val="16"/>
                <w:lang w:val="en-US" w:eastAsia="es-AR"/>
              </w:rPr>
            </w:pPr>
            <w:r>
              <w:rPr>
                <w:rFonts w:ascii="Arial" w:eastAsia="Times New Roman" w:hAnsi="Arial" w:cs="Arial"/>
                <w:sz w:val="16"/>
                <w:szCs w:val="16"/>
                <w:lang w:val="en-US" w:eastAsia="es-AR"/>
              </w:rPr>
              <w:t> </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Taking high carbohydrate drinks to 2 hours before elective surgery even in diabetic patients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Drink liquids rich in carbohydrates before elective surgery improves subjective well-being, reduces thirst and hunger and reduces postoperative insulin resistance</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Alcohol intake</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Avoid drinking 4 weeks before, especially in rectal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Bowel preparation (cleansing)</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64" w:hanging="164"/>
              <w:rPr>
                <w:rFonts w:ascii="Arial" w:eastAsia="Times New Roman" w:hAnsi="Arial" w:cs="Arial"/>
                <w:sz w:val="16"/>
                <w:szCs w:val="16"/>
                <w:lang w:val="en-US" w:eastAsia="es-AR"/>
              </w:rPr>
            </w:pPr>
            <w:r>
              <w:rPr>
                <w:rFonts w:ascii="Arial" w:eastAsia="Times New Roman" w:hAnsi="Arial" w:cs="Arial"/>
                <w:sz w:val="16"/>
                <w:szCs w:val="16"/>
                <w:lang w:val="en-US" w:eastAsia="es-AR"/>
              </w:rPr>
              <w:t>With or without planned bowel resection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RPr="00D71E5E"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 xml:space="preserve">Antimicrobial prophylaxis </w:t>
            </w:r>
            <w:r>
              <w:rPr>
                <w:rFonts w:ascii="Arial" w:eastAsia="Times New Roman" w:hAnsi="Arial" w:cs="Arial"/>
                <w:bCs/>
                <w:sz w:val="16"/>
                <w:szCs w:val="16"/>
                <w:lang w:val="en-US" w:eastAsia="es-AR"/>
              </w:rPr>
              <w:t>(See </w:t>
            </w:r>
            <w:r>
              <w:rPr>
                <w:rFonts w:ascii="Arial" w:eastAsia="Times New Roman" w:hAnsi="Arial" w:cs="Arial"/>
                <w:b/>
                <w:bCs/>
                <w:sz w:val="16"/>
                <w:szCs w:val="16"/>
                <w:lang w:val="en-US" w:eastAsia="es-AR"/>
              </w:rPr>
              <w:t>Annex 2</w:t>
            </w:r>
            <w:r>
              <w:rPr>
                <w:rFonts w:ascii="Arial" w:eastAsia="Times New Roman" w:hAnsi="Arial" w:cs="Arial"/>
                <w:bCs/>
                <w:sz w:val="16"/>
                <w:szCs w:val="16"/>
                <w:lang w:val="en-US" w:eastAsia="es-AR"/>
              </w:rPr>
              <w:t xml:space="preserve"> for specific antibiotic recommendations details)</w:t>
            </w:r>
          </w:p>
        </w:tc>
      </w:tr>
      <w:tr w:rsidR="005030DA" w:rsidTr="00204E6F">
        <w:trPr>
          <w:trHeight w:val="552"/>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Antibiotics intravenous (first generation cephalosporin or amoxicillin/clavulanate) routinely 60 minutes before the incision. Further doses for prolonged surgery, severe blood losses and obese patients</w:t>
            </w:r>
          </w:p>
        </w:tc>
        <w:tc>
          <w:tcPr>
            <w:tcW w:w="990"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nil"/>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Vancomycin monotherapy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insertion of a pacemaker or cardiac defibrillator, in open surgery including coronary bypass and valve prosthesis placement</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lung resection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clean-contaminated head and neck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adenotonsillectomy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ear surgery including myringoplasty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nasal and paranasal surgeries sinus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clean head and neck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colorectal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oncological breast surgery and reduction mammoplasty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 </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endoscopic gastrostomy and stomach and duodenum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clean-contaminated procedures esophagus and small intestine</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appendectomy, open biliary surgery, liver resection surgery, pancreatic surgery, breast augmentation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inguinal hernia repair with or without use of prosthetic material, laparoscopic hernia surgery with or without prosthetic material, diagnostic laparoscopy and excisional lymph node biopsy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laparoscopic cholecystectomy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Intranasal mupirucina in adult patients undergoing surgery with a high risk of major morbidity due to S. aureus or MRSA</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craniotomy and cerebrospinal flow deviation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46"/>
        </w:trPr>
        <w:tc>
          <w:tcPr>
            <w:tcW w:w="7655"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induction of abortion and caesarean section</w:t>
            </w:r>
          </w:p>
        </w:tc>
        <w:tc>
          <w:tcPr>
            <w:tcW w:w="990"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nil"/>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 xml:space="preserve">For abdominal and vaginal hysterectomy </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salpingo-oophorectomy and ovarian tissue excision or reconstruction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ankle prosthesis implantation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knee prosthesis implantation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closed fracture fixation, mounting a prosthetic device when there is no direct evidence available, ankle fracture repair</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spinal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elective orthopedic surgeries without use of prosthesis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transurethral resection of the prostate, lithotripsy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transrectal prostate biopsy, radical prostatectomy, radical cystectomy, surgery of renal parenchyma, nephrectomy and removal of hydrocele</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transurethral resection of bladder tumors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lower limb amputation and arterial surgery in the abdomen or lower extremities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carotidal thrombo-endarterectomy, endarterectomy, tubal surgery varicose veins and other venous occlusions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 xml:space="preserve">Antibiotic must have a spectrum of action against likely contaminants </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383"/>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 xml:space="preserve">Avoid beta-lactam antibiotics in patients with a history of anaphylaxis, urticaria or rash appearing immediately after treatment with penicillin </w:t>
            </w:r>
          </w:p>
        </w:tc>
        <w:tc>
          <w:tcPr>
            <w:tcW w:w="990" w:type="dxa"/>
            <w:tcBorders>
              <w:top w:val="single" w:sz="6" w:space="0" w:color="000000"/>
              <w:left w:val="single" w:sz="6" w:space="0" w:color="000000"/>
              <w:bottom w:val="single" w:sz="4" w:space="0" w:color="auto"/>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4" w:space="0" w:color="auto"/>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383"/>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Antibiotic prophylaxis should begin immediately before anesthesia and, in any case, of 30 to 60 minutes before the first skin incision</w:t>
            </w:r>
          </w:p>
        </w:tc>
        <w:tc>
          <w:tcPr>
            <w:tcW w:w="990" w:type="dxa"/>
            <w:tcBorders>
              <w:top w:val="single" w:sz="4" w:space="0" w:color="auto"/>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4" w:space="0" w:color="auto"/>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lastRenderedPageBreak/>
              <w:t>More than single antibiotic dose (except in special situations)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Additional intraoperative dose of antibiotic in adults, to be held after the fluid replenishment, if a loss of more than 1500 ml of blood is verified during the operation or after hemodilution of more 15 ml per kg</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Consider the increased risk clostridium difficile infection associated with some antibiotics like cephalosporins, clindamycin, fluoroquinolones, carbapenems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Consider glycopeptides for prophylaxis in patients undergoing high-risk surgery that are positive for MRSA</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Registering a minimum set of data on medical history and treatment forms to assess the suitability of perioperative antibiotic prophylaxis </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very 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 xml:space="preserve">Preanesthetic medication </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Benzodiazepines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against</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Thromboprophylaxis</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Compression stockings</w:t>
            </w:r>
          </w:p>
        </w:tc>
        <w:tc>
          <w:tcPr>
            <w:tcW w:w="9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Low molecular weight heparin</w:t>
            </w:r>
          </w:p>
        </w:tc>
        <w:tc>
          <w:tcPr>
            <w:tcW w:w="990" w:type="dxa"/>
            <w:vMerge/>
            <w:tcBorders>
              <w:top w:val="single" w:sz="6" w:space="0" w:color="000000"/>
              <w:left w:val="single" w:sz="6" w:space="0" w:color="000000"/>
              <w:bottom w:val="single" w:sz="6" w:space="0" w:color="000000"/>
              <w:right w:val="single" w:sz="6" w:space="0" w:color="000000"/>
            </w:tcBorders>
            <w:vAlign w:val="center"/>
            <w:hideMark/>
          </w:tcPr>
          <w:p w:rsidR="005030DA" w:rsidRDefault="005030DA" w:rsidP="00204E6F">
            <w:pPr>
              <w:spacing w:after="0"/>
              <w:rPr>
                <w:rFonts w:ascii="Arial" w:eastAsia="Times New Roman" w:hAnsi="Arial" w:cs="Arial"/>
                <w:sz w:val="16"/>
                <w:szCs w:val="16"/>
                <w:lang w:val="en-US" w:eastAsia="es-AR"/>
              </w:rPr>
            </w:pP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Continuation of contraceptives</w:t>
            </w:r>
          </w:p>
        </w:tc>
        <w:tc>
          <w:tcPr>
            <w:tcW w:w="990" w:type="dxa"/>
            <w:vMerge/>
            <w:tcBorders>
              <w:top w:val="single" w:sz="6" w:space="0" w:color="000000"/>
              <w:left w:val="single" w:sz="6" w:space="0" w:color="000000"/>
              <w:bottom w:val="single" w:sz="6" w:space="0" w:color="000000"/>
              <w:right w:val="single" w:sz="6" w:space="0" w:color="000000"/>
            </w:tcBorders>
            <w:vAlign w:val="center"/>
            <w:hideMark/>
          </w:tcPr>
          <w:p w:rsidR="005030DA" w:rsidRDefault="005030DA" w:rsidP="00204E6F">
            <w:pPr>
              <w:spacing w:after="0"/>
              <w:rPr>
                <w:rFonts w:ascii="Arial" w:eastAsia="Times New Roman" w:hAnsi="Arial" w:cs="Arial"/>
                <w:sz w:val="16"/>
                <w:szCs w:val="16"/>
                <w:lang w:val="en-US" w:eastAsia="es-AR"/>
              </w:rPr>
            </w:pP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Surgical site preparation</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Alcohol-chlorhexidine use</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Antimicrobial agents (i.e. ointments, solutions or powders) for prevention of surgical site infection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Hair clipping</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Adhesive strips of plastic with or without antimicrobial properties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Microbial sealant after intraoperative skin preparation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against</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Patients bath with antiseptic agent at least one night before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bookmarkEnd w:id="12"/>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hemeFill="accent5" w:themeFillTint="33"/>
            <w:tcMar>
              <w:top w:w="0" w:type="dxa"/>
              <w:left w:w="108" w:type="dxa"/>
              <w:bottom w:w="0" w:type="dxa"/>
              <w:right w:w="108" w:type="dxa"/>
            </w:tcMar>
            <w:vAlign w:val="center"/>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Prokinetic</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obstetrical patients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non-obstetrical patients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Moderate</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RPr="00D71E5E"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FFE599" w:themeFill="accent4" w:themeFillTint="66"/>
            <w:tcMar>
              <w:top w:w="0" w:type="dxa"/>
              <w:left w:w="108" w:type="dxa"/>
              <w:bottom w:w="0" w:type="dxa"/>
              <w:right w:w="108" w:type="dxa"/>
            </w:tcMar>
            <w:vAlign w:val="center"/>
          </w:tcPr>
          <w:p w:rsidR="005030DA" w:rsidRPr="00B133F1" w:rsidRDefault="005030DA" w:rsidP="00204E6F">
            <w:pPr>
              <w:spacing w:after="0" w:line="240" w:lineRule="auto"/>
              <w:ind w:right="-104"/>
              <w:rPr>
                <w:rFonts w:ascii="Arial" w:eastAsia="Times New Roman" w:hAnsi="Arial" w:cs="Arial"/>
                <w:sz w:val="16"/>
                <w:szCs w:val="16"/>
                <w:lang w:val="en-US" w:eastAsia="es-AR"/>
              </w:rPr>
            </w:pPr>
            <w:r w:rsidRPr="00B133F1">
              <w:rPr>
                <w:rFonts w:ascii="Arial" w:eastAsia="Times New Roman" w:hAnsi="Arial" w:cs="Arial"/>
                <w:b/>
                <w:bCs/>
                <w:sz w:val="16"/>
                <w:szCs w:val="16"/>
                <w:lang w:val="en-US" w:eastAsia="es-AR"/>
              </w:rPr>
              <w:t>Specific Recommendations by some clinical specialties</w:t>
            </w:r>
          </w:p>
        </w:tc>
      </w:tr>
      <w:tr w:rsidR="005030DA" w:rsidRPr="00575717"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FFE599" w:themeFill="accent4" w:themeFillTint="66"/>
            <w:tcMar>
              <w:top w:w="0" w:type="dxa"/>
              <w:left w:w="108" w:type="dxa"/>
              <w:bottom w:w="0" w:type="dxa"/>
              <w:right w:w="108" w:type="dxa"/>
            </w:tcMar>
            <w:vAlign w:val="center"/>
          </w:tcPr>
          <w:p w:rsidR="005030DA" w:rsidRDefault="005030DA" w:rsidP="00204E6F">
            <w:pPr>
              <w:spacing w:after="0" w:line="240" w:lineRule="auto"/>
              <w:ind w:right="-104"/>
              <w:rPr>
                <w:rFonts w:ascii="Arial" w:eastAsia="Times New Roman" w:hAnsi="Arial" w:cs="Arial"/>
                <w:b/>
                <w:bCs/>
                <w:sz w:val="16"/>
                <w:szCs w:val="16"/>
                <w:lang w:eastAsia="es-AR"/>
              </w:rPr>
            </w:pPr>
            <w:r>
              <w:rPr>
                <w:rFonts w:ascii="Arial" w:eastAsia="Times New Roman" w:hAnsi="Arial" w:cs="Arial"/>
                <w:b/>
                <w:bCs/>
                <w:sz w:val="16"/>
                <w:szCs w:val="16"/>
                <w:lang w:eastAsia="es-AR"/>
              </w:rPr>
              <w:t>Renal recommendation</w:t>
            </w:r>
          </w:p>
        </w:tc>
      </w:tr>
      <w:tr w:rsidR="005030DA" w:rsidRPr="00D71E5E"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Adjustments of insulin therapy in diabetic patients</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50% reduction in long-acting insulin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Correction with short-acting insulin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Oral hypoglycemic agents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FFE599" w:themeFill="accent4" w:themeFillTint="66"/>
            <w:tcMar>
              <w:top w:w="0" w:type="dxa"/>
              <w:left w:w="108" w:type="dxa"/>
              <w:bottom w:w="0" w:type="dxa"/>
              <w:right w:w="108" w:type="dxa"/>
            </w:tcMar>
            <w:vAlign w:val="center"/>
          </w:tcPr>
          <w:p w:rsidR="005030DA" w:rsidRDefault="005030DA" w:rsidP="00204E6F">
            <w:pPr>
              <w:spacing w:after="0" w:line="240" w:lineRule="auto"/>
              <w:ind w:right="-104"/>
              <w:rPr>
                <w:rFonts w:ascii="Arial" w:eastAsia="Times New Roman" w:hAnsi="Arial" w:cs="Arial"/>
                <w:b/>
                <w:bCs/>
                <w:sz w:val="16"/>
                <w:szCs w:val="16"/>
                <w:lang w:eastAsia="es-AR"/>
              </w:rPr>
            </w:pPr>
            <w:r>
              <w:rPr>
                <w:rFonts w:ascii="Arial" w:eastAsia="Times New Roman" w:hAnsi="Arial" w:cs="Arial"/>
                <w:b/>
                <w:bCs/>
                <w:sz w:val="16"/>
                <w:szCs w:val="16"/>
                <w:lang w:eastAsia="es-AR"/>
              </w:rPr>
              <w:t>Cardiovascular recommendations</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Beta-blockers</w:t>
            </w:r>
          </w:p>
        </w:tc>
      </w:tr>
      <w:tr w:rsidR="005030DA" w:rsidTr="00204E6F">
        <w:trPr>
          <w:trHeight w:val="264"/>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Continuation of beta-blockers</w:t>
            </w:r>
          </w:p>
        </w:tc>
        <w:tc>
          <w:tcPr>
            <w:tcW w:w="990"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nil"/>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55"/>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For patients with positive test for myocardial ischemia undergoing vascular surgery</w:t>
            </w:r>
          </w:p>
        </w:tc>
        <w:tc>
          <w:tcPr>
            <w:tcW w:w="990" w:type="dxa"/>
            <w:tcBorders>
              <w:top w:val="single" w:sz="6" w:space="0" w:color="000000"/>
              <w:left w:val="single" w:sz="6" w:space="0" w:color="000000"/>
              <w:bottom w:val="nil"/>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nil"/>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 the day of surgery treatment regardless of the condition to be treated</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Statins</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 xml:space="preserve">Continuation of statins or start before undergoing noncardiac surgery patients with significant atherosclerosis as secondary prevention  </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Treatment naïve patients undergoing noncardiac surgery without significant atherosclerosis</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Aspirin</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7"/>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Suspending aspirin three or more days before noncardiac surgery and not restart within a week after it</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7"/>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Continuation of aspirin (75-100 mg daily) in patients who presented acute coronary syndrome in the last 12 months or history of percutaneous coronary intervention</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7"/>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 or not to suspend treatment prior to surgery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High</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Renin-angiotensin system inhibitors</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Suspend them the day of surgery in chronically medicated patients and restart immediately in hemodynamically stable conditions</w:t>
            </w:r>
          </w:p>
        </w:tc>
        <w:tc>
          <w:tcPr>
            <w:tcW w:w="9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RPr="00D71E5E"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 in patients with severe hypertension or ventricular dysfunction if suspending the day of surgery</w:t>
            </w:r>
          </w:p>
        </w:tc>
        <w:tc>
          <w:tcPr>
            <w:tcW w:w="990" w:type="dxa"/>
            <w:vMerge/>
            <w:tcBorders>
              <w:top w:val="single" w:sz="6" w:space="0" w:color="000000"/>
              <w:left w:val="single" w:sz="6" w:space="0" w:color="000000"/>
              <w:bottom w:val="single" w:sz="6" w:space="0" w:color="000000"/>
              <w:right w:val="single" w:sz="6" w:space="0" w:color="000000"/>
            </w:tcBorders>
            <w:vAlign w:val="center"/>
            <w:hideMark/>
          </w:tcPr>
          <w:p w:rsidR="005030DA" w:rsidRDefault="005030DA" w:rsidP="00204E6F">
            <w:pPr>
              <w:spacing w:after="0"/>
              <w:rPr>
                <w:rFonts w:ascii="Arial" w:eastAsia="Times New Roman" w:hAnsi="Arial" w:cs="Arial"/>
                <w:sz w:val="16"/>
                <w:szCs w:val="16"/>
                <w:lang w:val="en-US" w:eastAsia="es-AR"/>
              </w:rPr>
            </w:pP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 treatment the day of surgery in patients who do not receive it chronically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r w:rsidR="005030DA" w:rsidTr="00204E6F">
        <w:trPr>
          <w:trHeight w:val="20"/>
        </w:trPr>
        <w:tc>
          <w:tcPr>
            <w:tcW w:w="10449" w:type="dxa"/>
            <w:gridSpan w:val="3"/>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5030DA" w:rsidRDefault="005030DA" w:rsidP="00204E6F">
            <w:pPr>
              <w:numPr>
                <w:ilvl w:val="0"/>
                <w:numId w:val="32"/>
              </w:numPr>
              <w:tabs>
                <w:tab w:val="clear" w:pos="720"/>
                <w:tab w:val="num" w:pos="310"/>
                <w:tab w:val="num" w:pos="1260"/>
              </w:tabs>
              <w:spacing w:after="0" w:line="240" w:lineRule="auto"/>
              <w:ind w:left="0" w:right="-104" w:firstLine="0"/>
              <w:rPr>
                <w:rFonts w:ascii="Arial" w:eastAsia="Times New Roman" w:hAnsi="Arial" w:cs="Arial"/>
                <w:b/>
                <w:bCs/>
                <w:sz w:val="16"/>
                <w:szCs w:val="16"/>
                <w:lang w:val="en-US" w:eastAsia="es-AR"/>
              </w:rPr>
            </w:pPr>
            <w:r>
              <w:rPr>
                <w:rFonts w:ascii="Arial" w:eastAsia="Times New Roman" w:hAnsi="Arial" w:cs="Arial"/>
                <w:b/>
                <w:bCs/>
                <w:sz w:val="16"/>
                <w:szCs w:val="16"/>
                <w:lang w:val="en-US" w:eastAsia="es-AR"/>
              </w:rPr>
              <w:t>Calcium Channel Blockers</w:t>
            </w: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Suspend singlethe preoperative dose the day of the surgery in chronically medicated patients</w:t>
            </w:r>
          </w:p>
        </w:tc>
        <w:tc>
          <w:tcPr>
            <w:tcW w:w="9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Weak for</w:t>
            </w:r>
          </w:p>
        </w:tc>
      </w:tr>
      <w:tr w:rsidR="005030DA" w:rsidRPr="00D71E5E"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Starting treatment in patients with inducible myocardial ischemia or suspected coronary vasospasm during preoperative evaluation and suspend singlethe day of surgery</w:t>
            </w:r>
          </w:p>
        </w:tc>
        <w:tc>
          <w:tcPr>
            <w:tcW w:w="990" w:type="dxa"/>
            <w:vMerge/>
            <w:tcBorders>
              <w:top w:val="single" w:sz="6" w:space="0" w:color="000000"/>
              <w:left w:val="single" w:sz="6" w:space="0" w:color="000000"/>
              <w:bottom w:val="single" w:sz="6" w:space="0" w:color="000000"/>
              <w:right w:val="single" w:sz="6" w:space="0" w:color="000000"/>
            </w:tcBorders>
            <w:vAlign w:val="center"/>
            <w:hideMark/>
          </w:tcPr>
          <w:p w:rsidR="005030DA" w:rsidRDefault="005030DA" w:rsidP="00204E6F">
            <w:pPr>
              <w:spacing w:after="0"/>
              <w:rPr>
                <w:rFonts w:ascii="Arial" w:eastAsia="Times New Roman" w:hAnsi="Arial" w:cs="Arial"/>
                <w:sz w:val="16"/>
                <w:szCs w:val="16"/>
                <w:lang w:val="en-US" w:eastAsia="es-AR"/>
              </w:rPr>
            </w:pPr>
          </w:p>
        </w:tc>
        <w:tc>
          <w:tcPr>
            <w:tcW w:w="1804" w:type="dxa"/>
            <w:vMerge/>
            <w:tcBorders>
              <w:top w:val="single" w:sz="6" w:space="0" w:color="000000"/>
              <w:left w:val="single" w:sz="6" w:space="0" w:color="000000"/>
              <w:bottom w:val="single" w:sz="6" w:space="0" w:color="000000"/>
              <w:right w:val="single" w:sz="8" w:space="0" w:color="auto"/>
            </w:tcBorders>
            <w:vAlign w:val="center"/>
            <w:hideMark/>
          </w:tcPr>
          <w:p w:rsidR="005030DA" w:rsidRDefault="005030DA" w:rsidP="00204E6F">
            <w:pPr>
              <w:spacing w:after="0"/>
              <w:rPr>
                <w:rFonts w:ascii="Arial" w:eastAsia="Times New Roman" w:hAnsi="Arial" w:cs="Arial"/>
                <w:sz w:val="16"/>
                <w:szCs w:val="16"/>
                <w:lang w:val="en-US" w:eastAsia="es-AR"/>
              </w:rPr>
            </w:pPr>
          </w:p>
        </w:tc>
      </w:tr>
      <w:tr w:rsidR="005030DA" w:rsidTr="00204E6F">
        <w:trPr>
          <w:trHeight w:val="20"/>
        </w:trPr>
        <w:tc>
          <w:tcPr>
            <w:tcW w:w="765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26"/>
              <w:jc w:val="both"/>
              <w:rPr>
                <w:rFonts w:ascii="Arial" w:eastAsia="Times New Roman" w:hAnsi="Arial" w:cs="Arial"/>
                <w:sz w:val="16"/>
                <w:szCs w:val="16"/>
                <w:lang w:val="en-US" w:eastAsia="es-AR"/>
              </w:rPr>
            </w:pPr>
            <w:r>
              <w:rPr>
                <w:rFonts w:ascii="Arial" w:eastAsia="Times New Roman" w:hAnsi="Arial" w:cs="Arial"/>
                <w:sz w:val="16"/>
                <w:szCs w:val="16"/>
                <w:lang w:val="en-US" w:eastAsia="es-AR"/>
              </w:rPr>
              <w:t>Starting calcium channel blockers in the preoperative surgery in patients who do not receive chronically</w:t>
            </w:r>
          </w:p>
        </w:tc>
        <w:tc>
          <w:tcPr>
            <w:tcW w:w="9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030DA" w:rsidRDefault="005030DA" w:rsidP="00204E6F">
            <w:pPr>
              <w:spacing w:after="0" w:line="240" w:lineRule="auto"/>
              <w:ind w:left="-108" w:right="-104"/>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Low</w:t>
            </w:r>
          </w:p>
        </w:tc>
        <w:tc>
          <w:tcPr>
            <w:tcW w:w="18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5030DA" w:rsidRDefault="005030DA" w:rsidP="00204E6F">
            <w:pPr>
              <w:spacing w:after="0" w:line="240" w:lineRule="auto"/>
              <w:jc w:val="center"/>
              <w:rPr>
                <w:rFonts w:ascii="Arial" w:eastAsia="Times New Roman" w:hAnsi="Arial" w:cs="Arial"/>
                <w:sz w:val="16"/>
                <w:szCs w:val="16"/>
                <w:lang w:val="en-US" w:eastAsia="es-AR"/>
              </w:rPr>
            </w:pPr>
            <w:r>
              <w:rPr>
                <w:rFonts w:ascii="Arial" w:eastAsia="Times New Roman" w:hAnsi="Arial" w:cs="Arial"/>
                <w:sz w:val="16"/>
                <w:szCs w:val="16"/>
                <w:lang w:val="en-US" w:eastAsia="es-AR"/>
              </w:rPr>
              <w:t>Strong against</w:t>
            </w:r>
          </w:p>
        </w:tc>
      </w:tr>
    </w:tbl>
    <w:p w:rsidR="005030DA" w:rsidRPr="00DC526B" w:rsidRDefault="005030DA" w:rsidP="005030DA">
      <w:pPr>
        <w:spacing w:after="0" w:line="240" w:lineRule="auto"/>
        <w:jc w:val="both"/>
        <w:rPr>
          <w:rFonts w:ascii="Arial" w:eastAsia="Times New Roman" w:hAnsi="Arial" w:cs="Arial"/>
          <w:sz w:val="16"/>
          <w:szCs w:val="20"/>
          <w:lang w:val="en-US" w:eastAsia="es-AR"/>
        </w:rPr>
      </w:pPr>
      <w:r w:rsidRPr="00DC526B">
        <w:rPr>
          <w:rFonts w:ascii="Arial" w:eastAsia="Times New Roman" w:hAnsi="Arial" w:cs="Arial"/>
          <w:b/>
          <w:sz w:val="16"/>
          <w:szCs w:val="20"/>
          <w:lang w:val="en-US" w:eastAsia="es-AR"/>
        </w:rPr>
        <w:t>MRSA</w:t>
      </w:r>
      <w:r w:rsidRPr="00DC526B">
        <w:rPr>
          <w:rFonts w:ascii="Arial" w:eastAsia="Times New Roman" w:hAnsi="Arial" w:cs="Arial"/>
          <w:sz w:val="16"/>
          <w:szCs w:val="20"/>
          <w:lang w:val="en-US" w:eastAsia="es-AR"/>
        </w:rPr>
        <w:t>: methicillin resistant Staphylococcus aureus</w:t>
      </w:r>
    </w:p>
    <w:p w:rsidR="005030DA" w:rsidRPr="002A0C0A" w:rsidRDefault="005030DA" w:rsidP="005030DA">
      <w:pPr>
        <w:spacing w:line="240" w:lineRule="auto"/>
        <w:ind w:left="142" w:right="9" w:hanging="142"/>
        <w:jc w:val="both"/>
        <w:rPr>
          <w:rFonts w:ascii="Arial" w:hAnsi="Arial" w:cs="Arial"/>
          <w:color w:val="000000"/>
          <w:lang w:val="en-US"/>
        </w:rPr>
      </w:pPr>
      <w:r w:rsidRPr="00ED708C">
        <w:rPr>
          <w:rFonts w:ascii="Arial" w:eastAsia="Times New Roman" w:hAnsi="Arial" w:cs="Arial"/>
          <w:color w:val="000000"/>
          <w:sz w:val="16"/>
          <w:lang w:val="en-US" w:eastAsia="es-AR"/>
        </w:rPr>
        <w:t xml:space="preserve">* </w:t>
      </w:r>
      <w:r>
        <w:rPr>
          <w:rFonts w:ascii="Arial" w:eastAsia="Times New Roman" w:hAnsi="Arial" w:cs="Arial"/>
          <w:color w:val="000000"/>
          <w:sz w:val="16"/>
          <w:lang w:val="en-US" w:eastAsia="es-AR"/>
        </w:rPr>
        <w:t xml:space="preserve">The </w:t>
      </w:r>
      <w:r w:rsidRPr="00ED708C">
        <w:rPr>
          <w:rFonts w:ascii="Arial" w:eastAsia="Times New Roman" w:hAnsi="Arial" w:cs="Arial"/>
          <w:color w:val="000000"/>
          <w:sz w:val="16"/>
          <w:lang w:val="en-US" w:eastAsia="es-AR"/>
        </w:rPr>
        <w:t>present</w:t>
      </w:r>
      <w:r>
        <w:rPr>
          <w:rFonts w:ascii="Arial" w:eastAsia="Times New Roman" w:hAnsi="Arial" w:cs="Arial"/>
          <w:color w:val="000000"/>
          <w:sz w:val="16"/>
          <w:lang w:val="en-US" w:eastAsia="es-AR"/>
        </w:rPr>
        <w:t>ed</w:t>
      </w:r>
      <w:r w:rsidRPr="00ED708C">
        <w:rPr>
          <w:rFonts w:ascii="Arial" w:eastAsia="Times New Roman" w:hAnsi="Arial" w:cs="Arial"/>
          <w:color w:val="000000"/>
          <w:sz w:val="16"/>
          <w:lang w:val="en-US" w:eastAsia="es-AR"/>
        </w:rPr>
        <w:t xml:space="preserve"> level of evidence and recommendation strength </w:t>
      </w:r>
      <w:r>
        <w:rPr>
          <w:rFonts w:ascii="Arial" w:eastAsia="Times New Roman" w:hAnsi="Arial" w:cs="Arial"/>
          <w:color w:val="000000"/>
          <w:sz w:val="16"/>
          <w:lang w:val="en-US" w:eastAsia="es-AR"/>
        </w:rPr>
        <w:t>comes from</w:t>
      </w:r>
      <w:r w:rsidRPr="00ED708C">
        <w:rPr>
          <w:rFonts w:ascii="Arial" w:eastAsia="Times New Roman" w:hAnsi="Arial" w:cs="Arial"/>
          <w:color w:val="000000"/>
          <w:sz w:val="16"/>
          <w:lang w:val="en-US" w:eastAsia="es-AR"/>
        </w:rPr>
        <w:t xml:space="preserve"> the EB-CPG with the highest overall and methodological rigor AGREE-II score</w:t>
      </w:r>
      <w:r>
        <w:rPr>
          <w:rFonts w:ascii="Arial" w:eastAsia="Times New Roman" w:hAnsi="Arial" w:cs="Arial"/>
          <w:color w:val="000000"/>
          <w:sz w:val="16"/>
          <w:lang w:val="en-US" w:eastAsia="es-AR"/>
        </w:rPr>
        <w:t xml:space="preserve">. The </w:t>
      </w:r>
      <w:r w:rsidRPr="00ED708C">
        <w:rPr>
          <w:rFonts w:ascii="Arial" w:eastAsia="Times New Roman" w:hAnsi="Arial" w:cs="Arial"/>
          <w:color w:val="000000"/>
          <w:sz w:val="16"/>
          <w:lang w:val="en-US" w:eastAsia="es-AR"/>
        </w:rPr>
        <w:t xml:space="preserve">level of evidence and recommendation strength </w:t>
      </w:r>
      <w:r>
        <w:rPr>
          <w:rFonts w:ascii="Arial" w:eastAsia="Times New Roman" w:hAnsi="Arial" w:cs="Arial"/>
          <w:color w:val="000000"/>
          <w:sz w:val="16"/>
          <w:lang w:val="en-US" w:eastAsia="es-AR"/>
        </w:rPr>
        <w:t>by</w:t>
      </w:r>
      <w:r w:rsidRPr="00ED708C">
        <w:rPr>
          <w:rFonts w:ascii="Arial" w:eastAsia="Times New Roman" w:hAnsi="Arial" w:cs="Arial"/>
          <w:color w:val="000000"/>
          <w:sz w:val="16"/>
          <w:lang w:val="en-US" w:eastAsia="es-AR"/>
        </w:rPr>
        <w:t xml:space="preserve"> EB-CPG</w:t>
      </w:r>
      <w:r>
        <w:rPr>
          <w:rFonts w:ascii="Arial" w:eastAsia="Times New Roman" w:hAnsi="Arial" w:cs="Arial"/>
          <w:color w:val="000000"/>
          <w:sz w:val="16"/>
          <w:lang w:val="en-US" w:eastAsia="es-AR"/>
        </w:rPr>
        <w:t xml:space="preserve"> is presented in the o</w:t>
      </w:r>
      <w:r w:rsidRPr="009609C1">
        <w:rPr>
          <w:rFonts w:ascii="Arial" w:eastAsia="Times New Roman" w:hAnsi="Arial" w:cs="Arial"/>
          <w:color w:val="000000"/>
          <w:sz w:val="16"/>
          <w:lang w:val="en-US" w:eastAsia="es-AR"/>
        </w:rPr>
        <w:t xml:space="preserve">nline supplemental material </w:t>
      </w:r>
      <w:r>
        <w:rPr>
          <w:rFonts w:ascii="Arial" w:eastAsia="Times New Roman" w:hAnsi="Arial" w:cs="Arial"/>
          <w:color w:val="000000"/>
          <w:sz w:val="16"/>
          <w:lang w:val="en-US" w:eastAsia="es-AR"/>
        </w:rPr>
        <w:t>8</w:t>
      </w:r>
      <w:r w:rsidRPr="009609C1">
        <w:rPr>
          <w:rFonts w:ascii="Arial" w:eastAsia="Times New Roman" w:hAnsi="Arial" w:cs="Arial"/>
          <w:color w:val="000000"/>
          <w:sz w:val="16"/>
          <w:lang w:val="en-US" w:eastAsia="es-AR"/>
        </w:rPr>
        <w:t>.a</w:t>
      </w:r>
      <w:bookmarkEnd w:id="11"/>
    </w:p>
    <w:p w:rsidR="003517B1" w:rsidRDefault="003517B1">
      <w:bookmarkStart w:id="13" w:name="_GoBack"/>
      <w:bookmarkEnd w:id="13"/>
    </w:p>
    <w:sectPr w:rsidR="003517B1" w:rsidSect="00EB4CA3">
      <w:pgSz w:w="11906" w:h="16838" w:code="9"/>
      <w:pgMar w:top="1701" w:right="1701" w:bottom="1701" w:left="1701" w:header="964" w:footer="567" w:gutter="0"/>
      <w:cols w:space="720"/>
      <w:titlePg/>
      <w:docGrid w:linePitch="326"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2686329"/>
      <w:docPartObj>
        <w:docPartGallery w:val="Page Numbers (Bottom of Page)"/>
        <w:docPartUnique/>
      </w:docPartObj>
    </w:sdtPr>
    <w:sdtEndPr/>
    <w:sdtContent>
      <w:p w:rsidR="000B6949" w:rsidRDefault="005030DA">
        <w:pPr>
          <w:pStyle w:val="Footer"/>
          <w:jc w:val="right"/>
        </w:pPr>
        <w:r>
          <w:fldChar w:fldCharType="begin"/>
        </w:r>
        <w:r>
          <w:instrText>PAGE   \* MERGEFORMAT</w:instrText>
        </w:r>
        <w:r>
          <w:fldChar w:fldCharType="separate"/>
        </w:r>
        <w:r>
          <w:rPr>
            <w:noProof/>
          </w:rPr>
          <w:t>23</w:t>
        </w:r>
        <w:r>
          <w:fldChar w:fldCharType="end"/>
        </w:r>
      </w:p>
    </w:sdtContent>
  </w:sdt>
  <w:p w:rsidR="000B6949" w:rsidRPr="00DF345B" w:rsidRDefault="005030DA" w:rsidP="00DF345B">
    <w:pPr>
      <w:spacing w:after="0"/>
      <w:ind w:left="-510" w:right="-426"/>
      <w:jc w:val="cente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6208525"/>
      <w:docPartObj>
        <w:docPartGallery w:val="Page Numbers (Bottom of Page)"/>
        <w:docPartUnique/>
      </w:docPartObj>
    </w:sdtPr>
    <w:sdtEndPr/>
    <w:sdtContent>
      <w:p w:rsidR="000B6949" w:rsidRDefault="005030DA">
        <w:pPr>
          <w:pStyle w:val="Footer"/>
          <w:jc w:val="right"/>
        </w:pPr>
        <w:r>
          <w:fldChar w:fldCharType="begin"/>
        </w:r>
        <w:r>
          <w:instrText>PAGE   \* MERGEFORMAT</w:instrText>
        </w:r>
        <w:r>
          <w:fldChar w:fldCharType="separate"/>
        </w:r>
        <w:r>
          <w:rPr>
            <w:noProof/>
          </w:rPr>
          <w:t>18</w:t>
        </w:r>
        <w:r>
          <w:fldChar w:fldCharType="end"/>
        </w:r>
      </w:p>
    </w:sdtContent>
  </w:sdt>
  <w:p w:rsidR="000B6949" w:rsidRPr="00DF345B" w:rsidRDefault="005030DA" w:rsidP="00DF345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16F21"/>
    <w:multiLevelType w:val="multilevel"/>
    <w:tmpl w:val="10CE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2C03C5"/>
    <w:multiLevelType w:val="multilevel"/>
    <w:tmpl w:val="BA804E9A"/>
    <w:lvl w:ilvl="0">
      <w:start w:val="3"/>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0D802AFC"/>
    <w:multiLevelType w:val="multilevel"/>
    <w:tmpl w:val="6DC0FB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161C6F"/>
    <w:multiLevelType w:val="hybridMultilevel"/>
    <w:tmpl w:val="E984164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12AB6ACE"/>
    <w:multiLevelType w:val="multilevel"/>
    <w:tmpl w:val="425E853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B31C0A"/>
    <w:multiLevelType w:val="multilevel"/>
    <w:tmpl w:val="AEE660C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8630E2"/>
    <w:multiLevelType w:val="multilevel"/>
    <w:tmpl w:val="101A290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 w15:restartNumberingAfterBreak="0">
    <w:nsid w:val="18286518"/>
    <w:multiLevelType w:val="multilevel"/>
    <w:tmpl w:val="16A07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467688"/>
    <w:multiLevelType w:val="multilevel"/>
    <w:tmpl w:val="0688073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BD4CE9"/>
    <w:multiLevelType w:val="multilevel"/>
    <w:tmpl w:val="9C2E26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7B2417"/>
    <w:multiLevelType w:val="multilevel"/>
    <w:tmpl w:val="74B6EE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AC07DD"/>
    <w:multiLevelType w:val="multilevel"/>
    <w:tmpl w:val="A114156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3651CED"/>
    <w:multiLevelType w:val="hybridMultilevel"/>
    <w:tmpl w:val="CAB2CAA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15:restartNumberingAfterBreak="0">
    <w:nsid w:val="2735554E"/>
    <w:multiLevelType w:val="hybridMultilevel"/>
    <w:tmpl w:val="CBF875A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15:restartNumberingAfterBreak="0">
    <w:nsid w:val="28C7180B"/>
    <w:multiLevelType w:val="hybridMultilevel"/>
    <w:tmpl w:val="3DECE464"/>
    <w:lvl w:ilvl="0" w:tplc="2C0A0001">
      <w:start w:val="1"/>
      <w:numFmt w:val="bullet"/>
      <w:lvlText w:val=""/>
      <w:lvlJc w:val="left"/>
      <w:pPr>
        <w:ind w:left="1353" w:hanging="360"/>
      </w:pPr>
      <w:rPr>
        <w:rFonts w:ascii="Symbol" w:hAnsi="Symbol" w:hint="default"/>
      </w:rPr>
    </w:lvl>
    <w:lvl w:ilvl="1" w:tplc="2C0A0003" w:tentative="1">
      <w:start w:val="1"/>
      <w:numFmt w:val="bullet"/>
      <w:lvlText w:val="o"/>
      <w:lvlJc w:val="left"/>
      <w:pPr>
        <w:ind w:left="2073" w:hanging="360"/>
      </w:pPr>
      <w:rPr>
        <w:rFonts w:ascii="Courier New" w:hAnsi="Courier New" w:cs="Courier New" w:hint="default"/>
      </w:rPr>
    </w:lvl>
    <w:lvl w:ilvl="2" w:tplc="2C0A0005" w:tentative="1">
      <w:start w:val="1"/>
      <w:numFmt w:val="bullet"/>
      <w:lvlText w:val=""/>
      <w:lvlJc w:val="left"/>
      <w:pPr>
        <w:ind w:left="2793" w:hanging="360"/>
      </w:pPr>
      <w:rPr>
        <w:rFonts w:ascii="Wingdings" w:hAnsi="Wingdings" w:hint="default"/>
      </w:rPr>
    </w:lvl>
    <w:lvl w:ilvl="3" w:tplc="2C0A0001" w:tentative="1">
      <w:start w:val="1"/>
      <w:numFmt w:val="bullet"/>
      <w:lvlText w:val=""/>
      <w:lvlJc w:val="left"/>
      <w:pPr>
        <w:ind w:left="3513" w:hanging="360"/>
      </w:pPr>
      <w:rPr>
        <w:rFonts w:ascii="Symbol" w:hAnsi="Symbol" w:hint="default"/>
      </w:rPr>
    </w:lvl>
    <w:lvl w:ilvl="4" w:tplc="2C0A0003" w:tentative="1">
      <w:start w:val="1"/>
      <w:numFmt w:val="bullet"/>
      <w:lvlText w:val="o"/>
      <w:lvlJc w:val="left"/>
      <w:pPr>
        <w:ind w:left="4233" w:hanging="360"/>
      </w:pPr>
      <w:rPr>
        <w:rFonts w:ascii="Courier New" w:hAnsi="Courier New" w:cs="Courier New" w:hint="default"/>
      </w:rPr>
    </w:lvl>
    <w:lvl w:ilvl="5" w:tplc="2C0A0005" w:tentative="1">
      <w:start w:val="1"/>
      <w:numFmt w:val="bullet"/>
      <w:lvlText w:val=""/>
      <w:lvlJc w:val="left"/>
      <w:pPr>
        <w:ind w:left="4953" w:hanging="360"/>
      </w:pPr>
      <w:rPr>
        <w:rFonts w:ascii="Wingdings" w:hAnsi="Wingdings" w:hint="default"/>
      </w:rPr>
    </w:lvl>
    <w:lvl w:ilvl="6" w:tplc="2C0A0001" w:tentative="1">
      <w:start w:val="1"/>
      <w:numFmt w:val="bullet"/>
      <w:lvlText w:val=""/>
      <w:lvlJc w:val="left"/>
      <w:pPr>
        <w:ind w:left="5673" w:hanging="360"/>
      </w:pPr>
      <w:rPr>
        <w:rFonts w:ascii="Symbol" w:hAnsi="Symbol" w:hint="default"/>
      </w:rPr>
    </w:lvl>
    <w:lvl w:ilvl="7" w:tplc="2C0A0003" w:tentative="1">
      <w:start w:val="1"/>
      <w:numFmt w:val="bullet"/>
      <w:lvlText w:val="o"/>
      <w:lvlJc w:val="left"/>
      <w:pPr>
        <w:ind w:left="6393" w:hanging="360"/>
      </w:pPr>
      <w:rPr>
        <w:rFonts w:ascii="Courier New" w:hAnsi="Courier New" w:cs="Courier New" w:hint="default"/>
      </w:rPr>
    </w:lvl>
    <w:lvl w:ilvl="8" w:tplc="2C0A0005" w:tentative="1">
      <w:start w:val="1"/>
      <w:numFmt w:val="bullet"/>
      <w:lvlText w:val=""/>
      <w:lvlJc w:val="left"/>
      <w:pPr>
        <w:ind w:left="7113" w:hanging="360"/>
      </w:pPr>
      <w:rPr>
        <w:rFonts w:ascii="Wingdings" w:hAnsi="Wingdings" w:hint="default"/>
      </w:rPr>
    </w:lvl>
  </w:abstractNum>
  <w:abstractNum w:abstractNumId="15" w15:restartNumberingAfterBreak="0">
    <w:nsid w:val="2B191E5C"/>
    <w:multiLevelType w:val="multilevel"/>
    <w:tmpl w:val="AF666AF0"/>
    <w:lvl w:ilvl="0">
      <w:start w:val="2"/>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6" w15:restartNumberingAfterBreak="0">
    <w:nsid w:val="2B6627D1"/>
    <w:multiLevelType w:val="hybridMultilevel"/>
    <w:tmpl w:val="83F276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C111B4"/>
    <w:multiLevelType w:val="multilevel"/>
    <w:tmpl w:val="B06828B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218FD"/>
    <w:multiLevelType w:val="hybridMultilevel"/>
    <w:tmpl w:val="CA9418E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15:restartNumberingAfterBreak="0">
    <w:nsid w:val="36760B2E"/>
    <w:multiLevelType w:val="multilevel"/>
    <w:tmpl w:val="38B498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B3318F"/>
    <w:multiLevelType w:val="multilevel"/>
    <w:tmpl w:val="D00AB8F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62510A"/>
    <w:multiLevelType w:val="hybridMultilevel"/>
    <w:tmpl w:val="704C8BE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42643BC7"/>
    <w:multiLevelType w:val="hybridMultilevel"/>
    <w:tmpl w:val="00B43D7C"/>
    <w:lvl w:ilvl="0" w:tplc="06A2C812">
      <w:numFmt w:val="bullet"/>
      <w:lvlText w:val="-"/>
      <w:lvlJc w:val="left"/>
      <w:pPr>
        <w:ind w:left="720" w:hanging="360"/>
      </w:pPr>
      <w:rPr>
        <w:rFonts w:ascii="Arial" w:eastAsia="Calibri"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2E012C"/>
    <w:multiLevelType w:val="multilevel"/>
    <w:tmpl w:val="43D4AC6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43E3AFC"/>
    <w:multiLevelType w:val="multilevel"/>
    <w:tmpl w:val="1B0AA1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756F9A"/>
    <w:multiLevelType w:val="multilevel"/>
    <w:tmpl w:val="16A07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817AD3"/>
    <w:multiLevelType w:val="multilevel"/>
    <w:tmpl w:val="787828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2E0F5F"/>
    <w:multiLevelType w:val="multilevel"/>
    <w:tmpl w:val="E6CE1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F900B3"/>
    <w:multiLevelType w:val="multilevel"/>
    <w:tmpl w:val="101A290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9" w15:restartNumberingAfterBreak="0">
    <w:nsid w:val="754C36BB"/>
    <w:multiLevelType w:val="multilevel"/>
    <w:tmpl w:val="DF66E8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7610583"/>
    <w:multiLevelType w:val="multilevel"/>
    <w:tmpl w:val="210E568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9AA518E"/>
    <w:multiLevelType w:val="hybridMultilevel"/>
    <w:tmpl w:val="1096CA18"/>
    <w:lvl w:ilvl="0" w:tplc="9288F62A">
      <w:start w:val="1"/>
      <w:numFmt w:val="bullet"/>
      <w:lvlText w:val="-"/>
      <w:lvlJc w:val="left"/>
      <w:pPr>
        <w:ind w:left="746" w:hanging="360"/>
      </w:pPr>
      <w:rPr>
        <w:rFonts w:ascii="Courier New" w:hAnsi="Courier New" w:hint="default"/>
      </w:rPr>
    </w:lvl>
    <w:lvl w:ilvl="1" w:tplc="2C0A0003" w:tentative="1">
      <w:start w:val="1"/>
      <w:numFmt w:val="bullet"/>
      <w:lvlText w:val="o"/>
      <w:lvlJc w:val="left"/>
      <w:pPr>
        <w:ind w:left="1466" w:hanging="360"/>
      </w:pPr>
      <w:rPr>
        <w:rFonts w:ascii="Courier New" w:hAnsi="Courier New" w:cs="Courier New" w:hint="default"/>
      </w:rPr>
    </w:lvl>
    <w:lvl w:ilvl="2" w:tplc="2C0A0005" w:tentative="1">
      <w:start w:val="1"/>
      <w:numFmt w:val="bullet"/>
      <w:lvlText w:val=""/>
      <w:lvlJc w:val="left"/>
      <w:pPr>
        <w:ind w:left="2186" w:hanging="360"/>
      </w:pPr>
      <w:rPr>
        <w:rFonts w:ascii="Wingdings" w:hAnsi="Wingdings" w:hint="default"/>
      </w:rPr>
    </w:lvl>
    <w:lvl w:ilvl="3" w:tplc="2C0A0001" w:tentative="1">
      <w:start w:val="1"/>
      <w:numFmt w:val="bullet"/>
      <w:lvlText w:val=""/>
      <w:lvlJc w:val="left"/>
      <w:pPr>
        <w:ind w:left="2906" w:hanging="360"/>
      </w:pPr>
      <w:rPr>
        <w:rFonts w:ascii="Symbol" w:hAnsi="Symbol" w:hint="default"/>
      </w:rPr>
    </w:lvl>
    <w:lvl w:ilvl="4" w:tplc="2C0A0003" w:tentative="1">
      <w:start w:val="1"/>
      <w:numFmt w:val="bullet"/>
      <w:lvlText w:val="o"/>
      <w:lvlJc w:val="left"/>
      <w:pPr>
        <w:ind w:left="3626" w:hanging="360"/>
      </w:pPr>
      <w:rPr>
        <w:rFonts w:ascii="Courier New" w:hAnsi="Courier New" w:cs="Courier New" w:hint="default"/>
      </w:rPr>
    </w:lvl>
    <w:lvl w:ilvl="5" w:tplc="2C0A0005" w:tentative="1">
      <w:start w:val="1"/>
      <w:numFmt w:val="bullet"/>
      <w:lvlText w:val=""/>
      <w:lvlJc w:val="left"/>
      <w:pPr>
        <w:ind w:left="4346" w:hanging="360"/>
      </w:pPr>
      <w:rPr>
        <w:rFonts w:ascii="Wingdings" w:hAnsi="Wingdings" w:hint="default"/>
      </w:rPr>
    </w:lvl>
    <w:lvl w:ilvl="6" w:tplc="2C0A0001" w:tentative="1">
      <w:start w:val="1"/>
      <w:numFmt w:val="bullet"/>
      <w:lvlText w:val=""/>
      <w:lvlJc w:val="left"/>
      <w:pPr>
        <w:ind w:left="5066" w:hanging="360"/>
      </w:pPr>
      <w:rPr>
        <w:rFonts w:ascii="Symbol" w:hAnsi="Symbol" w:hint="default"/>
      </w:rPr>
    </w:lvl>
    <w:lvl w:ilvl="7" w:tplc="2C0A0003" w:tentative="1">
      <w:start w:val="1"/>
      <w:numFmt w:val="bullet"/>
      <w:lvlText w:val="o"/>
      <w:lvlJc w:val="left"/>
      <w:pPr>
        <w:ind w:left="5786" w:hanging="360"/>
      </w:pPr>
      <w:rPr>
        <w:rFonts w:ascii="Courier New" w:hAnsi="Courier New" w:cs="Courier New" w:hint="default"/>
      </w:rPr>
    </w:lvl>
    <w:lvl w:ilvl="8" w:tplc="2C0A0005" w:tentative="1">
      <w:start w:val="1"/>
      <w:numFmt w:val="bullet"/>
      <w:lvlText w:val=""/>
      <w:lvlJc w:val="left"/>
      <w:pPr>
        <w:ind w:left="6506" w:hanging="360"/>
      </w:pPr>
      <w:rPr>
        <w:rFonts w:ascii="Wingdings" w:hAnsi="Wingdings" w:hint="default"/>
      </w:rPr>
    </w:lvl>
  </w:abstractNum>
  <w:abstractNum w:abstractNumId="32" w15:restartNumberingAfterBreak="0">
    <w:nsid w:val="7E1C51EB"/>
    <w:multiLevelType w:val="multilevel"/>
    <w:tmpl w:val="E81C4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21"/>
  </w:num>
  <w:num w:numId="3">
    <w:abstractNumId w:val="27"/>
  </w:num>
  <w:num w:numId="4">
    <w:abstractNumId w:val="32"/>
  </w:num>
  <w:num w:numId="5">
    <w:abstractNumId w:val="26"/>
  </w:num>
  <w:num w:numId="6">
    <w:abstractNumId w:val="2"/>
  </w:num>
  <w:num w:numId="7">
    <w:abstractNumId w:val="29"/>
  </w:num>
  <w:num w:numId="8">
    <w:abstractNumId w:val="24"/>
  </w:num>
  <w:num w:numId="9">
    <w:abstractNumId w:val="11"/>
  </w:num>
  <w:num w:numId="10">
    <w:abstractNumId w:val="19"/>
  </w:num>
  <w:num w:numId="11">
    <w:abstractNumId w:val="9"/>
  </w:num>
  <w:num w:numId="12">
    <w:abstractNumId w:val="23"/>
  </w:num>
  <w:num w:numId="13">
    <w:abstractNumId w:val="20"/>
  </w:num>
  <w:num w:numId="14">
    <w:abstractNumId w:val="4"/>
  </w:num>
  <w:num w:numId="15">
    <w:abstractNumId w:val="17"/>
  </w:num>
  <w:num w:numId="16">
    <w:abstractNumId w:val="8"/>
  </w:num>
  <w:num w:numId="17">
    <w:abstractNumId w:val="30"/>
  </w:num>
  <w:num w:numId="18">
    <w:abstractNumId w:val="5"/>
  </w:num>
  <w:num w:numId="19">
    <w:abstractNumId w:val="10"/>
  </w:num>
  <w:num w:numId="20">
    <w:abstractNumId w:val="7"/>
  </w:num>
  <w:num w:numId="21">
    <w:abstractNumId w:val="6"/>
  </w:num>
  <w:num w:numId="22">
    <w:abstractNumId w:val="15"/>
  </w:num>
  <w:num w:numId="23">
    <w:abstractNumId w:val="1"/>
  </w:num>
  <w:num w:numId="24">
    <w:abstractNumId w:val="25"/>
  </w:num>
  <w:num w:numId="25">
    <w:abstractNumId w:val="28"/>
  </w:num>
  <w:num w:numId="26">
    <w:abstractNumId w:val="31"/>
  </w:num>
  <w:num w:numId="27">
    <w:abstractNumId w:val="12"/>
  </w:num>
  <w:num w:numId="28">
    <w:abstractNumId w:val="18"/>
  </w:num>
  <w:num w:numId="29">
    <w:abstractNumId w:val="3"/>
  </w:num>
  <w:num w:numId="30">
    <w:abstractNumId w:val="13"/>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num>
  <w:num w:numId="34">
    <w:abstractNumId w:val="14"/>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0DA"/>
    <w:rsid w:val="000731CB"/>
    <w:rsid w:val="00275F92"/>
    <w:rsid w:val="0029568F"/>
    <w:rsid w:val="00317F7C"/>
    <w:rsid w:val="003517B1"/>
    <w:rsid w:val="005030DA"/>
    <w:rsid w:val="0060409E"/>
    <w:rsid w:val="00615B5F"/>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F6186E-DED1-4CAA-A4F0-1B415233D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0DA"/>
    <w:pPr>
      <w:spacing w:after="160"/>
    </w:pPr>
    <w:rPr>
      <w:sz w:val="22"/>
      <w:szCs w:val="22"/>
      <w:lang w:val="es-ES"/>
    </w:rPr>
  </w:style>
  <w:style w:type="paragraph" w:styleId="Heading1">
    <w:name w:val="heading 1"/>
    <w:basedOn w:val="Normal"/>
    <w:next w:val="Normal"/>
    <w:link w:val="Heading1Char"/>
    <w:uiPriority w:val="1"/>
    <w:qFormat/>
    <w:rsid w:val="005030DA"/>
    <w:pPr>
      <w:keepNext/>
      <w:keepLines/>
      <w:spacing w:before="480" w:after="0" w:line="240" w:lineRule="auto"/>
      <w:outlineLvl w:val="0"/>
    </w:pPr>
    <w:rPr>
      <w:rFonts w:ascii="Cambria" w:eastAsia="Times New Roman" w:hAnsi="Cambria" w:cs="Times New Roman"/>
      <w:b/>
      <w:bCs/>
      <w:color w:val="365F91"/>
      <w:sz w:val="28"/>
      <w:szCs w:val="28"/>
      <w:lang w:val="es-AR" w:eastAsia="es-MX"/>
    </w:rPr>
  </w:style>
  <w:style w:type="paragraph" w:styleId="Heading2">
    <w:name w:val="heading 2"/>
    <w:basedOn w:val="Normal"/>
    <w:next w:val="Normal"/>
    <w:link w:val="Heading2Char"/>
    <w:unhideWhenUsed/>
    <w:qFormat/>
    <w:rsid w:val="005030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030D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5030D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5030DA"/>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uiPriority w:val="99"/>
    <w:qFormat/>
    <w:rsid w:val="00A571C8"/>
    <w:rPr>
      <w:rFonts w:ascii="Times New Roman" w:eastAsiaTheme="majorEastAsia" w:hAnsi="Times New Roman"/>
      <w:kern w:val="0"/>
      <w:sz w:val="24"/>
      <w:lang w:val="en-GB" w:eastAsia="en-US"/>
    </w:rPr>
  </w:style>
  <w:style w:type="character" w:customStyle="1" w:styleId="Heading1Char">
    <w:name w:val="Heading 1 Char"/>
    <w:basedOn w:val="DefaultParagraphFont"/>
    <w:link w:val="Heading1"/>
    <w:uiPriority w:val="1"/>
    <w:rsid w:val="005030DA"/>
    <w:rPr>
      <w:rFonts w:ascii="Cambria" w:eastAsia="Times New Roman" w:hAnsi="Cambria" w:cs="Times New Roman"/>
      <w:b/>
      <w:bCs/>
      <w:color w:val="365F91"/>
      <w:sz w:val="28"/>
      <w:szCs w:val="28"/>
      <w:lang w:val="es-AR" w:eastAsia="es-MX"/>
    </w:rPr>
  </w:style>
  <w:style w:type="character" w:customStyle="1" w:styleId="Heading2Char">
    <w:name w:val="Heading 2 Char"/>
    <w:basedOn w:val="DefaultParagraphFont"/>
    <w:link w:val="Heading2"/>
    <w:rsid w:val="005030DA"/>
    <w:rPr>
      <w:rFonts w:asciiTheme="majorHAnsi" w:eastAsiaTheme="majorEastAsia" w:hAnsiTheme="majorHAnsi" w:cstheme="majorBidi"/>
      <w:color w:val="2F5496" w:themeColor="accent1" w:themeShade="BF"/>
      <w:sz w:val="26"/>
      <w:szCs w:val="26"/>
      <w:lang w:val="es-ES"/>
    </w:rPr>
  </w:style>
  <w:style w:type="character" w:customStyle="1" w:styleId="Heading3Char">
    <w:name w:val="Heading 3 Char"/>
    <w:basedOn w:val="DefaultParagraphFont"/>
    <w:link w:val="Heading3"/>
    <w:uiPriority w:val="9"/>
    <w:semiHidden/>
    <w:rsid w:val="005030DA"/>
    <w:rPr>
      <w:rFonts w:asciiTheme="majorHAnsi" w:eastAsiaTheme="majorEastAsia" w:hAnsiTheme="majorHAnsi" w:cstheme="majorBidi"/>
      <w:color w:val="1F3763" w:themeColor="accent1" w:themeShade="7F"/>
      <w:lang w:val="es-ES"/>
    </w:rPr>
  </w:style>
  <w:style w:type="character" w:customStyle="1" w:styleId="Heading4Char">
    <w:name w:val="Heading 4 Char"/>
    <w:basedOn w:val="DefaultParagraphFont"/>
    <w:link w:val="Heading4"/>
    <w:uiPriority w:val="9"/>
    <w:semiHidden/>
    <w:rsid w:val="005030DA"/>
    <w:rPr>
      <w:rFonts w:asciiTheme="majorHAnsi" w:eastAsiaTheme="majorEastAsia" w:hAnsiTheme="majorHAnsi" w:cstheme="majorBidi"/>
      <w:i/>
      <w:iCs/>
      <w:color w:val="2F5496" w:themeColor="accent1" w:themeShade="BF"/>
      <w:sz w:val="22"/>
      <w:szCs w:val="22"/>
      <w:lang w:val="es-ES"/>
    </w:rPr>
  </w:style>
  <w:style w:type="character" w:customStyle="1" w:styleId="Heading6Char">
    <w:name w:val="Heading 6 Char"/>
    <w:basedOn w:val="DefaultParagraphFont"/>
    <w:link w:val="Heading6"/>
    <w:uiPriority w:val="9"/>
    <w:semiHidden/>
    <w:rsid w:val="005030DA"/>
    <w:rPr>
      <w:rFonts w:asciiTheme="majorHAnsi" w:eastAsiaTheme="majorEastAsia" w:hAnsiTheme="majorHAnsi" w:cstheme="majorBidi"/>
      <w:color w:val="1F3763" w:themeColor="accent1" w:themeShade="7F"/>
      <w:sz w:val="22"/>
      <w:szCs w:val="22"/>
      <w:lang w:val="es-ES"/>
    </w:rPr>
  </w:style>
  <w:style w:type="character" w:customStyle="1" w:styleId="WW8Num4z0">
    <w:name w:val="WW8Num4z0"/>
    <w:rsid w:val="005030DA"/>
    <w:rPr>
      <w:rFonts w:ascii="Symbol" w:hAnsi="Symbol"/>
    </w:rPr>
  </w:style>
  <w:style w:type="character" w:customStyle="1" w:styleId="WW8Num4z1">
    <w:name w:val="WW8Num4z1"/>
    <w:rsid w:val="005030DA"/>
    <w:rPr>
      <w:rFonts w:ascii="Courier New" w:hAnsi="Courier New" w:cs="Courier New"/>
    </w:rPr>
  </w:style>
  <w:style w:type="character" w:customStyle="1" w:styleId="WW8Num4z2">
    <w:name w:val="WW8Num4z2"/>
    <w:rsid w:val="005030DA"/>
    <w:rPr>
      <w:rFonts w:ascii="Wingdings" w:hAnsi="Wingdings"/>
    </w:rPr>
  </w:style>
  <w:style w:type="character" w:customStyle="1" w:styleId="Fuentedeprrafopredeter1">
    <w:name w:val="Fuente de párrafo predeter.1"/>
    <w:rsid w:val="005030DA"/>
  </w:style>
  <w:style w:type="character" w:customStyle="1" w:styleId="Absatz-Standardschriftart">
    <w:name w:val="Absatz-Standardschriftart"/>
    <w:rsid w:val="005030DA"/>
  </w:style>
  <w:style w:type="character" w:customStyle="1" w:styleId="ListLabel1">
    <w:name w:val="ListLabel 1"/>
    <w:rsid w:val="005030DA"/>
    <w:rPr>
      <w:rFonts w:cs="Courier New"/>
    </w:rPr>
  </w:style>
  <w:style w:type="character" w:customStyle="1" w:styleId="DefaultParagraphFont1">
    <w:name w:val="Default Paragraph Font1"/>
    <w:rsid w:val="005030DA"/>
  </w:style>
  <w:style w:type="character" w:styleId="Hyperlink">
    <w:name w:val="Hyperlink"/>
    <w:basedOn w:val="DefaultParagraphFont1"/>
    <w:uiPriority w:val="99"/>
    <w:rsid w:val="005030DA"/>
    <w:rPr>
      <w:color w:val="0000FF"/>
      <w:u w:val="single"/>
    </w:rPr>
  </w:style>
  <w:style w:type="character" w:customStyle="1" w:styleId="FollowedHyperlink1">
    <w:name w:val="FollowedHyperlink1"/>
    <w:basedOn w:val="DefaultParagraphFont1"/>
    <w:rsid w:val="005030DA"/>
  </w:style>
  <w:style w:type="character" w:customStyle="1" w:styleId="PageNumber1">
    <w:name w:val="Page Number1"/>
    <w:basedOn w:val="DefaultParagraphFont1"/>
    <w:rsid w:val="005030DA"/>
  </w:style>
  <w:style w:type="paragraph" w:customStyle="1" w:styleId="Encabezado2">
    <w:name w:val="Encabezado2"/>
    <w:basedOn w:val="Normal"/>
    <w:next w:val="BodyText"/>
    <w:rsid w:val="005030DA"/>
    <w:pPr>
      <w:keepNext/>
      <w:suppressAutoHyphens/>
      <w:spacing w:before="240" w:after="120" w:line="240" w:lineRule="auto"/>
    </w:pPr>
    <w:rPr>
      <w:rFonts w:ascii="Arial" w:eastAsia="SimSun" w:hAnsi="Arial" w:cs="Mangal"/>
      <w:kern w:val="1"/>
      <w:sz w:val="28"/>
      <w:szCs w:val="28"/>
      <w:lang w:eastAsia="ar-SA"/>
    </w:rPr>
  </w:style>
  <w:style w:type="paragraph" w:styleId="BodyText">
    <w:name w:val="Body Text"/>
    <w:basedOn w:val="Normal"/>
    <w:link w:val="BodyTextChar"/>
    <w:rsid w:val="005030DA"/>
    <w:pPr>
      <w:suppressAutoHyphens/>
      <w:spacing w:after="120" w:line="240" w:lineRule="auto"/>
    </w:pPr>
    <w:rPr>
      <w:rFonts w:ascii="Times New Roman" w:eastAsia="Times New Roman" w:hAnsi="Times New Roman" w:cs="Times New Roman"/>
      <w:kern w:val="1"/>
      <w:sz w:val="24"/>
      <w:szCs w:val="24"/>
      <w:lang w:eastAsia="ar-SA"/>
    </w:rPr>
  </w:style>
  <w:style w:type="character" w:customStyle="1" w:styleId="BodyTextChar">
    <w:name w:val="Body Text Char"/>
    <w:basedOn w:val="DefaultParagraphFont"/>
    <w:link w:val="BodyText"/>
    <w:rsid w:val="005030DA"/>
    <w:rPr>
      <w:rFonts w:ascii="Times New Roman" w:eastAsia="Times New Roman" w:hAnsi="Times New Roman" w:cs="Times New Roman"/>
      <w:kern w:val="1"/>
      <w:lang w:val="es-ES" w:eastAsia="ar-SA"/>
    </w:rPr>
  </w:style>
  <w:style w:type="paragraph" w:styleId="List">
    <w:name w:val="List"/>
    <w:basedOn w:val="BodyText"/>
    <w:rsid w:val="005030DA"/>
    <w:rPr>
      <w:rFonts w:cs="Mangal"/>
    </w:rPr>
  </w:style>
  <w:style w:type="paragraph" w:customStyle="1" w:styleId="Etiqueta">
    <w:name w:val="Etiqueta"/>
    <w:basedOn w:val="Normal"/>
    <w:rsid w:val="005030DA"/>
    <w:pPr>
      <w:suppressLineNumbers/>
      <w:suppressAutoHyphens/>
      <w:spacing w:before="120" w:after="120" w:line="240" w:lineRule="auto"/>
    </w:pPr>
    <w:rPr>
      <w:rFonts w:ascii="Times New Roman" w:eastAsia="Times New Roman" w:hAnsi="Times New Roman" w:cs="Mangal"/>
      <w:i/>
      <w:iCs/>
      <w:kern w:val="1"/>
      <w:sz w:val="24"/>
      <w:szCs w:val="24"/>
      <w:lang w:eastAsia="ar-SA"/>
    </w:rPr>
  </w:style>
  <w:style w:type="paragraph" w:customStyle="1" w:styleId="ndice">
    <w:name w:val="Índice"/>
    <w:basedOn w:val="Normal"/>
    <w:rsid w:val="005030DA"/>
    <w:pPr>
      <w:suppressLineNumbers/>
      <w:suppressAutoHyphens/>
      <w:spacing w:after="0" w:line="240" w:lineRule="auto"/>
    </w:pPr>
    <w:rPr>
      <w:rFonts w:ascii="Times New Roman" w:eastAsia="Times New Roman" w:hAnsi="Times New Roman" w:cs="Mangal"/>
      <w:kern w:val="1"/>
      <w:sz w:val="24"/>
      <w:szCs w:val="24"/>
      <w:lang w:eastAsia="ar-SA"/>
    </w:rPr>
  </w:style>
  <w:style w:type="paragraph" w:customStyle="1" w:styleId="Encabezado1">
    <w:name w:val="Encabezado1"/>
    <w:basedOn w:val="Normal"/>
    <w:next w:val="BodyText"/>
    <w:rsid w:val="005030DA"/>
    <w:pPr>
      <w:keepNext/>
      <w:suppressAutoHyphens/>
      <w:spacing w:before="240" w:after="120" w:line="240" w:lineRule="auto"/>
    </w:pPr>
    <w:rPr>
      <w:rFonts w:ascii="Arial" w:eastAsia="SimSun" w:hAnsi="Arial" w:cs="Mangal"/>
      <w:kern w:val="1"/>
      <w:sz w:val="28"/>
      <w:szCs w:val="28"/>
      <w:lang w:eastAsia="ar-SA"/>
    </w:rPr>
  </w:style>
  <w:style w:type="paragraph" w:customStyle="1" w:styleId="BalloonText1">
    <w:name w:val="Balloon Text1"/>
    <w:basedOn w:val="Normal"/>
    <w:rsid w:val="005030DA"/>
    <w:pPr>
      <w:suppressAutoHyphens/>
      <w:spacing w:after="0" w:line="240" w:lineRule="auto"/>
    </w:pPr>
    <w:rPr>
      <w:rFonts w:ascii="Times New Roman" w:eastAsia="Times New Roman" w:hAnsi="Times New Roman" w:cs="Times New Roman"/>
      <w:kern w:val="1"/>
      <w:sz w:val="24"/>
      <w:szCs w:val="24"/>
      <w:lang w:eastAsia="ar-SA"/>
    </w:rPr>
  </w:style>
  <w:style w:type="paragraph" w:styleId="Header">
    <w:name w:val="header"/>
    <w:basedOn w:val="Normal"/>
    <w:link w:val="HeaderChar"/>
    <w:rsid w:val="005030DA"/>
    <w:pPr>
      <w:suppressLineNumbers/>
      <w:tabs>
        <w:tab w:val="center" w:pos="4252"/>
        <w:tab w:val="right" w:pos="8504"/>
      </w:tabs>
      <w:suppressAutoHyphens/>
      <w:spacing w:after="0" w:line="240" w:lineRule="auto"/>
    </w:pPr>
    <w:rPr>
      <w:rFonts w:ascii="Times New Roman" w:eastAsia="Times New Roman" w:hAnsi="Times New Roman" w:cs="Times New Roman"/>
      <w:kern w:val="1"/>
      <w:sz w:val="24"/>
      <w:szCs w:val="24"/>
      <w:lang w:eastAsia="ar-SA"/>
    </w:rPr>
  </w:style>
  <w:style w:type="character" w:customStyle="1" w:styleId="HeaderChar">
    <w:name w:val="Header Char"/>
    <w:basedOn w:val="DefaultParagraphFont"/>
    <w:link w:val="Header"/>
    <w:rsid w:val="005030DA"/>
    <w:rPr>
      <w:rFonts w:ascii="Times New Roman" w:eastAsia="Times New Roman" w:hAnsi="Times New Roman" w:cs="Times New Roman"/>
      <w:kern w:val="1"/>
      <w:lang w:val="es-ES" w:eastAsia="ar-SA"/>
    </w:rPr>
  </w:style>
  <w:style w:type="paragraph" w:styleId="Footer">
    <w:name w:val="footer"/>
    <w:basedOn w:val="Normal"/>
    <w:link w:val="FooterChar"/>
    <w:uiPriority w:val="99"/>
    <w:rsid w:val="005030DA"/>
    <w:pPr>
      <w:suppressLineNumbers/>
      <w:tabs>
        <w:tab w:val="center" w:pos="4252"/>
        <w:tab w:val="right" w:pos="8504"/>
      </w:tabs>
      <w:suppressAutoHyphens/>
      <w:spacing w:after="0" w:line="240" w:lineRule="auto"/>
    </w:pPr>
    <w:rPr>
      <w:rFonts w:ascii="Times New Roman" w:eastAsia="Times New Roman" w:hAnsi="Times New Roman" w:cs="Times New Roman"/>
      <w:kern w:val="1"/>
      <w:sz w:val="24"/>
      <w:szCs w:val="24"/>
      <w:lang w:eastAsia="ar-SA"/>
    </w:rPr>
  </w:style>
  <w:style w:type="character" w:customStyle="1" w:styleId="FooterChar">
    <w:name w:val="Footer Char"/>
    <w:basedOn w:val="DefaultParagraphFont"/>
    <w:link w:val="Footer"/>
    <w:uiPriority w:val="99"/>
    <w:rsid w:val="005030DA"/>
    <w:rPr>
      <w:rFonts w:ascii="Times New Roman" w:eastAsia="Times New Roman" w:hAnsi="Times New Roman" w:cs="Times New Roman"/>
      <w:kern w:val="1"/>
      <w:lang w:val="es-ES" w:eastAsia="ar-SA"/>
    </w:rPr>
  </w:style>
  <w:style w:type="paragraph" w:customStyle="1" w:styleId="ListParagraph1">
    <w:name w:val="List Paragraph1"/>
    <w:basedOn w:val="Normal"/>
    <w:rsid w:val="005030DA"/>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Contenidodelmarco">
    <w:name w:val="Contenido del marco"/>
    <w:basedOn w:val="BodyText"/>
    <w:rsid w:val="005030DA"/>
  </w:style>
  <w:style w:type="paragraph" w:styleId="BalloonText">
    <w:name w:val="Balloon Text"/>
    <w:basedOn w:val="Normal"/>
    <w:link w:val="BalloonTextChar"/>
    <w:rsid w:val="005030DA"/>
    <w:pPr>
      <w:suppressAutoHyphens/>
      <w:spacing w:after="0" w:line="240" w:lineRule="auto"/>
    </w:pPr>
    <w:rPr>
      <w:rFonts w:ascii="Tahoma" w:eastAsia="Times New Roman" w:hAnsi="Tahoma" w:cs="Tahoma"/>
      <w:kern w:val="1"/>
      <w:sz w:val="16"/>
      <w:szCs w:val="16"/>
      <w:lang w:eastAsia="ar-SA"/>
    </w:rPr>
  </w:style>
  <w:style w:type="character" w:customStyle="1" w:styleId="BalloonTextChar">
    <w:name w:val="Balloon Text Char"/>
    <w:basedOn w:val="DefaultParagraphFont"/>
    <w:link w:val="BalloonText"/>
    <w:rsid w:val="005030DA"/>
    <w:rPr>
      <w:rFonts w:ascii="Tahoma" w:eastAsia="Times New Roman" w:hAnsi="Tahoma" w:cs="Tahoma"/>
      <w:kern w:val="1"/>
      <w:sz w:val="16"/>
      <w:szCs w:val="16"/>
      <w:lang w:val="es-ES" w:eastAsia="ar-SA"/>
    </w:rPr>
  </w:style>
  <w:style w:type="paragraph" w:styleId="ListParagraph">
    <w:name w:val="List Paragraph"/>
    <w:basedOn w:val="Normal"/>
    <w:uiPriority w:val="34"/>
    <w:qFormat/>
    <w:rsid w:val="005030DA"/>
    <w:pPr>
      <w:suppressAutoHyphens/>
      <w:spacing w:after="0" w:line="240" w:lineRule="auto"/>
      <w:ind w:left="720"/>
      <w:contextualSpacing/>
    </w:pPr>
    <w:rPr>
      <w:rFonts w:ascii="Times New Roman" w:eastAsia="Times New Roman" w:hAnsi="Times New Roman" w:cs="Times New Roman"/>
      <w:kern w:val="1"/>
      <w:sz w:val="24"/>
      <w:szCs w:val="24"/>
      <w:lang w:eastAsia="ar-SA"/>
    </w:rPr>
  </w:style>
  <w:style w:type="table" w:styleId="TableGrid">
    <w:name w:val="Table Grid"/>
    <w:basedOn w:val="TableNormal"/>
    <w:uiPriority w:val="59"/>
    <w:rsid w:val="005030DA"/>
    <w:pPr>
      <w:spacing w:line="240" w:lineRule="auto"/>
    </w:pPr>
    <w:rPr>
      <w:sz w:val="22"/>
      <w:szCs w:val="22"/>
      <w:lang w:val="es-A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5030DA"/>
    <w:pPr>
      <w:spacing w:line="240" w:lineRule="auto"/>
    </w:pPr>
    <w:rPr>
      <w:rFonts w:ascii="Calibri" w:eastAsia="Calibri" w:hAnsi="Calibri" w:cs="Times New Roman"/>
      <w:sz w:val="22"/>
      <w:szCs w:val="22"/>
      <w:lang w:val="es-AR"/>
    </w:rPr>
  </w:style>
  <w:style w:type="character" w:styleId="Strong">
    <w:name w:val="Strong"/>
    <w:uiPriority w:val="22"/>
    <w:qFormat/>
    <w:rsid w:val="005030DA"/>
    <w:rPr>
      <w:b/>
      <w:bCs/>
    </w:rPr>
  </w:style>
  <w:style w:type="paragraph" w:styleId="NormalWeb">
    <w:name w:val="Normal (Web)"/>
    <w:basedOn w:val="Normal"/>
    <w:uiPriority w:val="99"/>
    <w:unhideWhenUsed/>
    <w:rsid w:val="005030DA"/>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DefaultParagraphFont"/>
    <w:rsid w:val="005030DA"/>
  </w:style>
  <w:style w:type="paragraph" w:customStyle="1" w:styleId="EndNoteBibliographyTitle">
    <w:name w:val="EndNote Bibliography Title"/>
    <w:basedOn w:val="Normal"/>
    <w:link w:val="EndNoteBibliographyTitleCar"/>
    <w:rsid w:val="005030DA"/>
    <w:pPr>
      <w:spacing w:after="0"/>
      <w:jc w:val="center"/>
    </w:pPr>
    <w:rPr>
      <w:rFonts w:ascii="Calibri" w:hAnsi="Calibri" w:cs="Calibri"/>
      <w:noProof/>
      <w:lang w:val="en-US"/>
    </w:rPr>
  </w:style>
  <w:style w:type="character" w:customStyle="1" w:styleId="EndNoteBibliographyTitleCar">
    <w:name w:val="EndNote Bibliography Title Car"/>
    <w:basedOn w:val="DefaultParagraphFont"/>
    <w:link w:val="EndNoteBibliographyTitle"/>
    <w:rsid w:val="005030DA"/>
    <w:rPr>
      <w:rFonts w:ascii="Calibri" w:hAnsi="Calibri" w:cs="Calibri"/>
      <w:noProof/>
      <w:sz w:val="22"/>
      <w:szCs w:val="22"/>
    </w:rPr>
  </w:style>
  <w:style w:type="paragraph" w:customStyle="1" w:styleId="EndNoteBibliography">
    <w:name w:val="EndNote Bibliography"/>
    <w:basedOn w:val="Normal"/>
    <w:link w:val="EndNoteBibliographyCar"/>
    <w:rsid w:val="005030DA"/>
    <w:pPr>
      <w:spacing w:line="240" w:lineRule="auto"/>
      <w:jc w:val="both"/>
    </w:pPr>
    <w:rPr>
      <w:rFonts w:ascii="Calibri" w:hAnsi="Calibri" w:cs="Calibri"/>
      <w:noProof/>
      <w:lang w:val="en-US"/>
    </w:rPr>
  </w:style>
  <w:style w:type="character" w:customStyle="1" w:styleId="EndNoteBibliographyCar">
    <w:name w:val="EndNote Bibliography Car"/>
    <w:basedOn w:val="DefaultParagraphFont"/>
    <w:link w:val="EndNoteBibliography"/>
    <w:rsid w:val="005030DA"/>
    <w:rPr>
      <w:rFonts w:ascii="Calibri" w:hAnsi="Calibri" w:cs="Calibri"/>
      <w:noProof/>
      <w:sz w:val="22"/>
      <w:szCs w:val="22"/>
    </w:rPr>
  </w:style>
  <w:style w:type="paragraph" w:styleId="Caption">
    <w:name w:val="caption"/>
    <w:basedOn w:val="Normal"/>
    <w:next w:val="Normal"/>
    <w:uiPriority w:val="35"/>
    <w:unhideWhenUsed/>
    <w:qFormat/>
    <w:rsid w:val="005030DA"/>
    <w:pPr>
      <w:spacing w:after="200" w:line="240" w:lineRule="auto"/>
    </w:pPr>
    <w:rPr>
      <w:i/>
      <w:iCs/>
      <w:color w:val="44546A" w:themeColor="text2"/>
      <w:sz w:val="18"/>
      <w:szCs w:val="18"/>
    </w:rPr>
  </w:style>
  <w:style w:type="table" w:customStyle="1" w:styleId="TableNormal1">
    <w:name w:val="Table Normal1"/>
    <w:uiPriority w:val="2"/>
    <w:semiHidden/>
    <w:unhideWhenUsed/>
    <w:qFormat/>
    <w:rsid w:val="005030DA"/>
    <w:pPr>
      <w:widowControl w:val="0"/>
      <w:spacing w:line="240" w:lineRule="auto"/>
    </w:pPr>
    <w:rPr>
      <w:sz w:val="22"/>
      <w:szCs w:val="22"/>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030DA"/>
    <w:pPr>
      <w:widowControl w:val="0"/>
      <w:spacing w:after="0" w:line="240" w:lineRule="auto"/>
    </w:pPr>
    <w:rPr>
      <w:lang w:val="en-US"/>
    </w:rPr>
  </w:style>
  <w:style w:type="paragraph" w:styleId="TOCHeading">
    <w:name w:val="TOC Heading"/>
    <w:basedOn w:val="Heading1"/>
    <w:next w:val="Normal"/>
    <w:uiPriority w:val="39"/>
    <w:unhideWhenUsed/>
    <w:qFormat/>
    <w:rsid w:val="005030DA"/>
    <w:pPr>
      <w:spacing w:before="240" w:line="259" w:lineRule="auto"/>
      <w:outlineLvl w:val="9"/>
    </w:pPr>
    <w:rPr>
      <w:rFonts w:asciiTheme="majorHAnsi" w:eastAsiaTheme="majorEastAsia" w:hAnsiTheme="majorHAnsi" w:cstheme="majorBidi"/>
      <w:b w:val="0"/>
      <w:bCs w:val="0"/>
      <w:color w:val="2F5496" w:themeColor="accent1" w:themeShade="BF"/>
      <w:sz w:val="32"/>
      <w:szCs w:val="32"/>
      <w:lang w:val="en-US" w:eastAsia="en-US"/>
    </w:rPr>
  </w:style>
  <w:style w:type="paragraph" w:styleId="TOC1">
    <w:name w:val="toc 1"/>
    <w:basedOn w:val="Normal"/>
    <w:next w:val="Normal"/>
    <w:autoRedefine/>
    <w:uiPriority w:val="39"/>
    <w:unhideWhenUsed/>
    <w:rsid w:val="005030DA"/>
    <w:pPr>
      <w:tabs>
        <w:tab w:val="right" w:leader="dot" w:pos="9922"/>
      </w:tabs>
      <w:spacing w:after="100"/>
    </w:pPr>
    <w:rPr>
      <w:rFonts w:eastAsia="Calibri" w:cstheme="minorHAnsi"/>
      <w:b/>
      <w:noProof/>
    </w:rPr>
  </w:style>
  <w:style w:type="paragraph" w:styleId="TOC2">
    <w:name w:val="toc 2"/>
    <w:basedOn w:val="Normal"/>
    <w:next w:val="Normal"/>
    <w:autoRedefine/>
    <w:uiPriority w:val="39"/>
    <w:unhideWhenUsed/>
    <w:rsid w:val="005030DA"/>
    <w:pPr>
      <w:tabs>
        <w:tab w:val="right" w:leader="dot" w:pos="9922"/>
      </w:tabs>
      <w:spacing w:after="100"/>
      <w:ind w:left="220"/>
    </w:pPr>
    <w:rPr>
      <w:rFonts w:ascii="Cambria" w:hAnsi="Cambria" w:cstheme="minorHAnsi"/>
      <w:noProof/>
    </w:rPr>
  </w:style>
  <w:style w:type="character" w:customStyle="1" w:styleId="Mencinsinresolver1">
    <w:name w:val="Mención sin resolver1"/>
    <w:basedOn w:val="DefaultParagraphFont"/>
    <w:uiPriority w:val="99"/>
    <w:semiHidden/>
    <w:unhideWhenUsed/>
    <w:rsid w:val="005030DA"/>
    <w:rPr>
      <w:color w:val="808080"/>
      <w:shd w:val="clear" w:color="auto" w:fill="E6E6E6"/>
    </w:rPr>
  </w:style>
  <w:style w:type="character" w:styleId="CommentReference">
    <w:name w:val="annotation reference"/>
    <w:basedOn w:val="DefaultParagraphFont"/>
    <w:uiPriority w:val="99"/>
    <w:semiHidden/>
    <w:unhideWhenUsed/>
    <w:rsid w:val="005030DA"/>
    <w:rPr>
      <w:sz w:val="16"/>
      <w:szCs w:val="16"/>
    </w:rPr>
  </w:style>
  <w:style w:type="paragraph" w:styleId="CommentText">
    <w:name w:val="annotation text"/>
    <w:basedOn w:val="Normal"/>
    <w:link w:val="CommentTextChar"/>
    <w:uiPriority w:val="99"/>
    <w:unhideWhenUsed/>
    <w:rsid w:val="005030DA"/>
    <w:pPr>
      <w:spacing w:line="240" w:lineRule="auto"/>
    </w:pPr>
    <w:rPr>
      <w:sz w:val="20"/>
      <w:szCs w:val="20"/>
    </w:rPr>
  </w:style>
  <w:style w:type="character" w:customStyle="1" w:styleId="CommentTextChar">
    <w:name w:val="Comment Text Char"/>
    <w:basedOn w:val="DefaultParagraphFont"/>
    <w:link w:val="CommentText"/>
    <w:uiPriority w:val="99"/>
    <w:rsid w:val="005030DA"/>
    <w:rPr>
      <w:sz w:val="20"/>
      <w:szCs w:val="20"/>
      <w:lang w:val="es-ES"/>
    </w:rPr>
  </w:style>
  <w:style w:type="paragraph" w:styleId="CommentSubject">
    <w:name w:val="annotation subject"/>
    <w:basedOn w:val="CommentText"/>
    <w:next w:val="CommentText"/>
    <w:link w:val="CommentSubjectChar"/>
    <w:uiPriority w:val="99"/>
    <w:semiHidden/>
    <w:unhideWhenUsed/>
    <w:rsid w:val="005030DA"/>
    <w:rPr>
      <w:b/>
      <w:bCs/>
    </w:rPr>
  </w:style>
  <w:style w:type="character" w:customStyle="1" w:styleId="CommentSubjectChar">
    <w:name w:val="Comment Subject Char"/>
    <w:basedOn w:val="CommentTextChar"/>
    <w:link w:val="CommentSubject"/>
    <w:uiPriority w:val="99"/>
    <w:semiHidden/>
    <w:rsid w:val="005030DA"/>
    <w:rPr>
      <w:b/>
      <w:bCs/>
      <w:sz w:val="20"/>
      <w:szCs w:val="20"/>
      <w:lang w:val="es-ES"/>
    </w:rPr>
  </w:style>
  <w:style w:type="character" w:customStyle="1" w:styleId="Mencinsinresolver2">
    <w:name w:val="Mención sin resolver2"/>
    <w:basedOn w:val="DefaultParagraphFont"/>
    <w:uiPriority w:val="99"/>
    <w:semiHidden/>
    <w:unhideWhenUsed/>
    <w:rsid w:val="005030DA"/>
    <w:rPr>
      <w:color w:val="808080"/>
      <w:shd w:val="clear" w:color="auto" w:fill="E6E6E6"/>
    </w:rPr>
  </w:style>
  <w:style w:type="character" w:customStyle="1" w:styleId="Mencinsinresolver3">
    <w:name w:val="Mención sin resolver3"/>
    <w:basedOn w:val="DefaultParagraphFont"/>
    <w:uiPriority w:val="99"/>
    <w:semiHidden/>
    <w:unhideWhenUsed/>
    <w:rsid w:val="005030DA"/>
    <w:rPr>
      <w:color w:val="808080"/>
      <w:shd w:val="clear" w:color="auto" w:fill="E6E6E6"/>
    </w:rPr>
  </w:style>
  <w:style w:type="table" w:customStyle="1" w:styleId="Tablaconcuadrcula1">
    <w:name w:val="Tabla con cuadrícula1"/>
    <w:basedOn w:val="TableNormal"/>
    <w:next w:val="TableGrid"/>
    <w:uiPriority w:val="59"/>
    <w:rsid w:val="005030DA"/>
    <w:pPr>
      <w:spacing w:line="240" w:lineRule="auto"/>
    </w:pPr>
    <w:rPr>
      <w:sz w:val="22"/>
      <w:szCs w:val="22"/>
      <w:lang w:val="es-A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2">
    <w:name w:val="Tabla con cuadrícula2"/>
    <w:basedOn w:val="TableNormal"/>
    <w:next w:val="TableGrid"/>
    <w:uiPriority w:val="59"/>
    <w:rsid w:val="005030DA"/>
    <w:pPr>
      <w:spacing w:line="240" w:lineRule="auto"/>
    </w:pPr>
    <w:rPr>
      <w:sz w:val="22"/>
      <w:szCs w:val="22"/>
      <w:lang w:val="es-A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DefaultParagraphFont"/>
    <w:uiPriority w:val="99"/>
    <w:semiHidden/>
    <w:unhideWhenUsed/>
    <w:rsid w:val="005030DA"/>
    <w:rPr>
      <w:color w:val="808080"/>
      <w:shd w:val="clear" w:color="auto" w:fill="E6E6E6"/>
    </w:rPr>
  </w:style>
  <w:style w:type="character" w:customStyle="1" w:styleId="Mencinsinresolver4">
    <w:name w:val="Mención sin resolver4"/>
    <w:basedOn w:val="DefaultParagraphFont"/>
    <w:uiPriority w:val="99"/>
    <w:semiHidden/>
    <w:unhideWhenUsed/>
    <w:rsid w:val="005030DA"/>
    <w:rPr>
      <w:color w:val="808080"/>
      <w:shd w:val="clear" w:color="auto" w:fill="E6E6E6"/>
    </w:rPr>
  </w:style>
  <w:style w:type="table" w:customStyle="1" w:styleId="TableNormal2">
    <w:name w:val="Table Normal2"/>
    <w:uiPriority w:val="2"/>
    <w:semiHidden/>
    <w:unhideWhenUsed/>
    <w:qFormat/>
    <w:rsid w:val="005030DA"/>
    <w:pPr>
      <w:widowControl w:val="0"/>
      <w:spacing w:line="240" w:lineRule="auto"/>
    </w:pPr>
    <w:rPr>
      <w:sz w:val="22"/>
      <w:szCs w:val="22"/>
    </w:rPr>
    <w:tblPr>
      <w:tblInd w:w="0" w:type="dxa"/>
      <w:tblCellMar>
        <w:top w:w="0" w:type="dxa"/>
        <w:left w:w="0" w:type="dxa"/>
        <w:bottom w:w="0" w:type="dxa"/>
        <w:right w:w="0" w:type="dxa"/>
      </w:tblCellMar>
    </w:tblPr>
  </w:style>
  <w:style w:type="character" w:customStyle="1" w:styleId="Mencinsinresolver5">
    <w:name w:val="Mención sin resolver5"/>
    <w:basedOn w:val="DefaultParagraphFont"/>
    <w:uiPriority w:val="99"/>
    <w:semiHidden/>
    <w:unhideWhenUsed/>
    <w:rsid w:val="005030DA"/>
    <w:rPr>
      <w:color w:val="808080"/>
      <w:shd w:val="clear" w:color="auto" w:fill="E6E6E6"/>
    </w:rPr>
  </w:style>
  <w:style w:type="character" w:customStyle="1" w:styleId="Mencinsinresolver6">
    <w:name w:val="Mención sin resolver6"/>
    <w:basedOn w:val="DefaultParagraphFont"/>
    <w:uiPriority w:val="99"/>
    <w:semiHidden/>
    <w:unhideWhenUsed/>
    <w:rsid w:val="005030DA"/>
    <w:rPr>
      <w:color w:val="808080"/>
      <w:shd w:val="clear" w:color="auto" w:fill="E6E6E6"/>
    </w:rPr>
  </w:style>
  <w:style w:type="character" w:customStyle="1" w:styleId="notranslate">
    <w:name w:val="notranslate"/>
    <w:basedOn w:val="DefaultParagraphFont"/>
    <w:rsid w:val="005030DA"/>
  </w:style>
  <w:style w:type="character" w:customStyle="1" w:styleId="Mencinsinresolver7">
    <w:name w:val="Mención sin resolver7"/>
    <w:basedOn w:val="DefaultParagraphFont"/>
    <w:uiPriority w:val="99"/>
    <w:rsid w:val="005030DA"/>
    <w:rPr>
      <w:color w:val="808080"/>
      <w:shd w:val="clear" w:color="auto" w:fill="E6E6E6"/>
    </w:rPr>
  </w:style>
  <w:style w:type="paragraph" w:customStyle="1" w:styleId="Default">
    <w:name w:val="Default"/>
    <w:rsid w:val="005030DA"/>
    <w:pPr>
      <w:autoSpaceDE w:val="0"/>
      <w:autoSpaceDN w:val="0"/>
      <w:adjustRightInd w:val="0"/>
      <w:spacing w:line="240" w:lineRule="auto"/>
    </w:pPr>
    <w:rPr>
      <w:rFonts w:ascii="Calibri" w:hAnsi="Calibri" w:cs="Calibri"/>
      <w:color w:val="000000"/>
      <w:lang w:val="es-AR"/>
    </w:rPr>
  </w:style>
  <w:style w:type="character" w:customStyle="1" w:styleId="Mencinsinresolver8">
    <w:name w:val="Mención sin resolver8"/>
    <w:basedOn w:val="DefaultParagraphFont"/>
    <w:uiPriority w:val="99"/>
    <w:semiHidden/>
    <w:unhideWhenUsed/>
    <w:rsid w:val="005030DA"/>
    <w:rPr>
      <w:color w:val="605E5C"/>
      <w:shd w:val="clear" w:color="auto" w:fill="E1DFDD"/>
    </w:rPr>
  </w:style>
  <w:style w:type="character" w:customStyle="1" w:styleId="Mencinsinresolver9">
    <w:name w:val="Mención sin resolver9"/>
    <w:basedOn w:val="DefaultParagraphFont"/>
    <w:uiPriority w:val="99"/>
    <w:semiHidden/>
    <w:unhideWhenUsed/>
    <w:rsid w:val="005030DA"/>
    <w:rPr>
      <w:color w:val="605E5C"/>
      <w:shd w:val="clear" w:color="auto" w:fill="E1DFDD"/>
    </w:rPr>
  </w:style>
  <w:style w:type="character" w:styleId="Emphasis">
    <w:name w:val="Emphasis"/>
    <w:basedOn w:val="DefaultParagraphFont"/>
    <w:uiPriority w:val="20"/>
    <w:qFormat/>
    <w:rsid w:val="005030DA"/>
    <w:rPr>
      <w:i/>
      <w:iCs/>
    </w:rPr>
  </w:style>
  <w:style w:type="character" w:styleId="FollowedHyperlink">
    <w:name w:val="FollowedHyperlink"/>
    <w:basedOn w:val="DefaultParagraphFont"/>
    <w:uiPriority w:val="99"/>
    <w:semiHidden/>
    <w:unhideWhenUsed/>
    <w:rsid w:val="005030DA"/>
    <w:rPr>
      <w:color w:val="954F72" w:themeColor="followedHyperlink"/>
      <w:u w:val="single"/>
    </w:rPr>
  </w:style>
  <w:style w:type="paragraph" w:styleId="Revision">
    <w:name w:val="Revision"/>
    <w:hidden/>
    <w:uiPriority w:val="99"/>
    <w:semiHidden/>
    <w:rsid w:val="005030DA"/>
    <w:pPr>
      <w:spacing w:line="240" w:lineRule="auto"/>
    </w:pPr>
    <w:rPr>
      <w:sz w:val="22"/>
      <w:szCs w:val="22"/>
      <w:lang w:val="es-ES"/>
    </w:rPr>
  </w:style>
  <w:style w:type="paragraph" w:styleId="FootnoteText">
    <w:name w:val="footnote text"/>
    <w:basedOn w:val="Normal"/>
    <w:link w:val="FootnoteTextChar"/>
    <w:uiPriority w:val="99"/>
    <w:semiHidden/>
    <w:unhideWhenUsed/>
    <w:rsid w:val="005030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30DA"/>
    <w:rPr>
      <w:sz w:val="20"/>
      <w:szCs w:val="20"/>
      <w:lang w:val="es-ES"/>
    </w:rPr>
  </w:style>
  <w:style w:type="character" w:styleId="FootnoteReference">
    <w:name w:val="footnote reference"/>
    <w:basedOn w:val="DefaultParagraphFont"/>
    <w:uiPriority w:val="99"/>
    <w:semiHidden/>
    <w:unhideWhenUsed/>
    <w:rsid w:val="005030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6274</Words>
  <Characters>35763</Characters>
  <Application>Microsoft Office Word</Application>
  <DocSecurity>0</DocSecurity>
  <Lines>298</Lines>
  <Paragraphs>83</Paragraphs>
  <ScaleCrop>false</ScaleCrop>
  <Company/>
  <LinksUpToDate>false</LinksUpToDate>
  <CharactersWithSpaces>41954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2020-01-28T16:54:00Z</dcterms:created>
  <dcterms:modified xsi:type="dcterms:W3CDTF">2020-01-28T16:54:00Z</dcterms:modified>
</cp:coreProperties>
</file>