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D7030" w14:textId="77777777" w:rsidR="007B54E6" w:rsidRPr="00F77268" w:rsidRDefault="007B54E6" w:rsidP="007B54E6">
      <w:pPr>
        <w:spacing w:line="480" w:lineRule="auto"/>
        <w:ind w:firstLine="720"/>
        <w:rPr>
          <w:rFonts w:ascii="Times" w:eastAsia="Times New Roman" w:hAnsi="Times" w:cs="Times New Roman"/>
        </w:rPr>
      </w:pPr>
      <m:oMathPara>
        <m:oMath>
          <m:r>
            <w:rPr>
              <w:rFonts w:ascii="Cambria Math" w:eastAsia="Times New Roman" w:hAnsi="Cambria Math" w:cs="Times New Roman"/>
            </w:rPr>
            <m:t>Adherenc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e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it</m:t>
              </m:r>
            </m:sub>
          </m:sSub>
          <m:r>
            <w:rPr>
              <w:rFonts w:ascii="Cambria Math" w:eastAsia="Times New Roman" w:hAnsi="Cambria Math" w:cs="Times New Roman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β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0</m:t>
              </m:r>
            </m:sub>
          </m:sSub>
          <m:r>
            <w:rPr>
              <w:rFonts w:ascii="Cambria Math" w:eastAsia="Times New Roman" w:hAnsi="Cambria Math" w:cs="Times New Roman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λ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</w:rPr>
            <m:t>T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1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</m:t>
              </m:r>
            </m:sub>
          </m:sSub>
          <m:r>
            <w:rPr>
              <w:rFonts w:ascii="Cambria Math" w:eastAsia="Times New Roman" w:hAnsi="Cambria Math" w:cs="Times New Roman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λ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</w:rPr>
            <m:t>T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2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</m:t>
              </m:r>
            </m:sub>
          </m:sSub>
          <m:r>
            <w:rPr>
              <w:rFonts w:ascii="Cambria Math" w:eastAsia="Times New Roman" w:hAnsi="Cambria Math" w:cs="Times New Roman"/>
            </w:rPr>
            <m:t>+αBaseAdherenc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e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</m:t>
              </m:r>
            </m:sub>
          </m:sSub>
          <m:r>
            <w:rPr>
              <w:rFonts w:ascii="Cambria Math" w:eastAsia="Times New Roman" w:hAnsi="Cambria Math" w:cs="Times New Roman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ϵ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it,</m:t>
              </m:r>
            </m:sub>
          </m:sSub>
        </m:oMath>
      </m:oMathPara>
    </w:p>
    <w:p w14:paraId="0EAB60EA" w14:textId="58B19A2F" w:rsidR="007B54E6" w:rsidRPr="007B54E6" w:rsidRDefault="007B54E6" w:rsidP="007B54E6">
      <w:pPr>
        <w:spacing w:line="480" w:lineRule="auto"/>
        <w:rPr>
          <w:rFonts w:ascii="Times" w:eastAsia="Times New Roman" w:hAnsi="Times" w:cs="Times New Roman"/>
        </w:rPr>
      </w:pPr>
      <w:r w:rsidRPr="00F77268">
        <w:rPr>
          <w:rFonts w:ascii="Times" w:eastAsia="Times New Roman" w:hAnsi="Times" w:cs="Times New Roman"/>
        </w:rPr>
        <w:t xml:space="preserve">where </w:t>
      </w:r>
      <m:oMath>
        <m:r>
          <w:rPr>
            <w:rFonts w:ascii="Cambria Math" w:eastAsia="Times New Roman" w:hAnsi="Cambria Math" w:cs="Times New Roman"/>
          </w:rPr>
          <m:t>Adherence</m:t>
        </m:r>
      </m:oMath>
      <w:r w:rsidRPr="00F77268">
        <w:rPr>
          <w:rFonts w:ascii="Times" w:eastAsia="Times New Roman" w:hAnsi="Times" w:cs="Times New Roman"/>
        </w:rPr>
        <w:t xml:space="preserve"> is the average adherence over the entire 9 months for individual </w:t>
      </w:r>
      <m:oMath>
        <m:r>
          <w:rPr>
            <w:rFonts w:ascii="Cambria Math" w:eastAsia="Times New Roman" w:hAnsi="Cambria Math" w:cs="Times New Roman"/>
          </w:rPr>
          <m:t>i</m:t>
        </m:r>
      </m:oMath>
      <w:r w:rsidRPr="00F77268">
        <w:rPr>
          <w:rFonts w:ascii="Times" w:eastAsia="Times New Roman" w:hAnsi="Times" w:cs="Times New Roman"/>
        </w:rPr>
        <w:t xml:space="preserve"> in week </w:t>
      </w:r>
      <m:oMath>
        <m:r>
          <w:rPr>
            <w:rFonts w:ascii="Cambria Math" w:eastAsia="Times New Roman" w:hAnsi="Cambria Math" w:cs="Times New Roman"/>
          </w:rPr>
          <m:t>t</m:t>
        </m:r>
      </m:oMath>
      <w:r w:rsidRPr="00F77268">
        <w:rPr>
          <w:rFonts w:ascii="Times" w:eastAsia="Times New Roman" w:hAnsi="Times" w:cs="Times New Roman"/>
        </w:rPr>
        <w:t xml:space="preserve">, </w:t>
      </w:r>
      <m:oMath>
        <m:r>
          <w:rPr>
            <w:rFonts w:ascii="Cambria Math" w:eastAsia="Times New Roman" w:hAnsi="Cambria Math" w:cs="Times New Roman"/>
          </w:rPr>
          <m:t>T1</m:t>
        </m:r>
      </m:oMath>
      <w:r w:rsidRPr="00F77268">
        <w:rPr>
          <w:rFonts w:ascii="Times" w:eastAsia="Times New Roman" w:hAnsi="Times" w:cs="Times New Roman"/>
        </w:rPr>
        <w:t xml:space="preserve"> and </w:t>
      </w:r>
      <m:oMath>
        <m:r>
          <w:rPr>
            <w:rFonts w:ascii="Cambria Math" w:eastAsia="Times New Roman" w:hAnsi="Cambria Math" w:cs="Times New Roman"/>
          </w:rPr>
          <m:t>T2</m:t>
        </m:r>
      </m:oMath>
      <w:r w:rsidRPr="00F77268">
        <w:rPr>
          <w:rFonts w:ascii="Times" w:eastAsia="Times New Roman" w:hAnsi="Times" w:cs="Times New Roman"/>
        </w:rPr>
        <w:t xml:space="preserve"> are indicators for T1 or T2 assignment, </w:t>
      </w:r>
      <m:oMath>
        <m:r>
          <w:rPr>
            <w:rFonts w:ascii="Cambria Math" w:eastAsia="Times New Roman" w:hAnsi="Cambria Math" w:cs="Times New Roman"/>
          </w:rPr>
          <m:t>BaseAdherence</m:t>
        </m:r>
      </m:oMath>
      <w:r w:rsidRPr="00F77268">
        <w:rPr>
          <w:rFonts w:ascii="Times" w:eastAsia="Times New Roman" w:hAnsi="Times" w:cs="Times New Roman"/>
        </w:rPr>
        <w:t xml:space="preserve"> is an indicator for the adherence level in the baseline period, and </w:t>
      </w:r>
      <m:oMath>
        <m:r>
          <w:rPr>
            <w:rFonts w:ascii="Cambria Math" w:eastAsia="Times New Roman" w:hAnsi="Cambria Math" w:cs="Times New Roman"/>
          </w:rPr>
          <m:t>ϵ</m:t>
        </m:r>
      </m:oMath>
      <w:r w:rsidRPr="00F77268">
        <w:rPr>
          <w:rFonts w:ascii="Times" w:eastAsia="Times New Roman" w:hAnsi="Times" w:cs="Times New Roman"/>
        </w:rPr>
        <w:t xml:space="preserve"> is an idiosyncratic error term. The </w:t>
      </w:r>
      <m:oMath>
        <m:r>
          <w:rPr>
            <w:rFonts w:ascii="Cambria Math" w:eastAsia="Times New Roman" w:hAnsi="Cambria Math" w:cs="Times New Roman"/>
          </w:rPr>
          <m:t>λ</m:t>
        </m:r>
      </m:oMath>
      <w:r w:rsidRPr="00F77268">
        <w:rPr>
          <w:rFonts w:ascii="Times" w:eastAsia="Times New Roman" w:hAnsi="Times" w:cs="Times New Roman"/>
        </w:rPr>
        <w:t>s represent the average treatment effects of the two interventions over the 9 st</w:t>
      </w:r>
      <w:proofErr w:type="spellStart"/>
      <w:r w:rsidRPr="00F77268">
        <w:rPr>
          <w:rFonts w:ascii="Times" w:eastAsia="Times New Roman" w:hAnsi="Times" w:cs="Times New Roman"/>
        </w:rPr>
        <w:t>udy</w:t>
      </w:r>
      <w:proofErr w:type="spellEnd"/>
      <w:r w:rsidRPr="00F77268">
        <w:rPr>
          <w:rFonts w:ascii="Times" w:eastAsia="Times New Roman" w:hAnsi="Times" w:cs="Times New Roman"/>
        </w:rPr>
        <w:t xml:space="preserve"> months relative to the control group. </w:t>
      </w:r>
      <w:bookmarkStart w:id="0" w:name="_GoBack"/>
      <w:bookmarkEnd w:id="0"/>
    </w:p>
    <w:p w14:paraId="3EBAA6CE" w14:textId="77777777" w:rsidR="007B54E6" w:rsidRDefault="007B54E6" w:rsidP="007B54E6">
      <w:pPr>
        <w:spacing w:line="480" w:lineRule="auto"/>
        <w:ind w:firstLine="720"/>
        <w:rPr>
          <w:rFonts w:eastAsiaTheme="minorEastAsia"/>
        </w:rPr>
      </w:pPr>
    </w:p>
    <w:p w14:paraId="5B42913F" w14:textId="77777777" w:rsidR="007B54E6" w:rsidRDefault="007B54E6" w:rsidP="007B54E6">
      <w:pPr>
        <w:spacing w:line="480" w:lineRule="auto"/>
        <w:ind w:firstLine="720"/>
        <w:rPr>
          <w:rFonts w:eastAsiaTheme="minorEastAsia"/>
        </w:rPr>
      </w:pPr>
    </w:p>
    <w:p w14:paraId="3F688B65" w14:textId="77777777" w:rsidR="007B54E6" w:rsidRDefault="007B54E6" w:rsidP="007B54E6">
      <w:pPr>
        <w:spacing w:line="480" w:lineRule="auto"/>
        <w:ind w:firstLine="720"/>
        <w:rPr>
          <w:rFonts w:eastAsiaTheme="minorEastAsia"/>
        </w:rPr>
      </w:pPr>
    </w:p>
    <w:p w14:paraId="46B2F5BC" w14:textId="77777777" w:rsidR="007B54E6" w:rsidRDefault="007B54E6" w:rsidP="007B54E6">
      <w:pPr>
        <w:spacing w:line="480" w:lineRule="auto"/>
        <w:ind w:firstLine="720"/>
        <w:rPr>
          <w:rFonts w:eastAsiaTheme="minorEastAsia"/>
        </w:rPr>
      </w:pPr>
    </w:p>
    <w:p w14:paraId="0BD369A3" w14:textId="28B87025" w:rsidR="007B54E6" w:rsidRPr="00F77268" w:rsidRDefault="007B54E6" w:rsidP="007B54E6">
      <w:pPr>
        <w:spacing w:line="480" w:lineRule="auto"/>
        <w:ind w:firstLine="720"/>
        <w:rPr>
          <w:rFonts w:ascii="Times" w:eastAsia="Times New Roman" w:hAnsi="Times" w:cs="Times New Roman"/>
        </w:rPr>
      </w:pPr>
      <m:oMathPara>
        <m:oMath>
          <m:r>
            <w:rPr>
              <w:rFonts w:ascii="Cambria Math" w:eastAsia="Times New Roman" w:hAnsi="Cambria Math" w:cs="Times New Roman"/>
            </w:rPr>
            <m:t>Adherenc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e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it</m:t>
              </m:r>
            </m:sub>
          </m:sSub>
          <m:r>
            <w:rPr>
              <w:rFonts w:ascii="Cambria Math" w:eastAsia="Times New Roman" w:hAnsi="Cambria Math" w:cs="Times New Roman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β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0</m:t>
              </m:r>
            </m:sub>
          </m:sSub>
          <m:r>
            <w:rPr>
              <w:rFonts w:ascii="Cambria Math" w:eastAsia="Times New Roman" w:hAnsi="Cambria Math" w:cs="Times New Roman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</w:rPr>
                <m:t>w=1</m:t>
              </m:r>
            </m:sub>
            <m:sup>
              <m:r>
                <w:rPr>
                  <w:rFonts w:ascii="Cambria Math" w:eastAsia="Times New Roman" w:hAnsi="Cambria Math" w:cs="Times New Roman"/>
                </w:rPr>
                <m:t>4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λ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w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T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1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×In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wt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</w:rPr>
                <m:t>w=1</m:t>
              </m:r>
            </m:sub>
            <m:sup>
              <m:r>
                <w:rPr>
                  <w:rFonts w:ascii="Cambria Math" w:eastAsia="Times New Roman" w:hAnsi="Cambria Math" w:cs="Times New Roman"/>
                </w:rPr>
                <m:t>4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γ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w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T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2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×In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w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ϵ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it</m:t>
              </m:r>
            </m:sub>
          </m:sSub>
        </m:oMath>
      </m:oMathPara>
    </w:p>
    <w:p w14:paraId="4888525A" w14:textId="77777777" w:rsidR="007B54E6" w:rsidRPr="00F77268" w:rsidRDefault="007B54E6" w:rsidP="007B54E6">
      <w:pPr>
        <w:spacing w:line="480" w:lineRule="auto"/>
        <w:rPr>
          <w:rFonts w:ascii="Times" w:eastAsia="Times New Roman" w:hAnsi="Times" w:cs="Times New Roman"/>
        </w:rPr>
      </w:pPr>
      <w:r w:rsidRPr="00F77268">
        <w:rPr>
          <w:rFonts w:ascii="Times" w:eastAsia="Times New Roman" w:hAnsi="Times" w:cs="Times New Roman"/>
        </w:rPr>
        <w:t xml:space="preserve">Where the </w:t>
      </w:r>
      <m:oMath>
        <m:r>
          <w:rPr>
            <w:rFonts w:ascii="Cambria Math" w:eastAsia="Times New Roman" w:hAnsi="Cambria Math" w:cs="Times New Roman"/>
          </w:rPr>
          <m:t>T</m:t>
        </m:r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1</m:t>
            </m:r>
          </m:e>
          <m:sub>
            <m:r>
              <w:rPr>
                <w:rFonts w:ascii="Cambria Math" w:eastAsia="Times New Roman" w:hAnsi="Cambria Math" w:cs="Times New Roman"/>
              </w:rPr>
              <m:t>i</m:t>
            </m:r>
          </m:sub>
        </m:sSub>
        <m:r>
          <w:rPr>
            <w:rFonts w:ascii="Cambria Math" w:eastAsia="Times New Roman" w:hAnsi="Cambria Math" w:cs="Times New Roman"/>
          </w:rPr>
          <m:t>×In</m:t>
        </m:r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</w:rPr>
              <m:t>w</m:t>
            </m:r>
          </m:sub>
        </m:sSub>
      </m:oMath>
      <w:r w:rsidRPr="00F77268">
        <w:rPr>
          <w:rFonts w:ascii="Times" w:eastAsia="Times New Roman" w:hAnsi="Times" w:cs="Times New Roman"/>
        </w:rPr>
        <w:t xml:space="preserve"> and </w:t>
      </w:r>
      <m:oMath>
        <m:r>
          <w:rPr>
            <w:rFonts w:ascii="Cambria Math" w:eastAsia="Times New Roman" w:hAnsi="Cambria Math" w:cs="Times New Roman"/>
          </w:rPr>
          <m:t>T</m:t>
        </m:r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2</m:t>
            </m:r>
          </m:e>
          <m:sub>
            <m:r>
              <w:rPr>
                <w:rFonts w:ascii="Cambria Math" w:eastAsia="Times New Roman" w:hAnsi="Cambria Math" w:cs="Times New Roman"/>
              </w:rPr>
              <m:t>i</m:t>
            </m:r>
          </m:sub>
        </m:sSub>
        <m:r>
          <w:rPr>
            <w:rFonts w:ascii="Cambria Math" w:eastAsia="Times New Roman" w:hAnsi="Cambria Math" w:cs="Times New Roman"/>
          </w:rPr>
          <m:t>×In</m:t>
        </m:r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</w:rPr>
              <m:t>w</m:t>
            </m:r>
          </m:sub>
        </m:sSub>
        <m:r>
          <w:rPr>
            <w:rFonts w:ascii="Cambria Math" w:eastAsia="Times New Roman" w:hAnsi="Cambria Math" w:cs="Times New Roman"/>
          </w:rPr>
          <m:t xml:space="preserve"> </m:t>
        </m:r>
      </m:oMath>
      <w:r w:rsidRPr="00F77268">
        <w:rPr>
          <w:rFonts w:ascii="Times" w:eastAsia="Times New Roman" w:hAnsi="Times" w:cs="Times New Roman"/>
        </w:rPr>
        <w:t>are interaction terms between treatment assignment and time interval (relative to the difference in the baseline period (</w:t>
      </w:r>
      <m:oMath>
        <m:r>
          <w:rPr>
            <w:rFonts w:ascii="Cambria Math" w:eastAsia="Times New Roman" w:hAnsi="Cambria Math" w:cs="Times New Roman"/>
          </w:rPr>
          <m:t>w</m:t>
        </m:r>
      </m:oMath>
      <w:r w:rsidRPr="00F77268">
        <w:rPr>
          <w:rFonts w:ascii="Times" w:eastAsia="Times New Roman" w:hAnsi="Times" w:cs="Times New Roman"/>
        </w:rPr>
        <w:t xml:space="preserve">=0). The coefficients,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λ</m:t>
            </m:r>
          </m:e>
          <m:sub>
            <m:r>
              <w:rPr>
                <w:rFonts w:ascii="Cambria Math" w:eastAsia="Times New Roman" w:hAnsi="Cambria Math" w:cs="Times New Roman"/>
              </w:rPr>
              <m:t>w</m:t>
            </m:r>
          </m:sub>
        </m:sSub>
      </m:oMath>
      <w:r w:rsidRPr="00F77268">
        <w:rPr>
          <w:rFonts w:ascii="Times" w:eastAsia="Times New Roman" w:hAnsi="Times" w:cs="Times New Roman"/>
        </w:rPr>
        <w:t xml:space="preserve">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</w:rPr>
              <m:t>w</m:t>
            </m:r>
          </m:sub>
        </m:sSub>
      </m:oMath>
      <w:r w:rsidRPr="00F77268">
        <w:rPr>
          <w:rFonts w:ascii="Times" w:eastAsia="Times New Roman" w:hAnsi="Times" w:cs="Times New Roman"/>
        </w:rPr>
        <w:t>, represent the treatment effect in each time interval. We clus</w:t>
      </w:r>
      <w:proofErr w:type="spellStart"/>
      <w:r w:rsidRPr="00F77268">
        <w:rPr>
          <w:rFonts w:ascii="Times" w:eastAsia="Times New Roman" w:hAnsi="Times" w:cs="Times New Roman"/>
        </w:rPr>
        <w:t>tered</w:t>
      </w:r>
      <w:proofErr w:type="spellEnd"/>
      <w:r w:rsidRPr="00F77268">
        <w:rPr>
          <w:rFonts w:ascii="Times" w:eastAsia="Times New Roman" w:hAnsi="Times" w:cs="Times New Roman"/>
        </w:rPr>
        <w:t xml:space="preserve"> standard errors by individual to account for potentially correlated data in the error term. </w:t>
      </w:r>
    </w:p>
    <w:p w14:paraId="4B792057" w14:textId="77777777" w:rsidR="007B54E6" w:rsidRDefault="007B54E6"/>
    <w:sectPr w:rsidR="007B54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4E6"/>
    <w:rsid w:val="007B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BD94D"/>
  <w15:chartTrackingRefBased/>
  <w15:docId w15:val="{1E9F9D33-F02C-40FF-B6C4-90946E7DF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4E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2020-02-13T18:22:00Z</dcterms:created>
  <dcterms:modified xsi:type="dcterms:W3CDTF">2020-02-13T18:23:00Z</dcterms:modified>
</cp:coreProperties>
</file>